
<file path=[Content_Types].xml><?xml version="1.0" encoding="utf-8"?>
<Types xmlns="http://schemas.openxmlformats.org/package/2006/content-types">
  <Default Extension="bin" ContentType="application/vnd.openxmlformats-officedocument.oleObject"/>
  <Default Extension="rels" ContentType="application/vnd.openxmlformats-package.relationships+xml"/>
  <Default Extension="xml" ContentType="application/xml"/>
  <Default Extension="gif" ContentType="image/gif"/>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theme/themeOverride1.xml" ContentType="application/vnd.openxmlformats-officedocument.themeOverride+xml"/>
  <Override PartName="/word/drawings/drawing1.xml" ContentType="application/vnd.openxmlformats-officedocument.drawingml.chartshapes+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theme/themeOverride2.xml" ContentType="application/vnd.openxmlformats-officedocument.themeOverride+xml"/>
  <Override PartName="/word/drawings/drawing2.xml" ContentType="application/vnd.openxmlformats-officedocument.drawingml.chartshapes+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theme/themeOverride3.xml" ContentType="application/vnd.openxmlformats-officedocument.themeOverride+xml"/>
  <Override PartName="/word/drawings/drawing3.xml" ContentType="application/vnd.openxmlformats-officedocument.drawingml.chartshapes+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theme/themeOverride4.xml" ContentType="application/vnd.openxmlformats-officedocument.themeOverrid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theme/themeOverride5.xml" ContentType="application/vnd.openxmlformats-officedocument.themeOverrid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theme/themeOverride6.xml" ContentType="application/vnd.openxmlformats-officedocument.themeOverride+xml"/>
  <Override PartName="/word/drawings/drawing4.xml" ContentType="application/vnd.openxmlformats-officedocument.drawingml.chartshapes+xml"/>
  <Override PartName="/word/charts/chart7.xml" ContentType="application/vnd.openxmlformats-officedocument.drawingml.chart+xml"/>
  <Override PartName="/word/charts/style7.xml" ContentType="application/vnd.ms-office.chartstyle+xml"/>
  <Override PartName="/word/charts/colors7.xml" ContentType="application/vnd.ms-office.chartcolorstyle+xml"/>
  <Override PartName="/word/theme/themeOverride7.xml" ContentType="application/vnd.openxmlformats-officedocument.themeOverride+xml"/>
  <Override PartName="/word/charts/chart8.xml" ContentType="application/vnd.openxmlformats-officedocument.drawingml.chart+xml"/>
  <Override PartName="/word/charts/style8.xml" ContentType="application/vnd.ms-office.chartstyle+xml"/>
  <Override PartName="/word/charts/colors8.xml" ContentType="application/vnd.ms-office.chartcolorstyle+xml"/>
  <Override PartName="/word/theme/themeOverride8.xml" ContentType="application/vnd.openxmlformats-officedocument.themeOverride+xml"/>
  <Override PartName="/word/drawings/drawing5.xml" ContentType="application/vnd.openxmlformats-officedocument.drawingml.chartshapes+xml"/>
  <Override PartName="/word/charts/chart9.xml" ContentType="application/vnd.openxmlformats-officedocument.drawingml.chart+xml"/>
  <Override PartName="/word/charts/style9.xml" ContentType="application/vnd.ms-office.chartstyle+xml"/>
  <Override PartName="/word/charts/colors9.xml" ContentType="application/vnd.ms-office.chartcolorstyle+xml"/>
  <Override PartName="/word/theme/themeOverride9.xml" ContentType="application/vnd.openxmlformats-officedocument.themeOverride+xml"/>
  <Override PartName="/word/drawings/drawing6.xml" ContentType="application/vnd.openxmlformats-officedocument.drawingml.chartshapes+xml"/>
  <Override PartName="/word/charts/chart10.xml" ContentType="application/vnd.openxmlformats-officedocument.drawingml.chart+xml"/>
  <Override PartName="/word/theme/themeOverride10.xml" ContentType="application/vnd.openxmlformats-officedocument.themeOverride+xml"/>
  <Override PartName="/word/drawings/drawing7.xml" ContentType="application/vnd.openxmlformats-officedocument.drawingml.chartshapes+xml"/>
  <Override PartName="/word/charts/chart11.xml" ContentType="application/vnd.openxmlformats-officedocument.drawingml.chart+xml"/>
  <Override PartName="/word/charts/style10.xml" ContentType="application/vnd.ms-office.chartstyle+xml"/>
  <Override PartName="/word/charts/colors10.xml" ContentType="application/vnd.ms-office.chartcolorstyle+xml"/>
  <Override PartName="/word/theme/themeOverride11.xml" ContentType="application/vnd.openxmlformats-officedocument.themeOverride+xml"/>
  <Override PartName="/word/drawings/drawing8.xml" ContentType="application/vnd.openxmlformats-officedocument.drawingml.chartshapes+xml"/>
  <Override PartName="/word/charts/chart12.xml" ContentType="application/vnd.openxmlformats-officedocument.drawingml.chart+xml"/>
  <Override PartName="/word/charts/style11.xml" ContentType="application/vnd.ms-office.chartstyle+xml"/>
  <Override PartName="/word/charts/colors11.xml" ContentType="application/vnd.ms-office.chartcolorstyle+xml"/>
  <Override PartName="/word/theme/themeOverride12.xml" ContentType="application/vnd.openxmlformats-officedocument.themeOverride+xml"/>
  <Override PartName="/word/drawings/drawing9.xml" ContentType="application/vnd.openxmlformats-officedocument.drawingml.chartshapes+xml"/>
  <Override PartName="/word/charts/chart13.xml" ContentType="application/vnd.openxmlformats-officedocument.drawingml.chart+xml"/>
  <Override PartName="/word/theme/themeOverride13.xml" ContentType="application/vnd.openxmlformats-officedocument.themeOverride+xml"/>
  <Override PartName="/word/drawings/drawing10.xml" ContentType="application/vnd.openxmlformats-officedocument.drawingml.chartshapes+xml"/>
  <Override PartName="/word/charts/chart14.xml" ContentType="application/vnd.openxmlformats-officedocument.drawingml.chart+xml"/>
  <Override PartName="/word/charts/style12.xml" ContentType="application/vnd.ms-office.chartstyle+xml"/>
  <Override PartName="/word/charts/colors12.xml" ContentType="application/vnd.ms-office.chartcolorstyle+xml"/>
  <Override PartName="/word/theme/themeOverride14.xml" ContentType="application/vnd.openxmlformats-officedocument.themeOverride+xml"/>
  <Override PartName="/word/charts/chart15.xml" ContentType="application/vnd.openxmlformats-officedocument.drawingml.chart+xml"/>
  <Override PartName="/word/charts/style13.xml" ContentType="application/vnd.ms-office.chartstyle+xml"/>
  <Override PartName="/word/charts/colors13.xml" ContentType="application/vnd.ms-office.chartcolorstyle+xml"/>
  <Override PartName="/word/theme/themeOverride15.xml" ContentType="application/vnd.openxmlformats-officedocument.themeOverride+xml"/>
  <Override PartName="/word/charts/chart16.xml" ContentType="application/vnd.openxmlformats-officedocument.drawingml.chart+xml"/>
  <Override PartName="/word/charts/style14.xml" ContentType="application/vnd.ms-office.chartstyle+xml"/>
  <Override PartName="/word/charts/colors14.xml" ContentType="application/vnd.ms-office.chartcolorstyle+xml"/>
  <Override PartName="/word/theme/themeOverride16.xml" ContentType="application/vnd.openxmlformats-officedocument.themeOverride+xml"/>
  <Override PartName="/word/charts/chart17.xml" ContentType="application/vnd.openxmlformats-officedocument.drawingml.chart+xml"/>
  <Override PartName="/word/charts/style15.xml" ContentType="application/vnd.ms-office.chartstyle+xml"/>
  <Override PartName="/word/charts/colors15.xml" ContentType="application/vnd.ms-office.chartcolorstyle+xml"/>
  <Override PartName="/word/theme/themeOverride17.xml" ContentType="application/vnd.openxmlformats-officedocument.themeOverride+xml"/>
  <Override PartName="/word/drawings/drawing11.xml" ContentType="application/vnd.openxmlformats-officedocument.drawingml.chartshap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599AE3F" w14:textId="01EDDB12" w:rsidR="002216E6" w:rsidRPr="00E8578D" w:rsidRDefault="00AA1BAE" w:rsidP="00E8578D">
      <w:pPr>
        <w:keepNext/>
        <w:keepLines/>
        <w:spacing w:after="160"/>
        <w:outlineLvl w:val="0"/>
        <w:rPr>
          <w:rFonts w:eastAsia="MS PGothic" w:cs="Times New Roman"/>
          <w:b/>
          <w:szCs w:val="24"/>
          <w:lang w:eastAsia="ja-JP"/>
        </w:rPr>
      </w:pPr>
      <w:bookmarkStart w:id="0" w:name="_Toc337117118"/>
      <w:bookmarkStart w:id="1" w:name="_Toc444605532"/>
      <w:r w:rsidRPr="00652D12">
        <w:rPr>
          <w:rFonts w:eastAsia="MS PGothic" w:cs="Times New Roman"/>
          <w:b/>
          <w:szCs w:val="24"/>
          <w:lang w:val="sr-Cyrl-RS" w:eastAsia="ja-JP"/>
        </w:rPr>
        <w:t xml:space="preserve">I. </w:t>
      </w:r>
      <w:r w:rsidR="003A1248" w:rsidRPr="00652D12">
        <w:rPr>
          <w:rFonts w:eastAsia="MS PGothic" w:cs="Times New Roman"/>
          <w:b/>
          <w:caps/>
          <w:szCs w:val="24"/>
          <w:lang w:val="sr-Cyrl-RS" w:eastAsia="ja-JP"/>
        </w:rPr>
        <w:t>Општи оквир и гла</w:t>
      </w:r>
      <w:r w:rsidR="009333E2" w:rsidRPr="00652D12">
        <w:rPr>
          <w:rFonts w:eastAsia="MS PGothic" w:cs="Times New Roman"/>
          <w:b/>
          <w:caps/>
          <w:szCs w:val="24"/>
          <w:lang w:val="sr-Cyrl-RS" w:eastAsia="ja-JP"/>
        </w:rPr>
        <w:t xml:space="preserve">вни циљеви и смернице економске </w:t>
      </w:r>
      <w:r w:rsidR="003A1248" w:rsidRPr="00652D12">
        <w:rPr>
          <w:rFonts w:eastAsia="MS PGothic" w:cs="Times New Roman"/>
          <w:b/>
          <w:caps/>
          <w:szCs w:val="24"/>
          <w:lang w:val="sr-Cyrl-RS" w:eastAsia="ja-JP"/>
        </w:rPr>
        <w:t>политике</w:t>
      </w:r>
      <w:r w:rsidR="00D11B75">
        <w:rPr>
          <w:rFonts w:eastAsia="MS PGothic" w:cs="Times New Roman"/>
          <w:b/>
          <w:caps/>
          <w:szCs w:val="24"/>
          <w:lang w:eastAsia="ja-JP"/>
        </w:rPr>
        <w:t xml:space="preserve"> </w:t>
      </w:r>
    </w:p>
    <w:p w14:paraId="10CECA1E" w14:textId="56BBDFF7" w:rsidR="00E45F6A" w:rsidRPr="00E45F6A" w:rsidRDefault="00E45F6A" w:rsidP="00E45F6A">
      <w:pPr>
        <w:rPr>
          <w:lang w:val="sr-Cyrl-RS"/>
        </w:rPr>
      </w:pPr>
      <w:r w:rsidRPr="00E45F6A">
        <w:rPr>
          <w:lang w:val="sr-Cyrl-RS"/>
        </w:rPr>
        <w:t xml:space="preserve">Привредна активност у Србији показала је довољну отпорност и поред изазовног глобалног и регионалног окружења. Кумулативни раст бруто домаћег производа (у даљем тексту: БДП) од 18,3% у периоду од 2020. до 2024. године у великој мери је подржан домаћом тражњом, инвестицијама у кључне инфраструктурне секторе и стабилизацијом инфлације, која се сада налази у оквиру циљаног опсега Народне банке Србије. Макроекономска кретања у 2024. години у складу су са </w:t>
      </w:r>
      <w:r w:rsidR="004D230C">
        <w:rPr>
          <w:lang w:val="sr-Cyrl-RS"/>
        </w:rPr>
        <w:t>претходним очекивањима</w:t>
      </w:r>
      <w:r w:rsidRPr="00E45F6A">
        <w:rPr>
          <w:lang w:val="sr-Cyrl-RS"/>
        </w:rPr>
        <w:t>. Према прелиминарним проценама, привредни раст у 2024. години износиће 3,8%, тржиште рада је стабилно, а инф</w:t>
      </w:r>
      <w:r w:rsidR="007C7833">
        <w:rPr>
          <w:lang w:val="sr-Cyrl-RS"/>
        </w:rPr>
        <w:t>лација је на опадајућој путањи.</w:t>
      </w:r>
    </w:p>
    <w:p w14:paraId="682CA528" w14:textId="77777777" w:rsidR="00E45F6A" w:rsidRPr="00E45F6A" w:rsidRDefault="00E45F6A" w:rsidP="00E45F6A">
      <w:pPr>
        <w:rPr>
          <w:lang w:val="sr-Cyrl-RS"/>
        </w:rPr>
      </w:pPr>
      <w:r w:rsidRPr="00E45F6A">
        <w:rPr>
          <w:lang w:val="sr-Cyrl-RS"/>
        </w:rPr>
        <w:t>Главни приоритет Владе Републике Србије остаје одржавање макроекономске стабилности, уз стварање услова за динамичнији економски развој у будућности. Овај циљ се остварује кроз стратешка јавна улагања у инфраструктуру, модернизацију индустрије и транзицију ка зеленој економији. Упркос изазовима и израженој глобалној фрагментацији, Србија је успела да очува макроекономску стабилност захваљујући диверсификацији производње и извоза и значајном приливу страних директних инвестиција (у даљем тексту: СДИ). Финансијски систем Србије је сигуран, са инвестиционим кредитним рејтингом, уз значајне заштитне механизме, укључујући високе девизне резерве, депозите јавног сектора и низак јавни дуг у поређењу са европским просеком.</w:t>
      </w:r>
    </w:p>
    <w:p w14:paraId="13C8DB95" w14:textId="77777777" w:rsidR="00E45F6A" w:rsidRPr="00E45F6A" w:rsidRDefault="00E45F6A" w:rsidP="00E45F6A">
      <w:pPr>
        <w:rPr>
          <w:lang w:val="sr-Cyrl-RS"/>
        </w:rPr>
      </w:pPr>
      <w:r w:rsidRPr="00E45F6A">
        <w:rPr>
          <w:lang w:val="sr-Cyrl-RS"/>
        </w:rPr>
        <w:t>У средњем року очекујемо убрзање раста. Основни сценарио макроекономских кретања предвиђа просечни годишњи раст привреде од 4,4%. Према средњорочној макроекономској пројекцији кумулативна стопа раста у периоду од 2025. до 2027. године износиће 13,7%. Раст ће бити вођен домаћом тражњом. Даљи раст запослености и зарада подржаће приватну потрошњу, док ће инвестициони раст бити подстакнут реализацијом пројеката у секторима транспорта, енергетике и комуналне инфраструктуре. Значајне јавне инвестиције предвиђене су програмом „Скок у будућност – Србија 2027” посебно уочи домаћинства Специјализованој светској изложби 2027. године са темом „Игра за човечанство: спорт и музика за све”.</w:t>
      </w:r>
    </w:p>
    <w:p w14:paraId="1B9C93C3" w14:textId="77777777" w:rsidR="00E45F6A" w:rsidRPr="00E45F6A" w:rsidRDefault="00E45F6A" w:rsidP="00E45F6A">
      <w:pPr>
        <w:rPr>
          <w:lang w:val="sr-Cyrl-RS"/>
        </w:rPr>
      </w:pPr>
      <w:r w:rsidRPr="00E45F6A">
        <w:rPr>
          <w:lang w:val="sr-Cyrl-RS"/>
        </w:rPr>
        <w:t>Влада Републике Србије посвећена је одржању фискалне дисциплине у средњем року. Циљани фискални дефицити у наредним годинама обезбеђују опадајућу путању јавног дуга. Предвиђени фискални дефицит у наредном средњорочном периоду, износи 3,0 одсто БДП, отварајући простор за финансирање важних инвестиционих пројеката у оквиру развојног плана „Скок у будућност – Србија 2027”, као и финансирање јачања националне безбедности. Програм „Скок у будућност – Србија 2027” представља централни оквир за убрзану модернизацију инфраструктуре, са циљем да Србија постане кључна дестинација за инвестиције у областима као што су енергетика, транспорт и дигитализација. Јавни дуг сектора државе на крају средњорочног периода износиће 46,5% БДП. Како би се у потпуности реализовао инвестициони циклус примена компоненте ограничења фискалног дефицита у оквиру фискалног правила одлаже се до 2029. године.</w:t>
      </w:r>
    </w:p>
    <w:p w14:paraId="60DD4EE5" w14:textId="7FE482CF" w:rsidR="00E45F6A" w:rsidRPr="00E45F6A" w:rsidRDefault="00E45F6A" w:rsidP="00E45F6A">
      <w:pPr>
        <w:rPr>
          <w:lang w:val="sr-Cyrl-RS"/>
        </w:rPr>
      </w:pPr>
      <w:r w:rsidRPr="00E45F6A">
        <w:rPr>
          <w:lang w:val="sr-Cyrl-RS"/>
        </w:rPr>
        <w:t>Привреда Србије, као и економије других земаља у региону са сличним нивоом развоја, суочава се са бројним неизвесн</w:t>
      </w:r>
      <w:r w:rsidR="008430DE">
        <w:rPr>
          <w:lang w:val="sr-Cyrl-RS"/>
        </w:rPr>
        <w:t xml:space="preserve">остима. Ипак, ризици пројекцијe </w:t>
      </w:r>
      <w:r w:rsidRPr="00E45F6A">
        <w:rPr>
          <w:lang w:val="sr-Cyrl-RS"/>
        </w:rPr>
        <w:t xml:space="preserve">оцењени су као уравнотежени. Главни ризици на међународном плану укључују неизвесност глобалног раста, продужено присуство базне инфлације и даље рестриктивне мере монетарне политике водећих централних банака. Додатни фактори ризика су геополитичке тензије и цене енергената и сировина. У ширем контексту, геополитичка фрагментација и зелена транзиција представљају и изазове и могућности за дубљу интеграцију Србије у </w:t>
      </w:r>
      <w:r w:rsidRPr="00E45F6A">
        <w:rPr>
          <w:lang w:val="sr-Cyrl-RS"/>
        </w:rPr>
        <w:lastRenderedPageBreak/>
        <w:t xml:space="preserve">европске и глобалне економске токове. Србија ће наставити да јача своје трговинске и инвестиционе односе са Европском унијом и другим значајним партнерима, унапређујући продуктивност у кључним секторима попут производње, ИКТ и енергетике. </w:t>
      </w:r>
    </w:p>
    <w:p w14:paraId="69C9E3FE" w14:textId="2F44A488" w:rsidR="002216E6" w:rsidRPr="00652D12" w:rsidRDefault="00E45F6A" w:rsidP="002532F1">
      <w:pPr>
        <w:rPr>
          <w:lang w:val="sr-Cyrl-RS"/>
        </w:rPr>
      </w:pPr>
      <w:r w:rsidRPr="00E45F6A">
        <w:rPr>
          <w:lang w:val="sr-Cyrl-RS"/>
        </w:rPr>
        <w:t>Србија има значајне резерве за заштиту од неизвесности. Високе девизне резерве и депозити јавног сектора, релативно низак јавни дуг, одрживе динамике спољног и јавног дуга, као и добро капитализован и ликвидан банкарски систем представљају добру резерву у случају реализације појединих негативних ризика. Такође, Србија је атрактивна дестинација за СДИ, што одражава њену снажну макроекономску позицију. Аранжман из предострожности са Међународним монетарним фондом пружа додатну сигурност кроз дефинисање адекватних економских политика и структурних реформи у циљу бржег привредног раста и јачања отпорности привреде. По окончању тренутног аранжмана, договорен је наставак сарадње кроз Инструмент за координацију политика (PCI) који ће бити нефинансијског карактера и који ће трајати наредне три године. Нови аранжман је јасан сигнал да је економска политика у средњем року усмерена ка убрзаном расту, развоју и модернизацији, уз очување макроекономске стабилности.</w:t>
      </w:r>
    </w:p>
    <w:p w14:paraId="2519E7C2" w14:textId="77777777" w:rsidR="00397D50" w:rsidRDefault="00397D50" w:rsidP="00397D50">
      <w:pPr>
        <w:rPr>
          <w:rFonts w:cs="Times New Roman"/>
          <w:b/>
          <w:szCs w:val="24"/>
          <w:lang w:val="sr-Cyrl-RS"/>
        </w:rPr>
      </w:pPr>
    </w:p>
    <w:p w14:paraId="57FA64C1" w14:textId="4B3F36A5" w:rsidR="00397D50" w:rsidRDefault="00397D50" w:rsidP="00397D50">
      <w:pPr>
        <w:rPr>
          <w:rFonts w:cs="Times New Roman"/>
          <w:b/>
          <w:szCs w:val="24"/>
          <w:lang w:val="sr-Cyrl-RS"/>
        </w:rPr>
      </w:pPr>
      <w:r>
        <w:rPr>
          <w:rFonts w:cs="Times New Roman"/>
          <w:b/>
          <w:szCs w:val="24"/>
        </w:rPr>
        <w:t>II</w:t>
      </w:r>
      <w:r>
        <w:rPr>
          <w:rFonts w:cs="Times New Roman"/>
          <w:b/>
          <w:szCs w:val="24"/>
          <w:lang w:val="sr-Cyrl-RS"/>
        </w:rPr>
        <w:t>. СПРОВОЂЕЊЕ ПРЕПОРУКА</w:t>
      </w:r>
    </w:p>
    <w:p w14:paraId="3BF824BE" w14:textId="77777777" w:rsidR="00397D50" w:rsidRDefault="00397D50" w:rsidP="00397D50">
      <w:pPr>
        <w:rPr>
          <w:rFonts w:cs="Times New Roman"/>
          <w:szCs w:val="24"/>
          <w:lang w:val="sr-Cyrl-RS"/>
        </w:rPr>
      </w:pPr>
      <w:r>
        <w:rPr>
          <w:rFonts w:cs="Times New Roman"/>
          <w:szCs w:val="24"/>
          <w:lang w:val="sr-Cyrl-RS"/>
        </w:rPr>
        <w:t>Испуњење Препорука (Policy Guidance – PG) за појединачне политике као део Заједничких закључака, у вези са Програмом економских реформи (ЕРП) 2025-2027, који су усвојени на састанку Савета Европске уније за економска и финансијска питања (ECOFIN Савет), одржаном у јуну 2024. године у Бриселу, у оквиру „Економског и финансијског дијалога између Европске уније и Западног Балкана и Турске”, рефлектују се у бројним реформским мерама и активностима Владе.</w:t>
      </w:r>
    </w:p>
    <w:p w14:paraId="39A664B1" w14:textId="77777777" w:rsidR="00397D50" w:rsidRDefault="00397D50" w:rsidP="00397D50">
      <w:pPr>
        <w:rPr>
          <w:rFonts w:cs="Times New Roman"/>
          <w:szCs w:val="24"/>
          <w:lang w:val="sr-Cyrl-RS"/>
        </w:rPr>
      </w:pPr>
    </w:p>
    <w:p w14:paraId="05557A91" w14:textId="520E1E1F" w:rsidR="00397D50" w:rsidRPr="00C24E54" w:rsidRDefault="00397D50" w:rsidP="00397D50">
      <w:pPr>
        <w:rPr>
          <w:rFonts w:cs="Times New Roman"/>
          <w:b/>
          <w:szCs w:val="24"/>
          <w:lang w:val="sr-Cyrl-RS"/>
        </w:rPr>
      </w:pPr>
      <w:r>
        <w:rPr>
          <w:rFonts w:cs="Times New Roman"/>
          <w:b/>
          <w:szCs w:val="24"/>
          <w:lang w:val="sr-Cyrl-RS"/>
        </w:rPr>
        <w:t>Испуњење Препорука ЕКОФИН Савета из јуна 2024. за Републику Србиј</w:t>
      </w:r>
      <w:r w:rsidR="00C24E54">
        <w:rPr>
          <w:rFonts w:cs="Times New Roman"/>
          <w:b/>
          <w:szCs w:val="24"/>
          <w:lang w:val="sr-Cyrl-RS"/>
        </w:rPr>
        <w:t>у</w:t>
      </w:r>
    </w:p>
    <w:p w14:paraId="1F6BE994" w14:textId="77777777" w:rsidR="00397D50" w:rsidRDefault="00397D50" w:rsidP="00397D50">
      <w:pPr>
        <w:rPr>
          <w:rFonts w:cs="Times New Roman"/>
          <w:i/>
          <w:szCs w:val="24"/>
        </w:rPr>
      </w:pPr>
    </w:p>
    <w:p w14:paraId="3B4BD009" w14:textId="3710ED49" w:rsidR="00397D50" w:rsidRDefault="00397D50" w:rsidP="00397D50">
      <w:pPr>
        <w:rPr>
          <w:rFonts w:cs="Times New Roman"/>
          <w:i/>
          <w:szCs w:val="24"/>
        </w:rPr>
      </w:pPr>
      <w:r>
        <w:rPr>
          <w:rFonts w:cs="Times New Roman"/>
          <w:i/>
          <w:szCs w:val="24"/>
        </w:rPr>
        <w:t>- Задрж</w:t>
      </w:r>
      <w:r>
        <w:rPr>
          <w:rFonts w:cs="Times New Roman"/>
          <w:i/>
          <w:szCs w:val="24"/>
          <w:lang w:val="sr-Cyrl-RS"/>
        </w:rPr>
        <w:t xml:space="preserve">ати </w:t>
      </w:r>
      <w:r>
        <w:rPr>
          <w:rFonts w:cs="Times New Roman"/>
          <w:i/>
          <w:szCs w:val="24"/>
        </w:rPr>
        <w:t>чврст фискални став у 2024. како би се помогла дезинфлација и стриктно се придржавати нових фискалних правила како би се побољшао њихов кредибилитет.</w:t>
      </w:r>
    </w:p>
    <w:p w14:paraId="6678CE6C" w14:textId="77777777" w:rsidR="00397D50" w:rsidRDefault="00397D50" w:rsidP="00397D50">
      <w:pPr>
        <w:rPr>
          <w:rFonts w:cs="Times New Roman"/>
          <w:szCs w:val="24"/>
        </w:rPr>
      </w:pPr>
      <w:r>
        <w:rPr>
          <w:rFonts w:cs="Times New Roman"/>
          <w:szCs w:val="24"/>
        </w:rPr>
        <w:t xml:space="preserve">Влада Републике Србије је посвећена одржавању фискалне дисциплине у средњем року. Циљани фискални дефицити у наредним годинама осигуравају опадајућу путању јавног дуга. Предвиђени фискални дефицит за период 2025–2027 остаје на нивоу од 3% БДП, чиме се отвара простор за финансирање важних инвестиционих пројеката у оквиру развојног плана „Скок у будућност – Србија 2027“, као и за финансирање јачања националне безбедности. </w:t>
      </w:r>
    </w:p>
    <w:p w14:paraId="1C1DDF5A" w14:textId="47BCEE66" w:rsidR="00397D50" w:rsidRPr="00397D50" w:rsidRDefault="00397D50" w:rsidP="00397D50">
      <w:pPr>
        <w:rPr>
          <w:rFonts w:cs="Times New Roman"/>
          <w:szCs w:val="24"/>
        </w:rPr>
      </w:pPr>
      <w:r>
        <w:rPr>
          <w:rFonts w:cs="Times New Roman"/>
          <w:szCs w:val="24"/>
        </w:rPr>
        <w:t>У циљу потпуног спровођења инвестиционог циклуса, примена компоненте ограничења фискалног дефицита у оквиру фискалног правила ће бити одложена, с обзиром на опадајућу путању јавног дуга. Процењује се да ће дуг опште државе на крају средњорочног периода износити 47,6% БДП.</w:t>
      </w:r>
      <w:r>
        <w:rPr>
          <w:rFonts w:cs="Times New Roman"/>
          <w:szCs w:val="24"/>
          <w:lang w:val="sr-Cyrl-RS"/>
        </w:rPr>
        <w:t xml:space="preserve"> </w:t>
      </w:r>
      <w:r>
        <w:rPr>
          <w:rFonts w:cs="Times New Roman"/>
          <w:szCs w:val="24"/>
        </w:rPr>
        <w:t xml:space="preserve">Изменом Закона о буџетском систему, </w:t>
      </w:r>
      <w:r>
        <w:rPr>
          <w:rFonts w:cs="Times New Roman"/>
          <w:szCs w:val="24"/>
          <w:lang w:val="sr-Cyrl-RS"/>
        </w:rPr>
        <w:t xml:space="preserve">који је усвојен у новембру </w:t>
      </w:r>
      <w:r>
        <w:rPr>
          <w:rFonts w:cs="Times New Roman"/>
          <w:szCs w:val="24"/>
        </w:rPr>
        <w:t>2024. године</w:t>
      </w:r>
      <w:r>
        <w:rPr>
          <w:rFonts w:cs="Times New Roman"/>
          <w:szCs w:val="24"/>
          <w:lang w:val="sr-Cyrl-RS"/>
        </w:rPr>
        <w:t xml:space="preserve"> („Сл. гласник РС“, број 94/2024)</w:t>
      </w:r>
      <w:r>
        <w:rPr>
          <w:rFonts w:cs="Times New Roman"/>
          <w:szCs w:val="24"/>
        </w:rPr>
        <w:t>, компонента фискалног дефицита фискалног правила биће одложена до 2029. године.</w:t>
      </w:r>
    </w:p>
    <w:p w14:paraId="61678010" w14:textId="77777777" w:rsidR="00397D50" w:rsidRDefault="00397D50" w:rsidP="00397D50">
      <w:pPr>
        <w:rPr>
          <w:rFonts w:cs="Times New Roman"/>
          <w:i/>
          <w:szCs w:val="24"/>
        </w:rPr>
      </w:pPr>
    </w:p>
    <w:p w14:paraId="410E39C4" w14:textId="18431ACA" w:rsidR="00397D50" w:rsidRDefault="00397D50" w:rsidP="00397D50">
      <w:pPr>
        <w:rPr>
          <w:rFonts w:cs="Times New Roman"/>
          <w:i/>
          <w:szCs w:val="24"/>
        </w:rPr>
      </w:pPr>
      <w:r>
        <w:rPr>
          <w:rFonts w:cs="Times New Roman"/>
          <w:i/>
          <w:szCs w:val="24"/>
        </w:rPr>
        <w:t>- Имплементирати Aкциони план за 2023-2026 за јачање средњорочног буџетирања, између осталог развијањем алата и методологије за стабилно стратешко фискално планирање.</w:t>
      </w:r>
    </w:p>
    <w:p w14:paraId="57CA9CCC" w14:textId="6661E65D" w:rsidR="00397D50" w:rsidRDefault="00397D50" w:rsidP="00397D50">
      <w:pPr>
        <w:rPr>
          <w:rFonts w:cs="Times New Roman"/>
          <w:szCs w:val="24"/>
        </w:rPr>
      </w:pPr>
      <w:r>
        <w:rPr>
          <w:rFonts w:cs="Times New Roman"/>
          <w:szCs w:val="24"/>
        </w:rPr>
        <w:lastRenderedPageBreak/>
        <w:t>Акциони план за унапређење средњорочног буџетског оквира усвојен је у септембру 2023. године</w:t>
      </w:r>
      <w:r>
        <w:rPr>
          <w:rFonts w:cs="Times New Roman"/>
          <w:szCs w:val="24"/>
          <w:lang w:val="sr-Cyrl-RS"/>
        </w:rPr>
        <w:t>,</w:t>
      </w:r>
      <w:r>
        <w:rPr>
          <w:rFonts w:cs="Times New Roman"/>
          <w:szCs w:val="24"/>
        </w:rPr>
        <w:t xml:space="preserve"> у складу са препорукама ММФ. </w:t>
      </w:r>
      <w:r>
        <w:rPr>
          <w:rFonts w:cs="Times New Roman"/>
          <w:szCs w:val="24"/>
          <w:lang w:val="sr-Cyrl-RS"/>
        </w:rPr>
        <w:t>Ц</w:t>
      </w:r>
      <w:r>
        <w:rPr>
          <w:rFonts w:cs="Times New Roman"/>
          <w:szCs w:val="24"/>
        </w:rPr>
        <w:t xml:space="preserve">иљ је да </w:t>
      </w:r>
      <w:r>
        <w:rPr>
          <w:rFonts w:cs="Times New Roman"/>
          <w:szCs w:val="24"/>
          <w:lang w:val="sr-Cyrl-RS"/>
        </w:rPr>
        <w:t xml:space="preserve">се </w:t>
      </w:r>
      <w:r>
        <w:rPr>
          <w:rFonts w:cs="Times New Roman"/>
          <w:szCs w:val="24"/>
        </w:rPr>
        <w:t xml:space="preserve">средњорочно буџетирање учини ефикаснијим и обавезујућим. </w:t>
      </w:r>
      <w:r>
        <w:rPr>
          <w:rFonts w:cs="Times New Roman"/>
          <w:szCs w:val="24"/>
          <w:lang w:val="sr-Cyrl-RS"/>
        </w:rPr>
        <w:t>Током припреме</w:t>
      </w:r>
      <w:r>
        <w:rPr>
          <w:rFonts w:cs="Times New Roman"/>
          <w:szCs w:val="24"/>
        </w:rPr>
        <w:t xml:space="preserve"> буџет</w:t>
      </w:r>
      <w:r>
        <w:rPr>
          <w:rFonts w:cs="Times New Roman"/>
          <w:szCs w:val="24"/>
          <w:lang w:val="sr-Cyrl-RS"/>
        </w:rPr>
        <w:t>а</w:t>
      </w:r>
      <w:r>
        <w:rPr>
          <w:rFonts w:cs="Times New Roman"/>
          <w:szCs w:val="24"/>
        </w:rPr>
        <w:t xml:space="preserve"> за 2025. индикативн</w:t>
      </w:r>
      <w:r>
        <w:rPr>
          <w:rFonts w:cs="Times New Roman"/>
          <w:szCs w:val="24"/>
          <w:lang w:val="sr-Cyrl-RS"/>
        </w:rPr>
        <w:t>а</w:t>
      </w:r>
      <w:r>
        <w:rPr>
          <w:rFonts w:cs="Times New Roman"/>
          <w:szCs w:val="24"/>
        </w:rPr>
        <w:t xml:space="preserve"> ограничења за последње две године</w:t>
      </w:r>
      <w:r>
        <w:rPr>
          <w:rFonts w:cs="Times New Roman"/>
          <w:szCs w:val="24"/>
          <w:lang w:val="sr-Cyrl-RS"/>
        </w:rPr>
        <w:t xml:space="preserve">, која су уведена </w:t>
      </w:r>
      <w:r>
        <w:rPr>
          <w:rFonts w:cs="Times New Roman"/>
          <w:szCs w:val="24"/>
        </w:rPr>
        <w:t>буџетом за 2024. као полазн</w:t>
      </w:r>
      <w:r>
        <w:rPr>
          <w:rFonts w:cs="Times New Roman"/>
          <w:szCs w:val="24"/>
          <w:lang w:val="sr-Cyrl-RS"/>
        </w:rPr>
        <w:t>а</w:t>
      </w:r>
      <w:r>
        <w:rPr>
          <w:rFonts w:cs="Times New Roman"/>
          <w:szCs w:val="24"/>
        </w:rPr>
        <w:t xml:space="preserve"> тачк</w:t>
      </w:r>
      <w:r>
        <w:rPr>
          <w:rFonts w:cs="Times New Roman"/>
          <w:szCs w:val="24"/>
          <w:lang w:val="sr-Cyrl-RS"/>
        </w:rPr>
        <w:t>а</w:t>
      </w:r>
      <w:r>
        <w:rPr>
          <w:rFonts w:cs="Times New Roman"/>
          <w:szCs w:val="24"/>
        </w:rPr>
        <w:t xml:space="preserve"> за разговоре о буџету са ресорним министарствима</w:t>
      </w:r>
      <w:r>
        <w:rPr>
          <w:rFonts w:cs="Times New Roman"/>
          <w:szCs w:val="24"/>
          <w:lang w:val="sr-Cyrl-RS"/>
        </w:rPr>
        <w:t>, показала су се корисна</w:t>
      </w:r>
      <w:r>
        <w:rPr>
          <w:rFonts w:cs="Times New Roman"/>
          <w:szCs w:val="24"/>
        </w:rPr>
        <w:t>. Како ресорна министарства стичу искуства са овим ограничењима, приме</w:t>
      </w:r>
      <w:r>
        <w:rPr>
          <w:rFonts w:cs="Times New Roman"/>
          <w:szCs w:val="24"/>
          <w:lang w:val="sr-Cyrl-RS"/>
        </w:rPr>
        <w:t>тна је доследнија</w:t>
      </w:r>
      <w:r>
        <w:rPr>
          <w:rFonts w:cs="Times New Roman"/>
          <w:szCs w:val="24"/>
        </w:rPr>
        <w:t xml:space="preserve"> процен</w:t>
      </w:r>
      <w:r>
        <w:rPr>
          <w:rFonts w:cs="Times New Roman"/>
          <w:szCs w:val="24"/>
          <w:lang w:val="sr-Cyrl-RS"/>
        </w:rPr>
        <w:t>а</w:t>
      </w:r>
      <w:r>
        <w:rPr>
          <w:rFonts w:cs="Times New Roman"/>
          <w:szCs w:val="24"/>
        </w:rPr>
        <w:t xml:space="preserve"> њихових средњорочних финансијских захтева. Такође ради</w:t>
      </w:r>
      <w:r>
        <w:rPr>
          <w:rFonts w:cs="Times New Roman"/>
          <w:szCs w:val="24"/>
          <w:lang w:val="sr-Cyrl-RS"/>
        </w:rPr>
        <w:t xml:space="preserve"> се</w:t>
      </w:r>
      <w:r>
        <w:rPr>
          <w:rFonts w:cs="Times New Roman"/>
          <w:szCs w:val="24"/>
        </w:rPr>
        <w:t xml:space="preserve"> на јачању методологије за процену основног буџета уз техничку помоћ ММФ. Циљ је припрем</w:t>
      </w:r>
      <w:r>
        <w:rPr>
          <w:rFonts w:cs="Times New Roman"/>
          <w:szCs w:val="24"/>
          <w:lang w:val="sr-Cyrl-RS"/>
        </w:rPr>
        <w:t>а</w:t>
      </w:r>
      <w:r>
        <w:rPr>
          <w:rFonts w:cs="Times New Roman"/>
          <w:szCs w:val="24"/>
        </w:rPr>
        <w:t xml:space="preserve"> побољшан</w:t>
      </w:r>
      <w:r>
        <w:rPr>
          <w:rFonts w:cs="Times New Roman"/>
          <w:szCs w:val="24"/>
          <w:lang w:val="sr-Cyrl-RS"/>
        </w:rPr>
        <w:t>е</w:t>
      </w:r>
      <w:r>
        <w:rPr>
          <w:rFonts w:cs="Times New Roman"/>
          <w:szCs w:val="24"/>
        </w:rPr>
        <w:t xml:space="preserve"> методологиј</w:t>
      </w:r>
      <w:r>
        <w:rPr>
          <w:rFonts w:cs="Times New Roman"/>
          <w:szCs w:val="24"/>
          <w:lang w:val="sr-Cyrl-RS"/>
        </w:rPr>
        <w:t>е</w:t>
      </w:r>
      <w:r>
        <w:rPr>
          <w:rFonts w:cs="Times New Roman"/>
          <w:szCs w:val="24"/>
        </w:rPr>
        <w:t xml:space="preserve"> у првом кварталу 2025. за употребу у буџетском циклусу за 2026. годину. Такође </w:t>
      </w:r>
      <w:r>
        <w:rPr>
          <w:rFonts w:cs="Times New Roman"/>
          <w:szCs w:val="24"/>
          <w:lang w:val="sr-Cyrl-RS"/>
        </w:rPr>
        <w:t>је развијен</w:t>
      </w:r>
      <w:r>
        <w:rPr>
          <w:rFonts w:cs="Times New Roman"/>
          <w:szCs w:val="24"/>
        </w:rPr>
        <w:t xml:space="preserve"> алат за машинско учење </w:t>
      </w:r>
      <w:r>
        <w:rPr>
          <w:rFonts w:cs="Times New Roman"/>
          <w:szCs w:val="24"/>
          <w:lang w:val="sr-Cyrl-RS"/>
        </w:rPr>
        <w:t>како би се</w:t>
      </w:r>
      <w:r>
        <w:rPr>
          <w:rFonts w:cs="Times New Roman"/>
          <w:szCs w:val="24"/>
        </w:rPr>
        <w:t xml:space="preserve"> подрж</w:t>
      </w:r>
      <w:r>
        <w:rPr>
          <w:rFonts w:cs="Times New Roman"/>
          <w:szCs w:val="24"/>
          <w:lang w:val="sr-Cyrl-RS"/>
        </w:rPr>
        <w:t>ало</w:t>
      </w:r>
      <w:r>
        <w:rPr>
          <w:rFonts w:cs="Times New Roman"/>
          <w:szCs w:val="24"/>
        </w:rPr>
        <w:t xml:space="preserve"> пројектовање буџетских расхода.</w:t>
      </w:r>
    </w:p>
    <w:p w14:paraId="45598BD3" w14:textId="77777777" w:rsidR="00397D50" w:rsidRDefault="00397D50" w:rsidP="00397D50">
      <w:pPr>
        <w:rPr>
          <w:rFonts w:cs="Times New Roman"/>
          <w:szCs w:val="24"/>
        </w:rPr>
      </w:pPr>
    </w:p>
    <w:p w14:paraId="12EE2D4E" w14:textId="4B4F8978" w:rsidR="00397D50" w:rsidRDefault="00397D50" w:rsidP="00397D50">
      <w:pPr>
        <w:rPr>
          <w:rFonts w:cs="Times New Roman"/>
          <w:szCs w:val="24"/>
        </w:rPr>
      </w:pPr>
      <w:r>
        <w:rPr>
          <w:rFonts w:cs="Times New Roman"/>
          <w:szCs w:val="24"/>
        </w:rPr>
        <w:t>-</w:t>
      </w:r>
      <w:r>
        <w:rPr>
          <w:rFonts w:cs="Times New Roman"/>
          <w:i/>
          <w:szCs w:val="24"/>
        </w:rPr>
        <w:t>Именовање чланова Фискалног савета након недавног истека њихових мандата.</w:t>
      </w:r>
    </w:p>
    <w:p w14:paraId="564CD217" w14:textId="77777777" w:rsidR="00397D50" w:rsidRDefault="00397D50" w:rsidP="00397D50">
      <w:pPr>
        <w:rPr>
          <w:rFonts w:cs="Times New Roman"/>
          <w:szCs w:val="24"/>
        </w:rPr>
      </w:pPr>
      <w:r>
        <w:rPr>
          <w:rFonts w:cs="Times New Roman"/>
          <w:szCs w:val="24"/>
        </w:rPr>
        <w:t>Према одредбама Закона о буџетском систему, којим је формиран Фискални савет, Фискални савет се састоји од три члана које бира Народна скупштина. Стручне услуге Фискалног савета врше стручне и административне службе (члан 92а).</w:t>
      </w:r>
    </w:p>
    <w:p w14:paraId="5C24A481" w14:textId="77777777" w:rsidR="00397D50" w:rsidRDefault="00397D50" w:rsidP="00397D50">
      <w:pPr>
        <w:rPr>
          <w:rFonts w:cs="Times New Roman"/>
          <w:szCs w:val="24"/>
        </w:rPr>
      </w:pPr>
      <w:r>
        <w:rPr>
          <w:rFonts w:cs="Times New Roman"/>
          <w:szCs w:val="24"/>
        </w:rPr>
        <w:t>Чланове Фискалног савета предлаже: 1) председник Републике предлаже председника Фискалног савета; 2) министар финансија предлаже једног члана; 3) гувернер Народне банке Србије предлаже једног члана (члан 92б).</w:t>
      </w:r>
    </w:p>
    <w:p w14:paraId="01486541" w14:textId="3E135E9C" w:rsidR="00397D50" w:rsidRPr="00397D50" w:rsidRDefault="00397D50" w:rsidP="00397D50">
      <w:pPr>
        <w:rPr>
          <w:rFonts w:cs="Times New Roman"/>
          <w:szCs w:val="24"/>
        </w:rPr>
      </w:pPr>
      <w:r>
        <w:rPr>
          <w:rFonts w:cs="Times New Roman"/>
          <w:szCs w:val="24"/>
        </w:rPr>
        <w:t xml:space="preserve">Досадашњем председнику Фискалног савета истекао је мандат, па је Народна скупштина, у складу са процедурама, 31. јула 2024. године изабрала новог председника Фискалног савета. Једном члану Савета је истекао и мандат, а на предлог Министарства финансија обновљен је мандат/поновно </w:t>
      </w:r>
      <w:r>
        <w:rPr>
          <w:rFonts w:cs="Times New Roman"/>
          <w:szCs w:val="24"/>
          <w:lang w:val="sr-Cyrl-RS"/>
        </w:rPr>
        <w:t xml:space="preserve">је </w:t>
      </w:r>
      <w:r>
        <w:rPr>
          <w:rFonts w:cs="Times New Roman"/>
          <w:szCs w:val="24"/>
        </w:rPr>
        <w:t>именован постојећи члан.</w:t>
      </w:r>
    </w:p>
    <w:p w14:paraId="69BD65B4" w14:textId="77777777" w:rsidR="00397D50" w:rsidRDefault="00397D50" w:rsidP="00397D50">
      <w:pPr>
        <w:rPr>
          <w:rFonts w:cs="Times New Roman"/>
          <w:i/>
          <w:szCs w:val="24"/>
          <w:lang w:val="sr-Cyrl-RS"/>
        </w:rPr>
      </w:pPr>
    </w:p>
    <w:p w14:paraId="5161114E" w14:textId="7E49A149" w:rsidR="00397D50" w:rsidRDefault="00397D50" w:rsidP="00397D50">
      <w:pPr>
        <w:rPr>
          <w:rFonts w:cs="Times New Roman"/>
          <w:i/>
          <w:szCs w:val="24"/>
        </w:rPr>
      </w:pPr>
      <w:r>
        <w:rPr>
          <w:rFonts w:cs="Times New Roman"/>
          <w:i/>
          <w:szCs w:val="24"/>
          <w:lang w:val="sr-Cyrl-RS"/>
        </w:rPr>
        <w:t xml:space="preserve">- </w:t>
      </w:r>
      <w:r>
        <w:rPr>
          <w:rFonts w:cs="Times New Roman"/>
          <w:i/>
          <w:szCs w:val="24"/>
        </w:rPr>
        <w:t>Усвојити неопходне подзаконске акте за пуну имплементацију новог закона о државним предузећима и ојачати управљање државним предузећима, смањујући повезане фискалне ризике.</w:t>
      </w:r>
    </w:p>
    <w:p w14:paraId="13E1BB00" w14:textId="77777777" w:rsidR="00397D50" w:rsidRDefault="00397D50" w:rsidP="00397D50">
      <w:pPr>
        <w:rPr>
          <w:rFonts w:cs="Times New Roman"/>
          <w:szCs w:val="24"/>
        </w:rPr>
      </w:pPr>
      <w:r>
        <w:rPr>
          <w:rFonts w:cs="Times New Roman"/>
          <w:szCs w:val="24"/>
        </w:rPr>
        <w:t xml:space="preserve">Неопходни подзаконски акти, у вези са потпуном применом новог </w:t>
      </w:r>
      <w:r>
        <w:rPr>
          <w:rFonts w:cs="Times New Roman"/>
          <w:szCs w:val="24"/>
          <w:lang w:val="sr-Cyrl-RS"/>
        </w:rPr>
        <w:t>З</w:t>
      </w:r>
      <w:r>
        <w:rPr>
          <w:rFonts w:cs="Times New Roman"/>
          <w:szCs w:val="24"/>
        </w:rPr>
        <w:t xml:space="preserve">акона </w:t>
      </w:r>
      <w:r>
        <w:rPr>
          <w:rFonts w:cs="Times New Roman"/>
          <w:szCs w:val="24"/>
          <w:lang w:val="sr-Cyrl-RS"/>
        </w:rPr>
        <w:t>о управљању привредним друштвима која су у власништву Републике Србије</w:t>
      </w:r>
      <w:r>
        <w:rPr>
          <w:rFonts w:cs="Times New Roman"/>
          <w:szCs w:val="24"/>
        </w:rPr>
        <w:t xml:space="preserve">, су усвојени и објављени у Службеном </w:t>
      </w:r>
      <w:r>
        <w:rPr>
          <w:rFonts w:cs="Times New Roman"/>
          <w:szCs w:val="24"/>
          <w:lang w:val="sr-Cyrl-RS"/>
        </w:rPr>
        <w:t>гласнику</w:t>
      </w:r>
      <w:r>
        <w:rPr>
          <w:rFonts w:cs="Times New Roman"/>
          <w:szCs w:val="24"/>
        </w:rPr>
        <w:t>, бр. 77/24:</w:t>
      </w:r>
    </w:p>
    <w:p w14:paraId="55CFAFE3" w14:textId="77777777" w:rsidR="00397D50" w:rsidRDefault="00397D50" w:rsidP="00397D50">
      <w:pPr>
        <w:rPr>
          <w:rFonts w:cs="Times New Roman"/>
          <w:szCs w:val="24"/>
          <w:lang w:val="sr-Cyrl-RS"/>
        </w:rPr>
      </w:pPr>
      <w:r>
        <w:rPr>
          <w:rFonts w:cs="Times New Roman"/>
          <w:szCs w:val="24"/>
        </w:rPr>
        <w:t xml:space="preserve">1. Уредба о утврђивању листе </w:t>
      </w:r>
      <w:r>
        <w:rPr>
          <w:rFonts w:cs="Times New Roman"/>
          <w:szCs w:val="24"/>
          <w:lang w:val="sr-Cyrl-RS"/>
        </w:rPr>
        <w:t>друштава капитала</w:t>
      </w:r>
      <w:r>
        <w:rPr>
          <w:rFonts w:cs="Times New Roman"/>
          <w:szCs w:val="24"/>
        </w:rPr>
        <w:t xml:space="preserve"> и мањинских друштава капитала</w:t>
      </w:r>
      <w:r>
        <w:rPr>
          <w:rFonts w:cs="Times New Roman"/>
          <w:szCs w:val="24"/>
          <w:lang w:val="sr-Cyrl-RS"/>
        </w:rPr>
        <w:t>;</w:t>
      </w:r>
    </w:p>
    <w:p w14:paraId="1B9B7CD8" w14:textId="77777777" w:rsidR="00397D50" w:rsidRDefault="00397D50" w:rsidP="00397D50">
      <w:pPr>
        <w:rPr>
          <w:rFonts w:cs="Times New Roman"/>
          <w:szCs w:val="24"/>
          <w:lang w:val="sr-Cyrl-RS"/>
        </w:rPr>
      </w:pPr>
      <w:r>
        <w:rPr>
          <w:rFonts w:cs="Times New Roman"/>
          <w:szCs w:val="24"/>
        </w:rPr>
        <w:t>2. Уредба о критеријумима за избор правне форме друштва капитала</w:t>
      </w:r>
      <w:r>
        <w:rPr>
          <w:rFonts w:cs="Times New Roman"/>
          <w:szCs w:val="24"/>
          <w:lang w:val="sr-Cyrl-RS"/>
        </w:rPr>
        <w:t>;</w:t>
      </w:r>
    </w:p>
    <w:p w14:paraId="37113B18" w14:textId="77777777" w:rsidR="00397D50" w:rsidRDefault="00397D50" w:rsidP="00397D50">
      <w:pPr>
        <w:rPr>
          <w:rFonts w:cs="Times New Roman"/>
          <w:szCs w:val="24"/>
          <w:lang w:val="sr-Cyrl-RS"/>
        </w:rPr>
      </w:pPr>
      <w:r>
        <w:rPr>
          <w:rFonts w:cs="Times New Roman"/>
          <w:szCs w:val="24"/>
        </w:rPr>
        <w:t xml:space="preserve">3. </w:t>
      </w:r>
      <w:r>
        <w:rPr>
          <w:rFonts w:cs="Times New Roman"/>
          <w:szCs w:val="24"/>
          <w:lang w:val="sr-Cyrl-RS"/>
        </w:rPr>
        <w:t>У</w:t>
      </w:r>
      <w:r>
        <w:rPr>
          <w:rFonts w:cs="Times New Roman"/>
          <w:szCs w:val="24"/>
        </w:rPr>
        <w:t>редба о додатним условима за именовање и поступку именовања органа друштва капитала, као и поступку о спровођењу јавног конкурса за директора</w:t>
      </w:r>
      <w:r>
        <w:rPr>
          <w:rFonts w:cs="Times New Roman"/>
          <w:szCs w:val="24"/>
          <w:lang w:val="sr-Cyrl-RS"/>
        </w:rPr>
        <w:t>;</w:t>
      </w:r>
    </w:p>
    <w:p w14:paraId="57EDA159" w14:textId="339743C1" w:rsidR="00397D50" w:rsidRPr="00397D50" w:rsidRDefault="00397D50" w:rsidP="00397D50">
      <w:pPr>
        <w:rPr>
          <w:rFonts w:cs="Times New Roman"/>
          <w:szCs w:val="24"/>
        </w:rPr>
      </w:pPr>
      <w:r>
        <w:rPr>
          <w:rFonts w:cs="Times New Roman"/>
          <w:szCs w:val="24"/>
        </w:rPr>
        <w:t>4. Одлука о Кодексу корпоративног управљања друштава капитала.</w:t>
      </w:r>
    </w:p>
    <w:p w14:paraId="054A20CB" w14:textId="77777777" w:rsidR="00397D50" w:rsidRDefault="00397D50" w:rsidP="00397D50">
      <w:pPr>
        <w:rPr>
          <w:rFonts w:cs="Times New Roman"/>
          <w:i/>
          <w:szCs w:val="24"/>
        </w:rPr>
      </w:pPr>
    </w:p>
    <w:p w14:paraId="5253C034" w14:textId="2D9D4418" w:rsidR="00397D50" w:rsidRDefault="00397D50" w:rsidP="00397D50">
      <w:pPr>
        <w:rPr>
          <w:rFonts w:cs="Times New Roman"/>
          <w:i/>
          <w:szCs w:val="24"/>
        </w:rPr>
      </w:pPr>
      <w:r>
        <w:rPr>
          <w:rFonts w:cs="Times New Roman"/>
          <w:i/>
          <w:szCs w:val="24"/>
        </w:rPr>
        <w:t>- Ојачати анализу фискалног ризика и капацитет управљања, у потпуности применити методологију ризика и објавити свеобухватне извештаје о фискалном ризику.</w:t>
      </w:r>
    </w:p>
    <w:p w14:paraId="3A1210A6" w14:textId="70F5F2E9" w:rsidR="00397D50" w:rsidRPr="00397D50" w:rsidRDefault="00397D50" w:rsidP="00397D50">
      <w:pPr>
        <w:rPr>
          <w:rFonts w:cs="Times New Roman"/>
          <w:szCs w:val="24"/>
        </w:rPr>
      </w:pPr>
      <w:r>
        <w:rPr>
          <w:rFonts w:cs="Times New Roman"/>
          <w:szCs w:val="24"/>
        </w:rPr>
        <w:t>Министарств</w:t>
      </w:r>
      <w:r>
        <w:rPr>
          <w:rFonts w:cs="Times New Roman"/>
          <w:szCs w:val="24"/>
          <w:lang w:val="sr-Cyrl-RS"/>
        </w:rPr>
        <w:t>о</w:t>
      </w:r>
      <w:r>
        <w:rPr>
          <w:rFonts w:cs="Times New Roman"/>
          <w:szCs w:val="24"/>
        </w:rPr>
        <w:t xml:space="preserve"> финансија настави</w:t>
      </w:r>
      <w:r>
        <w:rPr>
          <w:rFonts w:cs="Times New Roman"/>
          <w:szCs w:val="24"/>
          <w:lang w:val="sr-Cyrl-RS"/>
        </w:rPr>
        <w:t>л</w:t>
      </w:r>
      <w:r>
        <w:rPr>
          <w:rFonts w:cs="Times New Roman"/>
          <w:szCs w:val="24"/>
        </w:rPr>
        <w:t>о је рад на имплементацији модела предвиђених одговарајућом Методологијом. Прошир</w:t>
      </w:r>
      <w:r>
        <w:rPr>
          <w:rFonts w:cs="Times New Roman"/>
          <w:szCs w:val="24"/>
          <w:lang w:val="sr-Cyrl-RS"/>
        </w:rPr>
        <w:t xml:space="preserve">ено је </w:t>
      </w:r>
      <w:r>
        <w:rPr>
          <w:rFonts w:cs="Times New Roman"/>
          <w:szCs w:val="24"/>
        </w:rPr>
        <w:t xml:space="preserve">извештавање у </w:t>
      </w:r>
      <w:r>
        <w:rPr>
          <w:rFonts w:cs="Times New Roman"/>
          <w:szCs w:val="24"/>
          <w:lang w:val="sr-Cyrl-RS"/>
        </w:rPr>
        <w:t>делу</w:t>
      </w:r>
      <w:r>
        <w:rPr>
          <w:rFonts w:cs="Times New Roman"/>
          <w:szCs w:val="24"/>
        </w:rPr>
        <w:t xml:space="preserve"> о фискалном ризику Фискалне стратегије за период 2025-27, објављено</w:t>
      </w:r>
      <w:r>
        <w:rPr>
          <w:rFonts w:cs="Times New Roman"/>
          <w:szCs w:val="24"/>
          <w:lang w:val="sr-Cyrl-RS"/>
        </w:rPr>
        <w:t>ј</w:t>
      </w:r>
      <w:r>
        <w:rPr>
          <w:rFonts w:cs="Times New Roman"/>
          <w:szCs w:val="24"/>
        </w:rPr>
        <w:t xml:space="preserve"> у јуну 2024. Наставља</w:t>
      </w:r>
      <w:r>
        <w:rPr>
          <w:rFonts w:cs="Times New Roman"/>
          <w:szCs w:val="24"/>
          <w:lang w:val="sr-Cyrl-RS"/>
        </w:rPr>
        <w:t xml:space="preserve"> се рад</w:t>
      </w:r>
      <w:r>
        <w:rPr>
          <w:rFonts w:cs="Times New Roman"/>
          <w:szCs w:val="24"/>
        </w:rPr>
        <w:t xml:space="preserve"> на стандардизацији и побољшању обима покривености фискалног ризика у Ревидираној фискалној стратегији за 2025-2027</w:t>
      </w:r>
      <w:r>
        <w:rPr>
          <w:rFonts w:cs="Times New Roman"/>
          <w:szCs w:val="24"/>
          <w:lang w:val="sr-Cyrl-RS"/>
        </w:rPr>
        <w:t xml:space="preserve">. </w:t>
      </w:r>
    </w:p>
    <w:p w14:paraId="62159109" w14:textId="77777777" w:rsidR="00397D50" w:rsidRDefault="00397D50" w:rsidP="00397D50">
      <w:pPr>
        <w:rPr>
          <w:rFonts w:cs="Times New Roman"/>
          <w:i/>
          <w:szCs w:val="24"/>
        </w:rPr>
      </w:pPr>
      <w:r>
        <w:rPr>
          <w:rFonts w:cs="Times New Roman"/>
          <w:i/>
          <w:szCs w:val="24"/>
        </w:rPr>
        <w:lastRenderedPageBreak/>
        <w:t>- Надовезујући се на напредак у електронском јавном регистру плата и запослених, спровести припремне кораке ка адекватно осмишљеној реформи система плата у јавном сектору.</w:t>
      </w:r>
    </w:p>
    <w:p w14:paraId="7069F336" w14:textId="77777777" w:rsidR="00397D50" w:rsidRDefault="00397D50" w:rsidP="00397D50">
      <w:pPr>
        <w:rPr>
          <w:rFonts w:cs="Times New Roman"/>
          <w:szCs w:val="24"/>
        </w:rPr>
      </w:pPr>
      <w:r>
        <w:rPr>
          <w:rFonts w:cs="Times New Roman"/>
          <w:szCs w:val="24"/>
        </w:rPr>
        <w:t>Постепено успостављање централног електронског јавног регистра плата и запослених И</w:t>
      </w:r>
      <w:r>
        <w:rPr>
          <w:rFonts w:cs="Times New Roman"/>
          <w:szCs w:val="24"/>
          <w:lang w:val="sr-Cyrl-RS"/>
        </w:rPr>
        <w:t>СКРА</w:t>
      </w:r>
      <w:r>
        <w:rPr>
          <w:rFonts w:cs="Times New Roman"/>
          <w:szCs w:val="24"/>
        </w:rPr>
        <w:t xml:space="preserve"> је </w:t>
      </w:r>
      <w:r>
        <w:rPr>
          <w:rFonts w:cs="Times New Roman"/>
          <w:szCs w:val="24"/>
          <w:lang w:val="sr-Cyrl-RS"/>
        </w:rPr>
        <w:t>напредовало</w:t>
      </w:r>
      <w:r>
        <w:rPr>
          <w:rFonts w:cs="Times New Roman"/>
          <w:szCs w:val="24"/>
        </w:rPr>
        <w:t>. Овај регистар омогућава боље планирање, извршење и контролу потрошње на плате. Систем обухвата: директне буџетске кориснике и индиректне буџетске кориснике на нивоу Републике од којих су најзначајнији сектор правосуђа, сектор културе, сектор запошљавања и социјалних питања, сектор образовања поред високошколских установа и здравствени сектор. И</w:t>
      </w:r>
      <w:r>
        <w:rPr>
          <w:rFonts w:cs="Times New Roman"/>
          <w:szCs w:val="24"/>
          <w:lang w:val="sr-Cyrl-RS"/>
        </w:rPr>
        <w:t>СКРА</w:t>
      </w:r>
      <w:r>
        <w:rPr>
          <w:rFonts w:cs="Times New Roman"/>
          <w:szCs w:val="24"/>
        </w:rPr>
        <w:t xml:space="preserve"> ће од јануара 2025. покривати и јединице локалне самоуправе са индиректним корисницима (предшколске установе, установе културе, установе социјалне заштите). Покривање преосталих јавних службеника (Министарство одбране, Министарство унутрашњих послова, Безбедносно информативна агенција БИА и високошколске установе) биће завршено до 2027. године.</w:t>
      </w:r>
    </w:p>
    <w:p w14:paraId="5C71A90D" w14:textId="711C0F03" w:rsidR="00397D50" w:rsidRPr="00397D50" w:rsidRDefault="00397D50" w:rsidP="00397D50">
      <w:pPr>
        <w:rPr>
          <w:rFonts w:cs="Times New Roman"/>
          <w:szCs w:val="24"/>
        </w:rPr>
      </w:pPr>
      <w:r>
        <w:rPr>
          <w:rFonts w:cs="Times New Roman"/>
          <w:szCs w:val="24"/>
        </w:rPr>
        <w:t>Регистар И</w:t>
      </w:r>
      <w:r>
        <w:rPr>
          <w:rFonts w:cs="Times New Roman"/>
          <w:szCs w:val="24"/>
          <w:lang w:val="sr-Cyrl-RS"/>
        </w:rPr>
        <w:t>СКРА</w:t>
      </w:r>
      <w:r>
        <w:rPr>
          <w:rFonts w:cs="Times New Roman"/>
          <w:szCs w:val="24"/>
        </w:rPr>
        <w:t xml:space="preserve"> ће играти кључну улогу у осмишљавању и спровођењу свеобухватне реформе система плата у јавном сектору.</w:t>
      </w:r>
    </w:p>
    <w:p w14:paraId="10AF30FC" w14:textId="77777777" w:rsidR="00397D50" w:rsidRDefault="00397D50" w:rsidP="00397D50">
      <w:pPr>
        <w:rPr>
          <w:rFonts w:cs="Times New Roman"/>
          <w:i/>
          <w:szCs w:val="24"/>
          <w:highlight w:val="yellow"/>
        </w:rPr>
      </w:pPr>
    </w:p>
    <w:p w14:paraId="7D57F338" w14:textId="77777777" w:rsidR="004C27FC" w:rsidRDefault="004C27FC" w:rsidP="004C27FC">
      <w:pPr>
        <w:rPr>
          <w:sz w:val="22"/>
        </w:rPr>
      </w:pPr>
      <w:r>
        <w:rPr>
          <w:rFonts w:cs="Times New Roman"/>
          <w:i/>
          <w:iCs/>
          <w:szCs w:val="24"/>
        </w:rPr>
        <w:t xml:space="preserve">- Осигурати довољно чврст став монетарне политике онолико дуго колико је потребно да се инфлаторна очекивања </w:t>
      </w:r>
      <w:r>
        <w:rPr>
          <w:rFonts w:cs="Times New Roman"/>
          <w:i/>
          <w:iCs/>
          <w:szCs w:val="24"/>
          <w:lang w:val="sr-Cyrl-RS"/>
        </w:rPr>
        <w:t>задрже</w:t>
      </w:r>
      <w:r>
        <w:rPr>
          <w:rFonts w:cs="Times New Roman"/>
          <w:i/>
          <w:iCs/>
          <w:szCs w:val="24"/>
        </w:rPr>
        <w:t xml:space="preserve"> на нивоима који су у складу са стабилношћу цена, поткрeпљен</w:t>
      </w:r>
      <w:r>
        <w:rPr>
          <w:rFonts w:cs="Times New Roman"/>
          <w:i/>
          <w:iCs/>
          <w:szCs w:val="24"/>
          <w:lang w:val="sr-Cyrl-RS"/>
        </w:rPr>
        <w:t>и</w:t>
      </w:r>
      <w:r>
        <w:rPr>
          <w:rFonts w:cs="Times New Roman"/>
          <w:i/>
          <w:iCs/>
          <w:szCs w:val="24"/>
        </w:rPr>
        <w:t xml:space="preserve"> темељном проценом могућих ефеката у другом кругу.</w:t>
      </w:r>
    </w:p>
    <w:p w14:paraId="321A9512" w14:textId="77777777" w:rsidR="004C27FC" w:rsidRDefault="004C27FC" w:rsidP="004C27FC">
      <w:r>
        <w:rPr>
          <w:rFonts w:cs="Times New Roman"/>
          <w:szCs w:val="24"/>
        </w:rPr>
        <w:t>Инфлација се од маја</w:t>
      </w:r>
      <w:r>
        <w:rPr>
          <w:rFonts w:cs="Times New Roman"/>
          <w:szCs w:val="24"/>
          <w:lang w:val="sr-Cyrl-RS"/>
        </w:rPr>
        <w:t xml:space="preserve"> о.г.</w:t>
      </w:r>
      <w:r>
        <w:rPr>
          <w:rFonts w:cs="Times New Roman"/>
          <w:szCs w:val="24"/>
        </w:rPr>
        <w:t xml:space="preserve"> кре</w:t>
      </w:r>
      <w:r>
        <w:rPr>
          <w:rFonts w:cs="Times New Roman"/>
          <w:szCs w:val="24"/>
          <w:lang w:val="sr-Cyrl-RS"/>
        </w:rPr>
        <w:t>ће</w:t>
      </w:r>
      <w:r>
        <w:rPr>
          <w:rFonts w:cs="Times New Roman"/>
          <w:szCs w:val="24"/>
        </w:rPr>
        <w:t xml:space="preserve"> у</w:t>
      </w:r>
      <w:r>
        <w:rPr>
          <w:rFonts w:cs="Times New Roman"/>
          <w:szCs w:val="24"/>
          <w:lang w:val="sr-Cyrl-RS"/>
        </w:rPr>
        <w:t xml:space="preserve"> границама</w:t>
      </w:r>
      <w:r>
        <w:rPr>
          <w:rFonts w:cs="Times New Roman"/>
          <w:szCs w:val="24"/>
        </w:rPr>
        <w:t xml:space="preserve"> циља </w:t>
      </w:r>
      <w:r>
        <w:rPr>
          <w:rFonts w:cs="Times New Roman"/>
          <w:szCs w:val="24"/>
          <w:lang w:val="sr-Cyrl-RS"/>
        </w:rPr>
        <w:t xml:space="preserve">НБС </w:t>
      </w:r>
      <w:r>
        <w:rPr>
          <w:rFonts w:cs="Times New Roman"/>
          <w:szCs w:val="24"/>
        </w:rPr>
        <w:t xml:space="preserve">и вероватно ће </w:t>
      </w:r>
      <w:r>
        <w:rPr>
          <w:rFonts w:cs="Times New Roman"/>
          <w:szCs w:val="24"/>
          <w:lang w:val="sr-Cyrl-RS"/>
        </w:rPr>
        <w:t>се ту задржати</w:t>
      </w:r>
      <w:r>
        <w:rPr>
          <w:rFonts w:cs="Times New Roman"/>
          <w:szCs w:val="24"/>
        </w:rPr>
        <w:t xml:space="preserve"> до краја хоризонта пројекције</w:t>
      </w:r>
      <w:r>
        <w:rPr>
          <w:rFonts w:cs="Times New Roman"/>
          <w:szCs w:val="24"/>
          <w:lang w:val="sr-Cyrl-RS"/>
        </w:rPr>
        <w:t>, с тим да ће постепено успоравати</w:t>
      </w:r>
      <w:r>
        <w:rPr>
          <w:rFonts w:cs="Times New Roman"/>
          <w:szCs w:val="24"/>
        </w:rPr>
        <w:t xml:space="preserve"> према </w:t>
      </w:r>
      <w:r>
        <w:rPr>
          <w:rFonts w:cs="Times New Roman"/>
          <w:szCs w:val="24"/>
          <w:lang w:val="sr-Cyrl-RS"/>
        </w:rPr>
        <w:t>централној вредности циља</w:t>
      </w:r>
      <w:r>
        <w:rPr>
          <w:rFonts w:cs="Times New Roman"/>
          <w:szCs w:val="24"/>
        </w:rPr>
        <w:t>.</w:t>
      </w:r>
    </w:p>
    <w:p w14:paraId="40D59267" w14:textId="77777777" w:rsidR="004C27FC" w:rsidRDefault="004C27FC" w:rsidP="004C27FC">
      <w:r>
        <w:rPr>
          <w:rFonts w:cs="Times New Roman"/>
          <w:szCs w:val="24"/>
        </w:rPr>
        <w:t xml:space="preserve">Узимајући у обзир </w:t>
      </w:r>
      <w:r>
        <w:rPr>
          <w:rFonts w:cs="Times New Roman"/>
          <w:szCs w:val="24"/>
          <w:lang w:val="sr-Cyrl-RS"/>
        </w:rPr>
        <w:t>о</w:t>
      </w:r>
      <w:r>
        <w:rPr>
          <w:rFonts w:cs="Times New Roman"/>
          <w:szCs w:val="24"/>
        </w:rPr>
        <w:t>ствар</w:t>
      </w:r>
      <w:r>
        <w:rPr>
          <w:rFonts w:cs="Times New Roman"/>
          <w:szCs w:val="24"/>
          <w:lang w:val="sr-Cyrl-RS"/>
        </w:rPr>
        <w:t>е</w:t>
      </w:r>
      <w:r>
        <w:rPr>
          <w:rFonts w:cs="Times New Roman"/>
          <w:szCs w:val="24"/>
        </w:rPr>
        <w:t xml:space="preserve">но и очекивано кретање кључних фактора инфлације, Извршни одбор НБС је </w:t>
      </w:r>
      <w:r>
        <w:rPr>
          <w:rFonts w:cs="Times New Roman"/>
          <w:szCs w:val="24"/>
          <w:lang w:val="sr-Cyrl-RS"/>
        </w:rPr>
        <w:t>средином године започео</w:t>
      </w:r>
      <w:r>
        <w:rPr>
          <w:rFonts w:cs="Times New Roman"/>
          <w:szCs w:val="24"/>
        </w:rPr>
        <w:t xml:space="preserve"> са монетарним попуштањем и од средине године </w:t>
      </w:r>
      <w:r>
        <w:rPr>
          <w:rFonts w:cs="Times New Roman"/>
          <w:szCs w:val="24"/>
          <w:lang w:val="sr-Cyrl-RS"/>
        </w:rPr>
        <w:t>референтна каматна стопа је кумулативно посматрано смањена за</w:t>
      </w:r>
      <w:r>
        <w:rPr>
          <w:rFonts w:cs="Times New Roman"/>
          <w:szCs w:val="24"/>
        </w:rPr>
        <w:t xml:space="preserve"> 75 базних поена, на 5,75%. Међутим, </w:t>
      </w:r>
      <w:r>
        <w:rPr>
          <w:rFonts w:cs="Times New Roman"/>
          <w:szCs w:val="24"/>
          <w:lang w:val="sr-Cyrl-RS"/>
        </w:rPr>
        <w:t>и поред</w:t>
      </w:r>
      <w:r>
        <w:rPr>
          <w:rFonts w:cs="Times New Roman"/>
          <w:szCs w:val="24"/>
        </w:rPr>
        <w:t xml:space="preserve"> започето</w:t>
      </w:r>
      <w:r>
        <w:rPr>
          <w:rFonts w:cs="Times New Roman"/>
          <w:szCs w:val="24"/>
          <w:lang w:val="sr-Cyrl-RS"/>
        </w:rPr>
        <w:t>г ублажавања</w:t>
      </w:r>
      <w:r>
        <w:rPr>
          <w:rFonts w:cs="Times New Roman"/>
          <w:szCs w:val="24"/>
        </w:rPr>
        <w:t xml:space="preserve">, монетарна политика </w:t>
      </w:r>
      <w:r>
        <w:rPr>
          <w:rFonts w:cs="Times New Roman"/>
          <w:szCs w:val="24"/>
          <w:lang w:val="sr-Cyrl-RS"/>
        </w:rPr>
        <w:t>и даље има рестриктиван карактер</w:t>
      </w:r>
      <w:r>
        <w:rPr>
          <w:rFonts w:cs="Times New Roman"/>
          <w:szCs w:val="24"/>
        </w:rPr>
        <w:t>.</w:t>
      </w:r>
    </w:p>
    <w:p w14:paraId="5C5E6277" w14:textId="77777777" w:rsidR="004C27FC" w:rsidRDefault="004C27FC" w:rsidP="004C27FC">
      <w:r>
        <w:rPr>
          <w:rFonts w:cs="Times New Roman"/>
          <w:szCs w:val="24"/>
        </w:rPr>
        <w:t xml:space="preserve">Према последњим </w:t>
      </w:r>
      <w:r>
        <w:rPr>
          <w:rFonts w:cs="Times New Roman"/>
          <w:szCs w:val="24"/>
          <w:lang w:val="sr-Cyrl-RS"/>
        </w:rPr>
        <w:t>резултатима анкета</w:t>
      </w:r>
      <w:r>
        <w:rPr>
          <w:rFonts w:cs="Times New Roman"/>
          <w:szCs w:val="24"/>
        </w:rPr>
        <w:t xml:space="preserve">, инфлациона очекивања финансијског сектора за годину дана унапред кретала су се у распону од 3,4–3,75%, док су средњорочна очекивања наставила да се крећу око средње </w:t>
      </w:r>
      <w:r>
        <w:rPr>
          <w:rFonts w:cs="Times New Roman"/>
          <w:szCs w:val="24"/>
          <w:lang w:val="sr-Cyrl-RS"/>
        </w:rPr>
        <w:t>вредности</w:t>
      </w:r>
      <w:r>
        <w:rPr>
          <w:rFonts w:cs="Times New Roman"/>
          <w:szCs w:val="24"/>
        </w:rPr>
        <w:t xml:space="preserve"> циља НБС (3,0%).</w:t>
      </w:r>
    </w:p>
    <w:p w14:paraId="2BF46266" w14:textId="77777777" w:rsidR="004C27FC" w:rsidRDefault="004C27FC" w:rsidP="004C27FC">
      <w:r>
        <w:rPr>
          <w:rFonts w:cs="Times New Roman"/>
          <w:szCs w:val="24"/>
        </w:rPr>
        <w:t>Извршни одбор НБС ће наставити да помно прати и анализира дешавања на домаћем и међународном тржишту и доноси одлуке о монетарној политици од састанка до састанка у зависности од процене пристиглих података, изгледа инфлације и њених кључних фактора, као и ефек</w:t>
      </w:r>
      <w:r>
        <w:rPr>
          <w:rFonts w:cs="Times New Roman"/>
          <w:szCs w:val="24"/>
          <w:lang w:val="sr-Cyrl-RS"/>
        </w:rPr>
        <w:t>а</w:t>
      </w:r>
      <w:r>
        <w:rPr>
          <w:rFonts w:cs="Times New Roman"/>
          <w:szCs w:val="24"/>
        </w:rPr>
        <w:t>т</w:t>
      </w:r>
      <w:r>
        <w:rPr>
          <w:rFonts w:cs="Times New Roman"/>
          <w:szCs w:val="24"/>
          <w:lang w:val="sr-Cyrl-RS"/>
        </w:rPr>
        <w:t>а претходно предузетих</w:t>
      </w:r>
      <w:r>
        <w:rPr>
          <w:rFonts w:cs="Times New Roman"/>
          <w:szCs w:val="24"/>
        </w:rPr>
        <w:t xml:space="preserve"> мера монетарне политике.</w:t>
      </w:r>
    </w:p>
    <w:p w14:paraId="596F9D7F" w14:textId="77777777" w:rsidR="004C27FC" w:rsidRDefault="004C27FC" w:rsidP="004C27FC">
      <w:r>
        <w:rPr>
          <w:rFonts w:cs="Times New Roman"/>
          <w:i/>
          <w:iCs/>
          <w:szCs w:val="24"/>
        </w:rPr>
        <w:t> </w:t>
      </w:r>
    </w:p>
    <w:p w14:paraId="29FA050D" w14:textId="77777777" w:rsidR="004C27FC" w:rsidRDefault="004C27FC" w:rsidP="004C27FC">
      <w:r>
        <w:rPr>
          <w:rFonts w:cs="Times New Roman"/>
          <w:i/>
          <w:iCs/>
          <w:szCs w:val="24"/>
        </w:rPr>
        <w:t>- Даље побољшати надзор заснован на ризику у складу са најбољом међународном и европском праксом, укључујући даље јачање оквира за извештавање широм банкарског система, постепено укидање привремених мера које утичу на тржишне механизме у одређивању каматних стопа на хипотеке и подстицање решавања проблематичних кредита, укључујући даљи развој секундарног тржиште проблематичних кредита.</w:t>
      </w:r>
    </w:p>
    <w:p w14:paraId="77A09D7C" w14:textId="77777777" w:rsidR="004C27FC" w:rsidRDefault="004C27FC" w:rsidP="004C27FC">
      <w:r>
        <w:rPr>
          <w:rFonts w:cs="Times New Roman"/>
          <w:szCs w:val="24"/>
        </w:rPr>
        <w:t xml:space="preserve">У смислу најбоље међународне и европске праксе, Народна банка Србије континуирано негује супервизорски приступ </w:t>
      </w:r>
      <w:r>
        <w:rPr>
          <w:rFonts w:cs="Times New Roman"/>
          <w:szCs w:val="24"/>
          <w:lang w:val="sr-Cyrl-RS"/>
        </w:rPr>
        <w:t>базиран</w:t>
      </w:r>
      <w:r>
        <w:rPr>
          <w:rFonts w:cs="Times New Roman"/>
          <w:szCs w:val="24"/>
        </w:rPr>
        <w:t xml:space="preserve"> на ризику и унапређује процес извештавања у банкарском систему.</w:t>
      </w:r>
    </w:p>
    <w:p w14:paraId="67C68F1D" w14:textId="77777777" w:rsidR="004C27FC" w:rsidRDefault="004C27FC" w:rsidP="004C27FC">
      <w:r>
        <w:rPr>
          <w:rFonts w:cs="Times New Roman"/>
          <w:szCs w:val="24"/>
        </w:rPr>
        <w:t xml:space="preserve">Одлука о привременим мерама за банке у вези са стамбеним кредитима физичких лица испунила је циљ превентивног деловања у условима глобалне нестабилности каматних </w:t>
      </w:r>
      <w:r>
        <w:rPr>
          <w:rFonts w:cs="Times New Roman"/>
          <w:szCs w:val="24"/>
        </w:rPr>
        <w:lastRenderedPageBreak/>
        <w:t>стопа,</w:t>
      </w:r>
      <w:r>
        <w:rPr>
          <w:rFonts w:cs="Times New Roman"/>
          <w:szCs w:val="24"/>
          <w:lang w:val="sr-Cyrl-RS"/>
        </w:rPr>
        <w:t xml:space="preserve"> ради</w:t>
      </w:r>
      <w:r>
        <w:rPr>
          <w:rFonts w:cs="Times New Roman"/>
          <w:szCs w:val="24"/>
        </w:rPr>
        <w:t xml:space="preserve"> спречавања појаве и раста проблематичних кредита у стамбеном кредитном портфолију банкарског сектора и очувања финансијске стабилности. О ефикасности ове мере сведочи и податак да је од њеног ступања на снагу одобрено више од 10.000 стамбених кредита у укупном износу од око 660 милиона евра, а показатељ проблематичних кредита у сегменту стамбених кредита је у августу 2024. године износио свега 1,5 одсто.</w:t>
      </w:r>
    </w:p>
    <w:p w14:paraId="476D291F" w14:textId="77777777" w:rsidR="004C27FC" w:rsidRDefault="004C27FC" w:rsidP="004C27FC">
      <w:r>
        <w:rPr>
          <w:rFonts w:cs="Times New Roman"/>
          <w:szCs w:val="24"/>
        </w:rPr>
        <w:t xml:space="preserve">Као резултат регулаторних и супервизорских активности НБС, које су подржане посвећеношћу банкарског сектора благовременом решавању питања квалитета активе, очувана је стабилност финансијског система и додатно је смањен NPL индикатор на 2,73% </w:t>
      </w:r>
      <w:r>
        <w:rPr>
          <w:rFonts w:cs="Times New Roman"/>
          <w:szCs w:val="24"/>
          <w:lang w:val="sr-Cyrl-RS"/>
        </w:rPr>
        <w:t xml:space="preserve">у </w:t>
      </w:r>
      <w:r>
        <w:rPr>
          <w:rFonts w:cs="Times New Roman"/>
          <w:szCs w:val="24"/>
        </w:rPr>
        <w:t>август</w:t>
      </w:r>
      <w:r>
        <w:rPr>
          <w:rFonts w:cs="Times New Roman"/>
          <w:szCs w:val="24"/>
          <w:lang w:val="sr-Cyrl-RS"/>
        </w:rPr>
        <w:t>у</w:t>
      </w:r>
      <w:r>
        <w:rPr>
          <w:rFonts w:cs="Times New Roman"/>
          <w:szCs w:val="24"/>
        </w:rPr>
        <w:t xml:space="preserve"> 2024. што је његова историјски најнижа вредност.</w:t>
      </w:r>
    </w:p>
    <w:p w14:paraId="41CF5F15" w14:textId="77777777" w:rsidR="004C27FC" w:rsidRDefault="004C27FC" w:rsidP="004C27FC">
      <w:r>
        <w:rPr>
          <w:rFonts w:cs="Times New Roman"/>
          <w:szCs w:val="24"/>
        </w:rPr>
        <w:t>Тренутно је у току решавање преосталих проблематичних пласмана банака у стечају и пласмана у име и за рачун Републике Србије, којима управља Агенција за осигурање депозита.</w:t>
      </w:r>
    </w:p>
    <w:p w14:paraId="4B7F73C8" w14:textId="77777777" w:rsidR="004C27FC" w:rsidRDefault="004C27FC" w:rsidP="004C27FC">
      <w:r>
        <w:rPr>
          <w:rFonts w:cs="Times New Roman"/>
          <w:szCs w:val="24"/>
        </w:rPr>
        <w:t> </w:t>
      </w:r>
    </w:p>
    <w:p w14:paraId="7389A09C" w14:textId="77777777" w:rsidR="004C27FC" w:rsidRDefault="004C27FC" w:rsidP="004C27FC">
      <w:r>
        <w:rPr>
          <w:rFonts w:cs="Times New Roman"/>
          <w:i/>
          <w:iCs/>
          <w:szCs w:val="24"/>
        </w:rPr>
        <w:t>- Наставити са напорима да се промовише употреба домаће валуте, укључујући побољшање дугорочног финансирања у домаћој валути, даље подстицање заштите од девизног ризика и подизање свести о ризицима у вези са девизним кредитима</w:t>
      </w:r>
    </w:p>
    <w:p w14:paraId="01E38287" w14:textId="77777777" w:rsidR="004C27FC" w:rsidRDefault="004C27FC" w:rsidP="004C27FC">
      <w:r>
        <w:rPr>
          <w:rFonts w:cs="Times New Roman"/>
          <w:szCs w:val="24"/>
        </w:rPr>
        <w:t xml:space="preserve">У циљу </w:t>
      </w:r>
      <w:r>
        <w:rPr>
          <w:rFonts w:cs="Times New Roman"/>
          <w:szCs w:val="24"/>
          <w:lang w:val="sr-Cyrl-RS"/>
        </w:rPr>
        <w:t>обезбеђења већег коришћења</w:t>
      </w:r>
      <w:r>
        <w:rPr>
          <w:rFonts w:cs="Times New Roman"/>
          <w:szCs w:val="24"/>
        </w:rPr>
        <w:t xml:space="preserve"> динарских извора финансирања банака, НБС примењује ниже стопе обавезне резерве на динарске изворе (посебно дугорочне). Најновије повећање стопе обавезне резерве (које се догодило у септембру 2023. године) додатно је побољшало </w:t>
      </w:r>
      <w:r>
        <w:rPr>
          <w:rFonts w:cs="Times New Roman"/>
          <w:szCs w:val="24"/>
          <w:lang w:val="sr-Cyrl-RS"/>
        </w:rPr>
        <w:t>преференцијални третман динарских извора</w:t>
      </w:r>
      <w:r>
        <w:rPr>
          <w:rFonts w:cs="Times New Roman"/>
          <w:szCs w:val="24"/>
        </w:rPr>
        <w:t>, јер су показатељи за динарске изворе финансирања повећани у мањој мери у односу на девизне изворе финансирања.</w:t>
      </w:r>
    </w:p>
    <w:p w14:paraId="10132048" w14:textId="77777777" w:rsidR="004C27FC" w:rsidRDefault="004C27FC" w:rsidP="004C27FC">
      <w:r>
        <w:rPr>
          <w:rFonts w:cs="Times New Roman"/>
          <w:szCs w:val="24"/>
        </w:rPr>
        <w:t xml:space="preserve">Такође, НБС даје преференцијални третман динарских извора </w:t>
      </w:r>
      <w:r>
        <w:rPr>
          <w:rFonts w:cs="Times New Roman"/>
          <w:szCs w:val="24"/>
          <w:lang w:val="sr-Cyrl-RS"/>
        </w:rPr>
        <w:t>тако што плаћа банкама камату за</w:t>
      </w:r>
      <w:r>
        <w:rPr>
          <w:rFonts w:cs="Times New Roman"/>
          <w:szCs w:val="24"/>
        </w:rPr>
        <w:t xml:space="preserve"> обавезну резерву издвојену у динарима (тренутно 0,75%), док не </w:t>
      </w:r>
      <w:r>
        <w:rPr>
          <w:rFonts w:cs="Times New Roman"/>
          <w:szCs w:val="24"/>
          <w:lang w:val="sr-Cyrl-RS"/>
        </w:rPr>
        <w:t>плаћа камату за</w:t>
      </w:r>
      <w:r>
        <w:rPr>
          <w:rFonts w:cs="Times New Roman"/>
          <w:szCs w:val="24"/>
        </w:rPr>
        <w:t xml:space="preserve"> обавезну резерву издвојену у страној валути.</w:t>
      </w:r>
    </w:p>
    <w:p w14:paraId="48CA1637" w14:textId="77777777" w:rsidR="004C27FC" w:rsidRDefault="004C27FC" w:rsidP="004C27FC">
      <w:r>
        <w:rPr>
          <w:rFonts w:cs="Times New Roman"/>
          <w:szCs w:val="24"/>
        </w:rPr>
        <w:t>У циљу ограничавања системског ризика евроизације, од јуна 2017. године примењује се заштитни капитални бафер за структурни системски ризик. У последњем испитивању</w:t>
      </w:r>
      <w:r>
        <w:rPr>
          <w:rFonts w:cs="Times New Roman"/>
          <w:szCs w:val="24"/>
          <w:lang w:val="sr-Cyrl-RS"/>
        </w:rPr>
        <w:t>,</w:t>
      </w:r>
      <w:r>
        <w:rPr>
          <w:rFonts w:cs="Times New Roman"/>
          <w:szCs w:val="24"/>
        </w:rPr>
        <w:t xml:space="preserve"> у марту 2024. године</w:t>
      </w:r>
      <w:r>
        <w:rPr>
          <w:rFonts w:cs="Times New Roman"/>
          <w:szCs w:val="24"/>
          <w:lang w:val="sr-Cyrl-RS"/>
        </w:rPr>
        <w:t>,</w:t>
      </w:r>
      <w:r>
        <w:rPr>
          <w:rFonts w:cs="Times New Roman"/>
          <w:szCs w:val="24"/>
        </w:rPr>
        <w:t xml:space="preserve"> он је задржан на нивоу од 3% </w:t>
      </w:r>
      <w:r>
        <w:rPr>
          <w:rFonts w:cs="Times New Roman"/>
          <w:szCs w:val="24"/>
          <w:lang w:val="sr-Cyrl-RS"/>
        </w:rPr>
        <w:t xml:space="preserve">за </w:t>
      </w:r>
      <w:r>
        <w:rPr>
          <w:rFonts w:cs="Times New Roman"/>
          <w:szCs w:val="24"/>
        </w:rPr>
        <w:t>укупн</w:t>
      </w:r>
      <w:r>
        <w:rPr>
          <w:rFonts w:cs="Times New Roman"/>
          <w:szCs w:val="24"/>
          <w:lang w:val="sr-Cyrl-RS"/>
        </w:rPr>
        <w:t>а</w:t>
      </w:r>
      <w:r>
        <w:rPr>
          <w:rFonts w:cs="Times New Roman"/>
          <w:szCs w:val="24"/>
        </w:rPr>
        <w:t xml:space="preserve"> девизн</w:t>
      </w:r>
      <w:r>
        <w:rPr>
          <w:rFonts w:cs="Times New Roman"/>
          <w:szCs w:val="24"/>
          <w:lang w:val="sr-Cyrl-RS"/>
        </w:rPr>
        <w:t>а</w:t>
      </w:r>
      <w:r>
        <w:rPr>
          <w:rFonts w:cs="Times New Roman"/>
          <w:szCs w:val="24"/>
        </w:rPr>
        <w:t xml:space="preserve"> и девизн</w:t>
      </w:r>
      <w:r>
        <w:rPr>
          <w:rFonts w:cs="Times New Roman"/>
          <w:szCs w:val="24"/>
          <w:lang w:val="sr-Cyrl-RS"/>
        </w:rPr>
        <w:t>о</w:t>
      </w:r>
      <w:r>
        <w:rPr>
          <w:rFonts w:cs="Times New Roman"/>
          <w:szCs w:val="24"/>
        </w:rPr>
        <w:t>-индексиран</w:t>
      </w:r>
      <w:r>
        <w:rPr>
          <w:rFonts w:cs="Times New Roman"/>
          <w:szCs w:val="24"/>
          <w:lang w:val="sr-Cyrl-RS"/>
        </w:rPr>
        <w:t>а</w:t>
      </w:r>
      <w:r>
        <w:rPr>
          <w:rFonts w:cs="Times New Roman"/>
          <w:szCs w:val="24"/>
        </w:rPr>
        <w:t xml:space="preserve"> потраживања банака </w:t>
      </w:r>
      <w:r>
        <w:rPr>
          <w:rFonts w:cs="Times New Roman"/>
          <w:szCs w:val="24"/>
          <w:lang w:val="sr-Cyrl-RS"/>
        </w:rPr>
        <w:t xml:space="preserve">од </w:t>
      </w:r>
      <w:r>
        <w:rPr>
          <w:rFonts w:cs="Times New Roman"/>
          <w:szCs w:val="24"/>
        </w:rPr>
        <w:t>предузећа и домаћинст</w:t>
      </w:r>
      <w:r>
        <w:rPr>
          <w:rFonts w:cs="Times New Roman"/>
          <w:szCs w:val="24"/>
          <w:lang w:val="sr-Cyrl-RS"/>
        </w:rPr>
        <w:t>ава</w:t>
      </w:r>
      <w:r>
        <w:rPr>
          <w:rFonts w:cs="Times New Roman"/>
          <w:szCs w:val="24"/>
        </w:rPr>
        <w:t xml:space="preserve"> у Србији. Све банке код којих је ово учешће веће од 10% дужне су да одржавају заштитни </w:t>
      </w:r>
      <w:r>
        <w:rPr>
          <w:rFonts w:cs="Times New Roman"/>
          <w:szCs w:val="24"/>
          <w:lang w:val="sr-Cyrl-RS"/>
        </w:rPr>
        <w:t xml:space="preserve">слој </w:t>
      </w:r>
      <w:r>
        <w:rPr>
          <w:rFonts w:cs="Times New Roman"/>
          <w:szCs w:val="24"/>
        </w:rPr>
        <w:t>капитал</w:t>
      </w:r>
      <w:r>
        <w:rPr>
          <w:rFonts w:cs="Times New Roman"/>
          <w:szCs w:val="24"/>
          <w:lang w:val="sr-Cyrl-RS"/>
        </w:rPr>
        <w:t>а у наведеном проценту</w:t>
      </w:r>
      <w:r>
        <w:rPr>
          <w:rFonts w:cs="Times New Roman"/>
          <w:szCs w:val="24"/>
        </w:rPr>
        <w:t>.</w:t>
      </w:r>
    </w:p>
    <w:p w14:paraId="0BC32555" w14:textId="5150BDB1" w:rsidR="004C27FC" w:rsidRDefault="004C27FC" w:rsidP="00C24E54">
      <w:pPr>
        <w:rPr>
          <w:rFonts w:cs="Times New Roman"/>
          <w:szCs w:val="24"/>
        </w:rPr>
      </w:pPr>
      <w:r>
        <w:rPr>
          <w:rFonts w:cs="Times New Roman"/>
          <w:szCs w:val="24"/>
        </w:rPr>
        <w:t xml:space="preserve">НБС наставља да пружа банкама могућност </w:t>
      </w:r>
      <w:r>
        <w:rPr>
          <w:rFonts w:cs="Times New Roman"/>
          <w:szCs w:val="24"/>
          <w:lang w:val="sr-Cyrl-RS"/>
        </w:rPr>
        <w:t>закључења</w:t>
      </w:r>
      <w:r>
        <w:rPr>
          <w:rFonts w:cs="Times New Roman"/>
          <w:szCs w:val="24"/>
        </w:rPr>
        <w:t xml:space="preserve"> билатералних своп трансакција као</w:t>
      </w:r>
      <w:r>
        <w:rPr>
          <w:rFonts w:cs="Times New Roman"/>
          <w:szCs w:val="24"/>
          <w:lang w:val="sr-Cyrl-RS"/>
        </w:rPr>
        <w:t xml:space="preserve"> вид</w:t>
      </w:r>
      <w:r>
        <w:rPr>
          <w:rFonts w:cs="Times New Roman"/>
          <w:szCs w:val="24"/>
        </w:rPr>
        <w:t xml:space="preserve"> помоћ</w:t>
      </w:r>
      <w:r>
        <w:rPr>
          <w:rFonts w:cs="Times New Roman"/>
          <w:szCs w:val="24"/>
          <w:lang w:val="sr-Cyrl-RS"/>
        </w:rPr>
        <w:t>и</w:t>
      </w:r>
      <w:r>
        <w:rPr>
          <w:rFonts w:cs="Times New Roman"/>
          <w:szCs w:val="24"/>
        </w:rPr>
        <w:t xml:space="preserve"> банкама у управљању динарском и девизном ликвидношћу и помоћ</w:t>
      </w:r>
      <w:r>
        <w:rPr>
          <w:rFonts w:cs="Times New Roman"/>
          <w:szCs w:val="24"/>
          <w:lang w:val="sr-Cyrl-RS"/>
        </w:rPr>
        <w:t xml:space="preserve">и </w:t>
      </w:r>
      <w:r>
        <w:rPr>
          <w:rFonts w:cs="Times New Roman"/>
          <w:szCs w:val="24"/>
        </w:rPr>
        <w:t xml:space="preserve">у превазилажењу недовољних лимита за међубанкарску трговину. У овим трансакцијама НБС посредује између две банке са неутралним утицајем на динарску и </w:t>
      </w:r>
      <w:r>
        <w:rPr>
          <w:rFonts w:cs="Times New Roman"/>
          <w:szCs w:val="24"/>
          <w:lang w:val="sr-Cyrl-RS"/>
        </w:rPr>
        <w:t>девизну</w:t>
      </w:r>
      <w:r>
        <w:rPr>
          <w:rFonts w:cs="Times New Roman"/>
          <w:szCs w:val="24"/>
        </w:rPr>
        <w:t xml:space="preserve"> ликвидност банкарског сектора.</w:t>
      </w:r>
    </w:p>
    <w:p w14:paraId="218A1BA6" w14:textId="308D5755" w:rsidR="00C24E54" w:rsidRDefault="00C24E54" w:rsidP="00C24E54"/>
    <w:p w14:paraId="1BDC6339" w14:textId="52433BDA" w:rsidR="009333E2" w:rsidRPr="00E8578D" w:rsidRDefault="009333E2" w:rsidP="00C24E54">
      <w:pPr>
        <w:keepNext/>
        <w:keepLines/>
        <w:outlineLvl w:val="0"/>
        <w:rPr>
          <w:rFonts w:eastAsia="MS PGothic" w:cs="Times New Roman"/>
          <w:b/>
          <w:szCs w:val="24"/>
          <w:lang w:val="sr-Cyrl-RS" w:eastAsia="ja-JP"/>
        </w:rPr>
      </w:pPr>
      <w:r w:rsidRPr="00652D12">
        <w:rPr>
          <w:rFonts w:eastAsia="MS PGothic" w:cs="Times New Roman"/>
          <w:b/>
          <w:szCs w:val="24"/>
          <w:lang w:val="sr-Cyrl-RS" w:eastAsia="ja-JP"/>
        </w:rPr>
        <w:t>II</w:t>
      </w:r>
      <w:r w:rsidR="004D230C" w:rsidRPr="00652D12">
        <w:rPr>
          <w:rFonts w:eastAsia="MS PGothic" w:cs="Times New Roman"/>
          <w:b/>
          <w:szCs w:val="24"/>
          <w:lang w:val="sr-Cyrl-RS" w:eastAsia="ja-JP"/>
        </w:rPr>
        <w:t>I</w:t>
      </w:r>
      <w:r w:rsidRPr="00652D12">
        <w:rPr>
          <w:rFonts w:eastAsia="MS PGothic" w:cs="Times New Roman"/>
          <w:b/>
          <w:szCs w:val="24"/>
          <w:lang w:val="sr-Cyrl-RS" w:eastAsia="ja-JP"/>
        </w:rPr>
        <w:t>. СРЕДЊОРОЧНИ МАКРОЕКОНОМСКИ ОКВИР</w:t>
      </w:r>
    </w:p>
    <w:p w14:paraId="70D7345B" w14:textId="6C711EFD" w:rsidR="0047598D" w:rsidRPr="00652D12" w:rsidRDefault="009333E2" w:rsidP="00C24E54">
      <w:pPr>
        <w:keepNext/>
        <w:keepLines/>
        <w:outlineLvl w:val="1"/>
        <w:rPr>
          <w:rFonts w:eastAsia="Calibri" w:cs="Times New Roman"/>
          <w:szCs w:val="24"/>
          <w:lang w:val="sr-Cyrl-RS"/>
        </w:rPr>
      </w:pPr>
      <w:r w:rsidRPr="00652D12">
        <w:rPr>
          <w:rFonts w:eastAsia="Calibri" w:cs="Times New Roman"/>
          <w:szCs w:val="24"/>
          <w:lang w:val="sr-Cyrl-RS"/>
        </w:rPr>
        <w:t>1.</w:t>
      </w:r>
      <w:r w:rsidR="0047598D" w:rsidRPr="00652D12">
        <w:rPr>
          <w:rFonts w:eastAsia="Calibri" w:cs="Times New Roman"/>
          <w:szCs w:val="24"/>
          <w:lang w:val="sr-Cyrl-RS"/>
        </w:rPr>
        <w:t xml:space="preserve"> </w:t>
      </w:r>
      <w:r w:rsidR="00FF354A" w:rsidRPr="00652D12">
        <w:rPr>
          <w:rFonts w:eastAsia="Calibri" w:cs="Times New Roman"/>
          <w:szCs w:val="24"/>
          <w:lang w:val="sr-Cyrl-RS"/>
        </w:rPr>
        <w:t>ПРОЦЕНЕ МЕЂУНАРОДНОГ ЕКОНОМСКОГ ОКРУЖЕЊА</w:t>
      </w:r>
    </w:p>
    <w:p w14:paraId="3A42110F" w14:textId="592DDDEE" w:rsidR="00285C20" w:rsidRPr="00285C20" w:rsidRDefault="00285C20" w:rsidP="00C24E54">
      <w:pPr>
        <w:rPr>
          <w:lang w:val="sr-Cyrl-RS"/>
        </w:rPr>
      </w:pPr>
      <w:r w:rsidRPr="00285C20">
        <w:rPr>
          <w:lang w:val="sr-Cyrl-RS"/>
        </w:rPr>
        <w:t>Након готово пет узастопних квартала стагнације, од краја 2022. године и током 2023. године, привреда ЕУ је током прва три квартала 2024. године забележила</w:t>
      </w:r>
      <w:r w:rsidR="00C53E60">
        <w:rPr>
          <w:lang w:val="sr-Cyrl-RS"/>
        </w:rPr>
        <w:t xml:space="preserve"> умерен раст</w:t>
      </w:r>
      <w:r w:rsidR="00AC5D29">
        <w:rPr>
          <w:lang w:val="sr-Cyrl-RS"/>
        </w:rPr>
        <w:t>, који је износио 0,7%</w:t>
      </w:r>
      <w:r w:rsidR="00C53E60">
        <w:rPr>
          <w:lang w:val="sr-Cyrl-RS"/>
        </w:rPr>
        <w:t xml:space="preserve"> у поређењу са истим периодом претходне године</w:t>
      </w:r>
      <w:r w:rsidRPr="00285C20">
        <w:rPr>
          <w:lang w:val="sr-Cyrl-RS"/>
        </w:rPr>
        <w:t xml:space="preserve">. Према јесењим проценама Европске комисије (у даљем тексту: ЕК), привредни раст земаља ЕУ ће у 2024. години износити 0,9% што је блага ревизија наниже за 0,1 п.п. у односу на </w:t>
      </w:r>
      <w:r w:rsidRPr="00285C20">
        <w:rPr>
          <w:lang w:val="sr-Cyrl-RS"/>
        </w:rPr>
        <w:lastRenderedPageBreak/>
        <w:t>пролећна очекивања</w:t>
      </w:r>
      <w:r w:rsidR="00C53E60">
        <w:rPr>
          <w:lang w:val="sr-Cyrl-RS"/>
        </w:rPr>
        <w:t xml:space="preserve"> и 0,4 п.п. мање у односу на претходну јесењу пројекцију</w:t>
      </w:r>
      <w:r w:rsidRPr="00285C20">
        <w:rPr>
          <w:lang w:val="sr-Cyrl-RS"/>
        </w:rPr>
        <w:t xml:space="preserve">. </w:t>
      </w:r>
      <w:r w:rsidR="0061628B">
        <w:rPr>
          <w:lang w:val="sr-Cyrl-RS"/>
        </w:rPr>
        <w:t>Ревизија наниже,</w:t>
      </w:r>
      <w:r w:rsidRPr="00285C20">
        <w:rPr>
          <w:lang w:val="sr-Cyrl-RS"/>
        </w:rPr>
        <w:t xml:space="preserve"> последица је пре свега споријег раста приватне потрошње и мањег обима инвестиција у првој половин</w:t>
      </w:r>
      <w:r w:rsidR="000439A4">
        <w:rPr>
          <w:lang w:val="sr-Cyrl-RS"/>
        </w:rPr>
        <w:t>и</w:t>
      </w:r>
      <w:r w:rsidRPr="00285C20">
        <w:rPr>
          <w:lang w:val="sr-Cyrl-RS"/>
        </w:rPr>
        <w:t xml:space="preserve"> 2024. године од претходно процењеног. Расположиви доходак домаћинстава наставио је да расте захваљујући пре свега већој запослености и </w:t>
      </w:r>
      <w:r w:rsidR="0061628B">
        <w:rPr>
          <w:lang w:val="sr-Cyrl-RS"/>
        </w:rPr>
        <w:t>расту реалних зарада</w:t>
      </w:r>
      <w:r w:rsidRPr="00285C20">
        <w:rPr>
          <w:lang w:val="sr-Cyrl-RS"/>
        </w:rPr>
        <w:t xml:space="preserve">. Међутим, куповна моћ је и даље испод свог максимума из 2022. године услед високе инфлације у претходном периоду, док растућа неизвесност утиче на повећану склоност штедње домаћинстава. Стопа штедње домаћинстава у другом кварталу 2024. године износила је 14,8%, што је више од 3 п.п. изнад пре-пандемијског просека. </w:t>
      </w:r>
      <w:r w:rsidR="00AC5D29">
        <w:rPr>
          <w:lang w:val="sr-Cyrl-RS"/>
        </w:rPr>
        <w:t>О</w:t>
      </w:r>
      <w:r w:rsidR="00AC5D29" w:rsidRPr="00285C20">
        <w:rPr>
          <w:lang w:val="sr-Cyrl-RS"/>
        </w:rPr>
        <w:t>ви фактори имал</w:t>
      </w:r>
      <w:r w:rsidR="00AC5D29">
        <w:rPr>
          <w:lang w:val="sr-Cyrl-RS"/>
        </w:rPr>
        <w:t>и</w:t>
      </w:r>
      <w:r w:rsidR="00AC5D29" w:rsidRPr="00285C20">
        <w:rPr>
          <w:lang w:val="sr-Cyrl-RS"/>
        </w:rPr>
        <w:t xml:space="preserve"> су за последицу спорији раст </w:t>
      </w:r>
      <w:r w:rsidR="00AC5D29">
        <w:rPr>
          <w:lang w:val="sr-Cyrl-RS"/>
        </w:rPr>
        <w:t xml:space="preserve">приватне потрошње </w:t>
      </w:r>
      <w:r w:rsidR="00AC5D29" w:rsidRPr="00285C20">
        <w:rPr>
          <w:lang w:val="sr-Cyrl-RS"/>
        </w:rPr>
        <w:t>од претходно очекиваног</w:t>
      </w:r>
      <w:r w:rsidR="00AC5D29">
        <w:rPr>
          <w:lang w:val="sr-Cyrl-RS"/>
        </w:rPr>
        <w:t xml:space="preserve">, али ће она и даље остати </w:t>
      </w:r>
      <w:r w:rsidRPr="00285C20">
        <w:rPr>
          <w:lang w:val="sr-Cyrl-RS"/>
        </w:rPr>
        <w:t>главни генератор раста економск</w:t>
      </w:r>
      <w:r w:rsidR="00AC5D29">
        <w:rPr>
          <w:lang w:val="sr-Cyrl-RS"/>
        </w:rPr>
        <w:t>е активности током 2024. године</w:t>
      </w:r>
      <w:r w:rsidRPr="00285C20">
        <w:rPr>
          <w:lang w:val="sr-Cyrl-RS"/>
        </w:rPr>
        <w:t xml:space="preserve">. </w:t>
      </w:r>
      <w:r w:rsidRPr="00CE1971">
        <w:rPr>
          <w:lang w:val="sr-Cyrl-RS"/>
        </w:rPr>
        <w:t xml:space="preserve">Истовремено, инвестиције су </w:t>
      </w:r>
      <w:r w:rsidR="00CE1971" w:rsidRPr="00CE1971">
        <w:rPr>
          <w:lang w:val="sr-Cyrl-RS"/>
        </w:rPr>
        <w:t xml:space="preserve">забележиле пад </w:t>
      </w:r>
      <w:r w:rsidRPr="00CE1971">
        <w:rPr>
          <w:lang w:val="sr-Cyrl-RS"/>
        </w:rPr>
        <w:t>од</w:t>
      </w:r>
      <w:r w:rsidR="00CE1971" w:rsidRPr="00CE1971">
        <w:rPr>
          <w:lang w:val="sr-Cyrl-RS"/>
        </w:rPr>
        <w:t xml:space="preserve"> око</w:t>
      </w:r>
      <w:r w:rsidRPr="00CE1971">
        <w:rPr>
          <w:lang w:val="sr-Cyrl-RS"/>
        </w:rPr>
        <w:t xml:space="preserve"> 2,5%,</w:t>
      </w:r>
      <w:r w:rsidRPr="00285C20">
        <w:rPr>
          <w:lang w:val="sr-Cyrl-RS"/>
        </w:rPr>
        <w:t xml:space="preserve"> пре свега као последица изузетно нестабилне динамике инвестиција у производе интелектуалне својине подружница мултинационалних компанија у Ирској, али и услед </w:t>
      </w:r>
      <w:r w:rsidRPr="00CE1971">
        <w:rPr>
          <w:lang w:val="sr-Cyrl-RS"/>
        </w:rPr>
        <w:t>смањења</w:t>
      </w:r>
      <w:r w:rsidRPr="00285C20">
        <w:rPr>
          <w:lang w:val="sr-Cyrl-RS"/>
        </w:rPr>
        <w:t xml:space="preserve"> инвестиција у некретнине и опрему. Високе каматне стопе и пооштрени кредитни услови смањили су потражњу домаћинстава за новим становима, док структурне промене, попут хибридног модела рада и онлајн продаје, смањују потражњу за канцеларијским и малопродајним просторима. Инвестиције у опрему такође су се суочиле са притисцима услед спорог опоравка производње, али и растуће несигурности у вези са трговином, ценама енергената и брзином зелене транзиције. Услед тога, уместо претходно пројектованог благог раста </w:t>
      </w:r>
      <w:r>
        <w:rPr>
          <w:lang w:val="sr-Cyrl-RS"/>
        </w:rPr>
        <w:t xml:space="preserve">фиксних </w:t>
      </w:r>
      <w:r w:rsidRPr="00285C20">
        <w:rPr>
          <w:lang w:val="sr-Cyrl-RS"/>
        </w:rPr>
        <w:t>инвестиција у 2024. години, сада се очекује пад од 1,6%. Опоравак у глобалној робној трговини и наставак експанзије трговине услугама подстакли су извоз, за који се и у новој пројекцији очекује раст од 1,4%, док ће увоз расти спорије</w:t>
      </w:r>
      <w:r w:rsidR="00F06432">
        <w:rPr>
          <w:lang w:val="sr-Cyrl-RS"/>
        </w:rPr>
        <w:t xml:space="preserve"> по стопи од 0,2%</w:t>
      </w:r>
      <w:r w:rsidRPr="00285C20">
        <w:rPr>
          <w:lang w:val="sr-Cyrl-RS"/>
        </w:rPr>
        <w:t xml:space="preserve">, тако да ће допринос нето извоза расту БДП остати позитиван и у 2024. години. </w:t>
      </w:r>
    </w:p>
    <w:p w14:paraId="3FE5A43B" w14:textId="6D4F3888" w:rsidR="00335DAD" w:rsidRPr="00CD6D3A" w:rsidRDefault="00285C20" w:rsidP="00285C20">
      <w:pPr>
        <w:spacing w:after="240"/>
        <w:rPr>
          <w:lang w:val="sr-Cyrl-RS"/>
        </w:rPr>
      </w:pPr>
      <w:r w:rsidRPr="00285C20">
        <w:rPr>
          <w:lang w:val="sr-Cyrl-RS"/>
        </w:rPr>
        <w:t>Очекује се да ће</w:t>
      </w:r>
      <w:r w:rsidR="0061628B">
        <w:t xml:space="preserve"> </w:t>
      </w:r>
      <w:r w:rsidR="0061628B">
        <w:rPr>
          <w:lang w:val="sr-Cyrl-RS"/>
        </w:rPr>
        <w:t>рестриктивнији</w:t>
      </w:r>
      <w:r w:rsidRPr="00285C20">
        <w:rPr>
          <w:lang w:val="sr-Cyrl-RS"/>
        </w:rPr>
        <w:t xml:space="preserve"> услови финансирања</w:t>
      </w:r>
      <w:r w:rsidR="0061628B">
        <w:rPr>
          <w:lang w:val="sr-Cyrl-RS"/>
        </w:rPr>
        <w:t xml:space="preserve"> неповољније утицати на раст у краткорочном периоду али се очекује да ће ефекат високих каматних стопа слабити </w:t>
      </w:r>
      <w:r w:rsidRPr="00285C20">
        <w:rPr>
          <w:lang w:val="sr-Cyrl-RS"/>
        </w:rPr>
        <w:t xml:space="preserve">током хоризонта пројекције, </w:t>
      </w:r>
      <w:r w:rsidR="0061628B">
        <w:rPr>
          <w:lang w:val="sr-Cyrl-RS"/>
        </w:rPr>
        <w:t>што ће утицати на</w:t>
      </w:r>
      <w:r w:rsidRPr="00285C20">
        <w:rPr>
          <w:lang w:val="sr-Cyrl-RS"/>
        </w:rPr>
        <w:t xml:space="preserve"> убрзање економског раста на 1,5% у 2025. односно 1,8% у 2026. години. Упркос нешто споријем расту приватне потрошње и даље се очекује да ће она бити главни покретач средњорочног раста</w:t>
      </w:r>
      <w:r w:rsidR="00A93D49">
        <w:rPr>
          <w:lang w:val="sr-Cyrl-RS"/>
        </w:rPr>
        <w:t>,</w:t>
      </w:r>
      <w:r w:rsidRPr="00285C20">
        <w:rPr>
          <w:lang w:val="sr-Cyrl-RS"/>
        </w:rPr>
        <w:t xml:space="preserve"> као резултат снажног раста плата и успоравања инфлације</w:t>
      </w:r>
      <w:r w:rsidR="00A93D49">
        <w:rPr>
          <w:lang w:val="sr-Cyrl-RS"/>
        </w:rPr>
        <w:t xml:space="preserve">, као </w:t>
      </w:r>
      <w:r w:rsidRPr="00285C20">
        <w:rPr>
          <w:lang w:val="sr-Cyrl-RS"/>
        </w:rPr>
        <w:t>и пораста поверења потрошача. Предвиђено је да ће стамбене инвестиције забележити раст у 2025. години као резултат постепеног ишчезавања ефеката пооштрених услова финансирања и наставка реалног раста расположивог дохотка становништва. Пословне инвестиције ће убрзати темпо раста током хоризонта пројекције услед побољшања потражње, слабљења негативног утицаја услова финансирања и пораста зелених и дигиталних инвестиција, као и позитивних ефеката у оквиру програма Next Generation EU. Фактори који утичу на конкурентност извоза попут већих трошкова производње изазваних растом цена енергената и снажним растом реалних плата, али и структурни проблеми у индустријском сектору у појединим земљама</w:t>
      </w:r>
      <w:r w:rsidR="00A93D49">
        <w:rPr>
          <w:lang w:val="sr-Cyrl-RS"/>
        </w:rPr>
        <w:t>,</w:t>
      </w:r>
      <w:r w:rsidRPr="00285C20">
        <w:rPr>
          <w:lang w:val="sr-Cyrl-RS"/>
        </w:rPr>
        <w:t xml:space="preserve"> и даље отежавају извоз</w:t>
      </w:r>
      <w:r w:rsidR="00F862D1">
        <w:rPr>
          <w:lang w:val="sr-Cyrl-RS"/>
        </w:rPr>
        <w:t>ну активност</w:t>
      </w:r>
      <w:r w:rsidRPr="00285C20">
        <w:rPr>
          <w:lang w:val="sr-Cyrl-RS"/>
        </w:rPr>
        <w:t>. Очекује се да ће тек почетком 2025. доћи до постепеног опоравка извоза, али по стопама нижим од историјског просека. Истовремено, очекује се умерен раст увоза што ће за резултат имати углавном неутралан допринос нето извоза током пројекцијског периода. Економска активност наших највећих спољнотрговинских партнера</w:t>
      </w:r>
      <w:r w:rsidR="00A93D49">
        <w:rPr>
          <w:lang w:val="sr-Cyrl-RS"/>
        </w:rPr>
        <w:t>,</w:t>
      </w:r>
      <w:r w:rsidRPr="00285C20">
        <w:rPr>
          <w:lang w:val="sr-Cyrl-RS"/>
        </w:rPr>
        <w:t xml:space="preserve"> пре свега Немачке и Италије</w:t>
      </w:r>
      <w:r w:rsidR="00A93D49">
        <w:rPr>
          <w:lang w:val="sr-Cyrl-RS"/>
        </w:rPr>
        <w:t>,</w:t>
      </w:r>
      <w:r w:rsidRPr="00285C20">
        <w:rPr>
          <w:lang w:val="sr-Cyrl-RS"/>
        </w:rPr>
        <w:t xml:space="preserve"> и даље је под значајним утицајем конфликта у Украјини и проблема у сектору индустрије, што се негативно одражава на </w:t>
      </w:r>
      <w:r w:rsidR="00F862D1">
        <w:rPr>
          <w:lang w:val="sr-Cyrl-RS"/>
        </w:rPr>
        <w:t>све компоненте привредног раста</w:t>
      </w:r>
      <w:r w:rsidRPr="00285C20">
        <w:rPr>
          <w:lang w:val="sr-Cyrl-RS"/>
        </w:rPr>
        <w:t>. Очекује се да ће економска активност у Немачкој остварити пад од 0,1% у 2024. годин</w:t>
      </w:r>
      <w:r w:rsidR="00A93D49">
        <w:rPr>
          <w:lang w:val="sr-Cyrl-RS"/>
        </w:rPr>
        <w:t>и</w:t>
      </w:r>
      <w:r w:rsidRPr="00285C20">
        <w:rPr>
          <w:lang w:val="sr-Cyrl-RS"/>
        </w:rPr>
        <w:t xml:space="preserve"> (према пролећној пројекцији очекивао се раст од 0,1%), док је раст за 2025. годину ревидиран наниже са 1,0% на 0,7% у односу на пролећну пројекцију. Италијанска привреда ће у 2024. години забележити раст од 0,7%, док ће у 2025. години раст износити 1,0%, што представља ревизију наниже од 0,1 п.п. у поређењу са пролећном пројекцијом.</w:t>
      </w:r>
      <w:r w:rsidR="00CD6D3A" w:rsidRPr="00CD6D3A">
        <w:t xml:space="preserve"> </w:t>
      </w:r>
      <w:r w:rsidR="00CD6D3A" w:rsidRPr="00CD6D3A">
        <w:rPr>
          <w:lang w:val="sr-Cyrl-RS"/>
        </w:rPr>
        <w:lastRenderedPageBreak/>
        <w:t>Неизвесност и ризици по остварење пројекције су и даље изражени и односе се на даљи ток сукоба у Украјини и на Блиском истоку, негативне последице протекционистичких мера на глобалну трговину, низак ниво продуктивности, као и климатске промене.</w:t>
      </w:r>
    </w:p>
    <w:tbl>
      <w:tblPr>
        <w:tblW w:w="9356" w:type="dxa"/>
        <w:jc w:val="center"/>
        <w:tblLayout w:type="fixed"/>
        <w:tblLook w:val="04A0" w:firstRow="1" w:lastRow="0" w:firstColumn="1" w:lastColumn="0" w:noHBand="0" w:noVBand="1"/>
      </w:tblPr>
      <w:tblGrid>
        <w:gridCol w:w="3686"/>
        <w:gridCol w:w="850"/>
        <w:gridCol w:w="1134"/>
        <w:gridCol w:w="851"/>
        <w:gridCol w:w="850"/>
        <w:gridCol w:w="1134"/>
        <w:gridCol w:w="851"/>
      </w:tblGrid>
      <w:tr w:rsidR="0071281F" w:rsidRPr="00076D43" w14:paraId="595A449F" w14:textId="77777777" w:rsidTr="0071281F">
        <w:trPr>
          <w:trHeight w:val="316"/>
          <w:jc w:val="center"/>
        </w:trPr>
        <w:tc>
          <w:tcPr>
            <w:tcW w:w="9356" w:type="dxa"/>
            <w:gridSpan w:val="7"/>
            <w:tcBorders>
              <w:top w:val="nil"/>
              <w:left w:val="nil"/>
              <w:bottom w:val="single" w:sz="8" w:space="0" w:color="002060"/>
              <w:right w:val="nil"/>
            </w:tcBorders>
          </w:tcPr>
          <w:p w14:paraId="3FE8999F" w14:textId="77777777" w:rsidR="0071281F" w:rsidRPr="00076D43" w:rsidRDefault="0071281F" w:rsidP="00D2109C">
            <w:pPr>
              <w:spacing w:after="0"/>
              <w:rPr>
                <w:rFonts w:cs="Times New Roman"/>
                <w:szCs w:val="24"/>
                <w:lang w:val="sr-Cyrl-RS"/>
              </w:rPr>
            </w:pPr>
            <w:r w:rsidRPr="00076D43">
              <w:rPr>
                <w:rFonts w:cs="Times New Roman"/>
                <w:szCs w:val="24"/>
                <w:lang w:val="sr-Cyrl-RS"/>
              </w:rPr>
              <w:t xml:space="preserve">Табела 1. Макроекономске пројекције за подручје </w:t>
            </w:r>
            <w:r>
              <w:rPr>
                <w:rFonts w:cs="Times New Roman"/>
                <w:szCs w:val="24"/>
              </w:rPr>
              <w:t>E</w:t>
            </w:r>
            <w:r>
              <w:rPr>
                <w:rFonts w:cs="Times New Roman"/>
                <w:szCs w:val="24"/>
                <w:lang w:val="sr-Cyrl-RS"/>
              </w:rPr>
              <w:t>У</w:t>
            </w:r>
            <w:r w:rsidRPr="00076D43">
              <w:rPr>
                <w:rFonts w:cs="Times New Roman"/>
                <w:szCs w:val="24"/>
                <w:lang w:val="sr-Cyrl-RS"/>
              </w:rPr>
              <w:t>, промене у односу на претходну годину, %</w:t>
            </w:r>
          </w:p>
        </w:tc>
      </w:tr>
      <w:tr w:rsidR="0071281F" w:rsidRPr="00076D43" w14:paraId="27075B77" w14:textId="77777777" w:rsidTr="0071281F">
        <w:trPr>
          <w:trHeight w:val="316"/>
          <w:jc w:val="center"/>
        </w:trPr>
        <w:tc>
          <w:tcPr>
            <w:tcW w:w="3686" w:type="dxa"/>
            <w:tcBorders>
              <w:top w:val="nil"/>
              <w:left w:val="nil"/>
              <w:bottom w:val="single" w:sz="8" w:space="0" w:color="002060"/>
              <w:right w:val="nil"/>
            </w:tcBorders>
            <w:shd w:val="clear" w:color="auto" w:fill="auto"/>
            <w:noWrap/>
            <w:vAlign w:val="center"/>
            <w:hideMark/>
          </w:tcPr>
          <w:p w14:paraId="77077C1F" w14:textId="77777777" w:rsidR="0071281F" w:rsidRPr="00076D43" w:rsidRDefault="0071281F" w:rsidP="00D2109C">
            <w:pPr>
              <w:spacing w:after="0"/>
              <w:jc w:val="center"/>
              <w:rPr>
                <w:rFonts w:eastAsia="Times New Roman" w:cs="Times New Roman"/>
                <w:sz w:val="18"/>
                <w:szCs w:val="18"/>
                <w:lang w:val="sr-Cyrl-RS" w:eastAsia="en-GB"/>
              </w:rPr>
            </w:pPr>
            <w:r w:rsidRPr="00076D43">
              <w:rPr>
                <w:rFonts w:eastAsia="Times New Roman" w:cs="Times New Roman"/>
                <w:sz w:val="18"/>
                <w:szCs w:val="18"/>
                <w:lang w:val="sr-Cyrl-RS" w:eastAsia="en-GB"/>
              </w:rPr>
              <w:t> </w:t>
            </w:r>
          </w:p>
        </w:tc>
        <w:tc>
          <w:tcPr>
            <w:tcW w:w="3685" w:type="dxa"/>
            <w:gridSpan w:val="4"/>
            <w:tcBorders>
              <w:top w:val="single" w:sz="4" w:space="0" w:color="auto"/>
              <w:left w:val="nil"/>
              <w:bottom w:val="single" w:sz="8" w:space="0" w:color="002060"/>
              <w:right w:val="single" w:sz="8" w:space="0" w:color="auto"/>
            </w:tcBorders>
            <w:shd w:val="clear" w:color="auto" w:fill="auto"/>
            <w:noWrap/>
            <w:vAlign w:val="center"/>
            <w:hideMark/>
          </w:tcPr>
          <w:p w14:paraId="7531B4D5" w14:textId="77777777" w:rsidR="0071281F" w:rsidRPr="00076D43" w:rsidRDefault="0071281F" w:rsidP="00D2109C">
            <w:pPr>
              <w:spacing w:after="0"/>
              <w:jc w:val="center"/>
              <w:rPr>
                <w:rFonts w:eastAsia="Times New Roman" w:cs="Times New Roman"/>
                <w:sz w:val="18"/>
                <w:szCs w:val="18"/>
                <w:lang w:val="sr-Cyrl-RS" w:eastAsia="en-GB"/>
              </w:rPr>
            </w:pPr>
            <w:r w:rsidRPr="00076D43">
              <w:rPr>
                <w:rFonts w:eastAsia="Times New Roman" w:cs="Times New Roman"/>
                <w:sz w:val="18"/>
                <w:szCs w:val="18"/>
                <w:lang w:val="sr-Cyrl-RS" w:eastAsia="en-GB"/>
              </w:rPr>
              <w:t>Тренутна пројекција</w:t>
            </w:r>
          </w:p>
        </w:tc>
        <w:tc>
          <w:tcPr>
            <w:tcW w:w="1985" w:type="dxa"/>
            <w:gridSpan w:val="2"/>
            <w:tcBorders>
              <w:top w:val="single" w:sz="8" w:space="0" w:color="auto"/>
              <w:left w:val="single" w:sz="8" w:space="0" w:color="auto"/>
              <w:bottom w:val="single" w:sz="8" w:space="0" w:color="002060"/>
            </w:tcBorders>
            <w:shd w:val="clear" w:color="auto" w:fill="auto"/>
            <w:noWrap/>
            <w:vAlign w:val="center"/>
            <w:hideMark/>
          </w:tcPr>
          <w:p w14:paraId="0EF34E16" w14:textId="77777777" w:rsidR="0071281F" w:rsidRPr="00076D43" w:rsidRDefault="0071281F" w:rsidP="00D2109C">
            <w:pPr>
              <w:spacing w:after="0"/>
              <w:jc w:val="center"/>
              <w:rPr>
                <w:rFonts w:eastAsia="Times New Roman" w:cs="Times New Roman"/>
                <w:sz w:val="18"/>
                <w:szCs w:val="18"/>
                <w:lang w:val="sr-Cyrl-RS" w:eastAsia="en-GB"/>
              </w:rPr>
            </w:pPr>
            <w:r w:rsidRPr="00076D43">
              <w:rPr>
                <w:rFonts w:eastAsia="Times New Roman" w:cs="Times New Roman"/>
                <w:sz w:val="18"/>
                <w:szCs w:val="18"/>
                <w:lang w:val="sr-Cyrl-RS" w:eastAsia="en-GB"/>
              </w:rPr>
              <w:t>Претходна (пролећна) пројекција</w:t>
            </w:r>
          </w:p>
        </w:tc>
      </w:tr>
      <w:tr w:rsidR="0071281F" w:rsidRPr="00076D43" w14:paraId="08D0E500" w14:textId="77777777" w:rsidTr="0071281F">
        <w:trPr>
          <w:trHeight w:val="284"/>
          <w:jc w:val="center"/>
        </w:trPr>
        <w:tc>
          <w:tcPr>
            <w:tcW w:w="3686" w:type="dxa"/>
            <w:tcBorders>
              <w:top w:val="nil"/>
              <w:left w:val="nil"/>
              <w:bottom w:val="nil"/>
              <w:right w:val="nil"/>
            </w:tcBorders>
            <w:shd w:val="clear" w:color="auto" w:fill="auto"/>
            <w:noWrap/>
            <w:vAlign w:val="center"/>
            <w:hideMark/>
          </w:tcPr>
          <w:p w14:paraId="604CA3EB" w14:textId="77777777" w:rsidR="0071281F" w:rsidRPr="00076D43" w:rsidRDefault="0071281F" w:rsidP="00D2109C">
            <w:pPr>
              <w:spacing w:after="0"/>
              <w:jc w:val="center"/>
              <w:rPr>
                <w:rFonts w:eastAsia="Times New Roman" w:cs="Times New Roman"/>
                <w:sz w:val="18"/>
                <w:szCs w:val="18"/>
                <w:lang w:val="sr-Cyrl-RS" w:eastAsia="en-GB"/>
              </w:rPr>
            </w:pPr>
          </w:p>
        </w:tc>
        <w:tc>
          <w:tcPr>
            <w:tcW w:w="850" w:type="dxa"/>
            <w:tcBorders>
              <w:top w:val="nil"/>
              <w:left w:val="nil"/>
              <w:bottom w:val="single" w:sz="8" w:space="0" w:color="002060"/>
              <w:right w:val="nil"/>
            </w:tcBorders>
            <w:shd w:val="clear" w:color="auto" w:fill="auto"/>
            <w:noWrap/>
            <w:vAlign w:val="center"/>
            <w:hideMark/>
          </w:tcPr>
          <w:p w14:paraId="77395758" w14:textId="77777777" w:rsidR="0071281F" w:rsidRPr="00076D43" w:rsidRDefault="0071281F" w:rsidP="00D2109C">
            <w:pPr>
              <w:spacing w:after="0"/>
              <w:jc w:val="center"/>
              <w:rPr>
                <w:rFonts w:eastAsia="Times New Roman" w:cs="Times New Roman"/>
                <w:sz w:val="18"/>
                <w:szCs w:val="18"/>
                <w:lang w:val="sr-Latn-RS" w:eastAsia="en-GB"/>
              </w:rPr>
            </w:pPr>
            <w:r w:rsidRPr="00076D43">
              <w:rPr>
                <w:rFonts w:eastAsia="Times New Roman" w:cs="Times New Roman"/>
                <w:sz w:val="18"/>
                <w:szCs w:val="18"/>
                <w:lang w:val="sr-Cyrl-RS" w:eastAsia="en-GB"/>
              </w:rPr>
              <w:t>202</w:t>
            </w:r>
            <w:r w:rsidRPr="00076D43">
              <w:rPr>
                <w:rFonts w:eastAsia="Times New Roman" w:cs="Times New Roman"/>
                <w:sz w:val="18"/>
                <w:szCs w:val="18"/>
                <w:lang w:val="sr-Latn-RS" w:eastAsia="en-GB"/>
              </w:rPr>
              <w:t>3</w:t>
            </w:r>
          </w:p>
        </w:tc>
        <w:tc>
          <w:tcPr>
            <w:tcW w:w="1134" w:type="dxa"/>
            <w:tcBorders>
              <w:top w:val="nil"/>
              <w:left w:val="nil"/>
              <w:bottom w:val="single" w:sz="8" w:space="0" w:color="002060"/>
              <w:right w:val="nil"/>
            </w:tcBorders>
            <w:shd w:val="clear" w:color="auto" w:fill="auto"/>
            <w:noWrap/>
            <w:vAlign w:val="center"/>
            <w:hideMark/>
          </w:tcPr>
          <w:p w14:paraId="6DD8B72A" w14:textId="77777777" w:rsidR="0071281F" w:rsidRPr="00076D43" w:rsidRDefault="0071281F" w:rsidP="00D2109C">
            <w:pPr>
              <w:spacing w:after="0"/>
              <w:jc w:val="center"/>
              <w:rPr>
                <w:rFonts w:eastAsia="Times New Roman" w:cs="Times New Roman"/>
                <w:sz w:val="18"/>
                <w:szCs w:val="18"/>
                <w:lang w:val="sr-Latn-RS" w:eastAsia="en-GB"/>
              </w:rPr>
            </w:pPr>
            <w:r w:rsidRPr="00076D43">
              <w:rPr>
                <w:rFonts w:eastAsia="Times New Roman" w:cs="Times New Roman"/>
                <w:sz w:val="18"/>
                <w:szCs w:val="18"/>
                <w:lang w:val="sr-Cyrl-RS" w:eastAsia="en-GB"/>
              </w:rPr>
              <w:t>202</w:t>
            </w:r>
            <w:r w:rsidRPr="00076D43">
              <w:rPr>
                <w:rFonts w:eastAsia="Times New Roman" w:cs="Times New Roman"/>
                <w:sz w:val="18"/>
                <w:szCs w:val="18"/>
                <w:lang w:val="sr-Latn-RS" w:eastAsia="en-GB"/>
              </w:rPr>
              <w:t>4</w:t>
            </w:r>
          </w:p>
        </w:tc>
        <w:tc>
          <w:tcPr>
            <w:tcW w:w="851" w:type="dxa"/>
            <w:tcBorders>
              <w:top w:val="nil"/>
              <w:left w:val="nil"/>
              <w:bottom w:val="single" w:sz="8" w:space="0" w:color="002060"/>
            </w:tcBorders>
            <w:shd w:val="clear" w:color="auto" w:fill="auto"/>
            <w:noWrap/>
            <w:vAlign w:val="center"/>
            <w:hideMark/>
          </w:tcPr>
          <w:p w14:paraId="2DF7AB30" w14:textId="77777777" w:rsidR="0071281F" w:rsidRPr="00076D43" w:rsidRDefault="0071281F" w:rsidP="00D2109C">
            <w:pPr>
              <w:spacing w:after="0"/>
              <w:jc w:val="center"/>
              <w:rPr>
                <w:rFonts w:eastAsia="Times New Roman" w:cs="Times New Roman"/>
                <w:sz w:val="18"/>
                <w:szCs w:val="18"/>
                <w:lang w:val="sr-Latn-RS" w:eastAsia="en-GB"/>
              </w:rPr>
            </w:pPr>
            <w:r w:rsidRPr="00076D43">
              <w:rPr>
                <w:rFonts w:eastAsia="Times New Roman" w:cs="Times New Roman"/>
                <w:sz w:val="18"/>
                <w:szCs w:val="18"/>
                <w:lang w:val="sr-Cyrl-RS" w:eastAsia="en-GB"/>
              </w:rPr>
              <w:t>202</w:t>
            </w:r>
            <w:r w:rsidRPr="00076D43">
              <w:rPr>
                <w:rFonts w:eastAsia="Times New Roman" w:cs="Times New Roman"/>
                <w:sz w:val="18"/>
                <w:szCs w:val="18"/>
                <w:lang w:val="sr-Latn-RS" w:eastAsia="en-GB"/>
              </w:rPr>
              <w:t>5</w:t>
            </w:r>
          </w:p>
        </w:tc>
        <w:tc>
          <w:tcPr>
            <w:tcW w:w="850" w:type="dxa"/>
            <w:tcBorders>
              <w:top w:val="nil"/>
              <w:left w:val="nil"/>
              <w:bottom w:val="single" w:sz="8" w:space="0" w:color="002060"/>
              <w:right w:val="single" w:sz="8" w:space="0" w:color="auto"/>
            </w:tcBorders>
            <w:vAlign w:val="center"/>
          </w:tcPr>
          <w:p w14:paraId="116F1DB1" w14:textId="77777777" w:rsidR="0071281F" w:rsidRPr="00076D43" w:rsidRDefault="0071281F" w:rsidP="00D2109C">
            <w:pPr>
              <w:spacing w:after="0"/>
              <w:jc w:val="center"/>
              <w:rPr>
                <w:rFonts w:eastAsia="Times New Roman" w:cs="Times New Roman"/>
                <w:sz w:val="18"/>
                <w:szCs w:val="18"/>
                <w:lang w:val="sr-Cyrl-RS" w:eastAsia="en-GB"/>
              </w:rPr>
            </w:pPr>
            <w:r>
              <w:rPr>
                <w:rFonts w:eastAsia="Times New Roman" w:cs="Times New Roman"/>
                <w:sz w:val="18"/>
                <w:szCs w:val="18"/>
                <w:lang w:val="sr-Cyrl-RS" w:eastAsia="en-GB"/>
              </w:rPr>
              <w:t>2026</w:t>
            </w:r>
          </w:p>
        </w:tc>
        <w:tc>
          <w:tcPr>
            <w:tcW w:w="1134" w:type="dxa"/>
            <w:tcBorders>
              <w:top w:val="nil"/>
              <w:left w:val="single" w:sz="8" w:space="0" w:color="auto"/>
              <w:bottom w:val="single" w:sz="8" w:space="0" w:color="002060"/>
              <w:right w:val="nil"/>
            </w:tcBorders>
            <w:shd w:val="clear" w:color="auto" w:fill="auto"/>
            <w:noWrap/>
            <w:vAlign w:val="center"/>
            <w:hideMark/>
          </w:tcPr>
          <w:p w14:paraId="6ED2CD30" w14:textId="77777777" w:rsidR="0071281F" w:rsidRPr="00076D43" w:rsidRDefault="0071281F" w:rsidP="00D2109C">
            <w:pPr>
              <w:spacing w:after="0"/>
              <w:jc w:val="center"/>
              <w:rPr>
                <w:rFonts w:eastAsia="Times New Roman" w:cs="Times New Roman"/>
                <w:sz w:val="18"/>
                <w:szCs w:val="18"/>
                <w:lang w:val="sr-Cyrl-RS" w:eastAsia="en-GB"/>
              </w:rPr>
            </w:pPr>
            <w:r w:rsidRPr="00076D43">
              <w:rPr>
                <w:rFonts w:eastAsia="Times New Roman" w:cs="Times New Roman"/>
                <w:sz w:val="18"/>
                <w:szCs w:val="18"/>
                <w:lang w:val="sr-Cyrl-RS" w:eastAsia="en-GB"/>
              </w:rPr>
              <w:t>2024</w:t>
            </w:r>
          </w:p>
        </w:tc>
        <w:tc>
          <w:tcPr>
            <w:tcW w:w="851" w:type="dxa"/>
            <w:tcBorders>
              <w:top w:val="nil"/>
              <w:left w:val="nil"/>
              <w:bottom w:val="single" w:sz="8" w:space="0" w:color="002060"/>
            </w:tcBorders>
            <w:shd w:val="clear" w:color="auto" w:fill="auto"/>
            <w:vAlign w:val="center"/>
            <w:hideMark/>
          </w:tcPr>
          <w:p w14:paraId="2816ABFE" w14:textId="77777777" w:rsidR="0071281F" w:rsidRPr="00076D43" w:rsidRDefault="0071281F" w:rsidP="00D2109C">
            <w:pPr>
              <w:spacing w:after="0"/>
              <w:jc w:val="center"/>
              <w:rPr>
                <w:rFonts w:eastAsia="Times New Roman" w:cs="Times New Roman"/>
                <w:sz w:val="18"/>
                <w:szCs w:val="18"/>
                <w:lang w:val="sr-Latn-RS" w:eastAsia="en-GB"/>
              </w:rPr>
            </w:pPr>
            <w:r w:rsidRPr="00076D43">
              <w:rPr>
                <w:rFonts w:eastAsia="Times New Roman" w:cs="Times New Roman"/>
                <w:sz w:val="18"/>
                <w:szCs w:val="18"/>
                <w:lang w:val="sr-Cyrl-RS" w:eastAsia="en-GB"/>
              </w:rPr>
              <w:t>202</w:t>
            </w:r>
            <w:r w:rsidRPr="00076D43">
              <w:rPr>
                <w:rFonts w:eastAsia="Times New Roman" w:cs="Times New Roman"/>
                <w:sz w:val="18"/>
                <w:szCs w:val="18"/>
                <w:lang w:val="sr-Latn-RS" w:eastAsia="en-GB"/>
              </w:rPr>
              <w:t>5</w:t>
            </w:r>
          </w:p>
        </w:tc>
      </w:tr>
      <w:tr w:rsidR="0071281F" w:rsidRPr="00076D43" w14:paraId="2BAA9D63" w14:textId="77777777" w:rsidTr="0071281F">
        <w:trPr>
          <w:trHeight w:val="284"/>
          <w:jc w:val="center"/>
        </w:trPr>
        <w:tc>
          <w:tcPr>
            <w:tcW w:w="3686" w:type="dxa"/>
            <w:tcBorders>
              <w:top w:val="nil"/>
              <w:left w:val="nil"/>
              <w:bottom w:val="nil"/>
              <w:right w:val="nil"/>
            </w:tcBorders>
            <w:shd w:val="clear" w:color="auto" w:fill="auto"/>
            <w:noWrap/>
            <w:vAlign w:val="center"/>
            <w:hideMark/>
          </w:tcPr>
          <w:p w14:paraId="50EDED8B" w14:textId="77777777" w:rsidR="0071281F" w:rsidRPr="00076D43" w:rsidRDefault="0071281F" w:rsidP="00D2109C">
            <w:pPr>
              <w:spacing w:after="0"/>
              <w:rPr>
                <w:rFonts w:eastAsia="Times New Roman" w:cs="Times New Roman"/>
                <w:sz w:val="18"/>
                <w:szCs w:val="18"/>
                <w:lang w:val="sr-Cyrl-RS" w:eastAsia="en-GB"/>
              </w:rPr>
            </w:pPr>
            <w:r w:rsidRPr="00076D43">
              <w:rPr>
                <w:rFonts w:eastAsia="Times New Roman" w:cs="Times New Roman"/>
                <w:sz w:val="18"/>
                <w:szCs w:val="18"/>
                <w:lang w:val="sr-Cyrl-RS" w:eastAsia="en-GB"/>
              </w:rPr>
              <w:t>БДП</w:t>
            </w:r>
          </w:p>
        </w:tc>
        <w:tc>
          <w:tcPr>
            <w:tcW w:w="850" w:type="dxa"/>
            <w:tcBorders>
              <w:top w:val="nil"/>
              <w:left w:val="nil"/>
              <w:bottom w:val="nil"/>
              <w:right w:val="nil"/>
            </w:tcBorders>
            <w:shd w:val="clear" w:color="auto" w:fill="auto"/>
            <w:noWrap/>
            <w:vAlign w:val="center"/>
          </w:tcPr>
          <w:p w14:paraId="52BEBE58" w14:textId="77777777" w:rsidR="0071281F" w:rsidRPr="007A118F" w:rsidRDefault="0071281F" w:rsidP="00D2109C">
            <w:pPr>
              <w:spacing w:after="0"/>
              <w:jc w:val="center"/>
              <w:rPr>
                <w:rFonts w:eastAsia="Times New Roman" w:cs="Times New Roman"/>
                <w:sz w:val="18"/>
                <w:szCs w:val="18"/>
                <w:lang w:val="sr-Cyrl-RS" w:eastAsia="en-GB"/>
              </w:rPr>
            </w:pPr>
            <w:r>
              <w:rPr>
                <w:rFonts w:eastAsia="Times New Roman" w:cs="Times New Roman"/>
                <w:sz w:val="18"/>
                <w:szCs w:val="18"/>
                <w:lang w:val="sr-Cyrl-RS" w:eastAsia="en-GB"/>
              </w:rPr>
              <w:t>0,4</w:t>
            </w:r>
          </w:p>
        </w:tc>
        <w:tc>
          <w:tcPr>
            <w:tcW w:w="1134" w:type="dxa"/>
            <w:tcBorders>
              <w:top w:val="nil"/>
              <w:left w:val="nil"/>
              <w:bottom w:val="nil"/>
              <w:right w:val="nil"/>
            </w:tcBorders>
            <w:shd w:val="clear" w:color="auto" w:fill="auto"/>
            <w:noWrap/>
            <w:vAlign w:val="center"/>
          </w:tcPr>
          <w:p w14:paraId="7A990F6E" w14:textId="77777777" w:rsidR="0071281F" w:rsidRPr="007A118F" w:rsidRDefault="0071281F" w:rsidP="00D2109C">
            <w:pPr>
              <w:spacing w:after="0"/>
              <w:jc w:val="center"/>
              <w:rPr>
                <w:rFonts w:eastAsia="Times New Roman" w:cs="Times New Roman"/>
                <w:sz w:val="18"/>
                <w:szCs w:val="18"/>
                <w:lang w:val="sr-Cyrl-RS" w:eastAsia="en-GB"/>
              </w:rPr>
            </w:pPr>
            <w:r>
              <w:rPr>
                <w:rFonts w:eastAsia="Times New Roman" w:cs="Times New Roman"/>
                <w:sz w:val="18"/>
                <w:szCs w:val="18"/>
                <w:lang w:val="sr-Cyrl-RS" w:eastAsia="en-GB"/>
              </w:rPr>
              <w:t>0,9</w:t>
            </w:r>
          </w:p>
        </w:tc>
        <w:tc>
          <w:tcPr>
            <w:tcW w:w="851" w:type="dxa"/>
            <w:tcBorders>
              <w:top w:val="nil"/>
              <w:left w:val="nil"/>
              <w:bottom w:val="nil"/>
            </w:tcBorders>
            <w:shd w:val="clear" w:color="auto" w:fill="auto"/>
            <w:noWrap/>
            <w:vAlign w:val="center"/>
          </w:tcPr>
          <w:p w14:paraId="5CF1EA84" w14:textId="77777777" w:rsidR="0071281F" w:rsidRPr="007A118F" w:rsidRDefault="0071281F" w:rsidP="00D2109C">
            <w:pPr>
              <w:spacing w:after="0"/>
              <w:jc w:val="center"/>
              <w:rPr>
                <w:rFonts w:eastAsia="Times New Roman" w:cs="Times New Roman"/>
                <w:sz w:val="18"/>
                <w:szCs w:val="18"/>
                <w:lang w:val="sr-Cyrl-RS" w:eastAsia="en-GB"/>
              </w:rPr>
            </w:pPr>
            <w:r>
              <w:rPr>
                <w:rFonts w:eastAsia="Times New Roman" w:cs="Times New Roman"/>
                <w:sz w:val="18"/>
                <w:szCs w:val="18"/>
                <w:lang w:val="sr-Cyrl-RS" w:eastAsia="en-GB"/>
              </w:rPr>
              <w:t>1,5</w:t>
            </w:r>
          </w:p>
        </w:tc>
        <w:tc>
          <w:tcPr>
            <w:tcW w:w="850" w:type="dxa"/>
            <w:tcBorders>
              <w:top w:val="nil"/>
              <w:left w:val="nil"/>
              <w:bottom w:val="nil"/>
              <w:right w:val="single" w:sz="8" w:space="0" w:color="auto"/>
            </w:tcBorders>
            <w:vAlign w:val="center"/>
          </w:tcPr>
          <w:p w14:paraId="47BEB806" w14:textId="77777777" w:rsidR="0071281F" w:rsidRPr="007A118F" w:rsidRDefault="0071281F" w:rsidP="00D2109C">
            <w:pPr>
              <w:spacing w:after="0"/>
              <w:jc w:val="center"/>
              <w:rPr>
                <w:rFonts w:eastAsia="Times New Roman" w:cs="Times New Roman"/>
                <w:sz w:val="18"/>
                <w:szCs w:val="18"/>
                <w:lang w:val="sr-Cyrl-RS" w:eastAsia="en-GB"/>
              </w:rPr>
            </w:pPr>
            <w:r>
              <w:rPr>
                <w:rFonts w:eastAsia="Times New Roman" w:cs="Times New Roman"/>
                <w:sz w:val="18"/>
                <w:szCs w:val="18"/>
                <w:lang w:val="sr-Cyrl-RS" w:eastAsia="en-GB"/>
              </w:rPr>
              <w:t>1,8</w:t>
            </w:r>
          </w:p>
        </w:tc>
        <w:tc>
          <w:tcPr>
            <w:tcW w:w="1134" w:type="dxa"/>
            <w:tcBorders>
              <w:top w:val="nil"/>
              <w:left w:val="single" w:sz="8" w:space="0" w:color="auto"/>
              <w:bottom w:val="nil"/>
              <w:right w:val="nil"/>
            </w:tcBorders>
            <w:shd w:val="clear" w:color="auto" w:fill="auto"/>
            <w:noWrap/>
            <w:vAlign w:val="center"/>
          </w:tcPr>
          <w:p w14:paraId="7AA6917F" w14:textId="77777777" w:rsidR="0071281F" w:rsidRPr="002F5C49" w:rsidRDefault="0071281F" w:rsidP="00D2109C">
            <w:pPr>
              <w:spacing w:after="0"/>
              <w:jc w:val="center"/>
              <w:rPr>
                <w:rFonts w:eastAsia="Times New Roman" w:cs="Times New Roman"/>
                <w:sz w:val="18"/>
                <w:szCs w:val="18"/>
                <w:lang w:val="sr-Cyrl-RS" w:eastAsia="en-GB"/>
              </w:rPr>
            </w:pPr>
            <w:r>
              <w:rPr>
                <w:rFonts w:eastAsia="Times New Roman" w:cs="Times New Roman"/>
                <w:sz w:val="18"/>
                <w:szCs w:val="18"/>
                <w:lang w:val="sr-Cyrl-RS" w:eastAsia="en-GB"/>
              </w:rPr>
              <w:t>1,0</w:t>
            </w:r>
          </w:p>
        </w:tc>
        <w:tc>
          <w:tcPr>
            <w:tcW w:w="851" w:type="dxa"/>
            <w:tcBorders>
              <w:top w:val="nil"/>
              <w:left w:val="nil"/>
              <w:bottom w:val="nil"/>
            </w:tcBorders>
            <w:shd w:val="clear" w:color="auto" w:fill="auto"/>
            <w:vAlign w:val="center"/>
          </w:tcPr>
          <w:p w14:paraId="6328B4BD" w14:textId="77777777" w:rsidR="0071281F" w:rsidRPr="002F5C49" w:rsidRDefault="0071281F" w:rsidP="00D2109C">
            <w:pPr>
              <w:spacing w:after="0"/>
              <w:jc w:val="center"/>
              <w:rPr>
                <w:rFonts w:eastAsia="Times New Roman" w:cs="Times New Roman"/>
                <w:sz w:val="18"/>
                <w:szCs w:val="18"/>
                <w:lang w:val="sr-Cyrl-RS" w:eastAsia="en-GB"/>
              </w:rPr>
            </w:pPr>
            <w:r>
              <w:rPr>
                <w:rFonts w:eastAsia="Times New Roman" w:cs="Times New Roman"/>
                <w:sz w:val="18"/>
                <w:szCs w:val="18"/>
                <w:lang w:val="sr-Cyrl-RS" w:eastAsia="en-GB"/>
              </w:rPr>
              <w:t>1,6</w:t>
            </w:r>
          </w:p>
        </w:tc>
      </w:tr>
      <w:tr w:rsidR="0071281F" w:rsidRPr="00076D43" w14:paraId="69260A26" w14:textId="77777777" w:rsidTr="0071281F">
        <w:trPr>
          <w:trHeight w:val="284"/>
          <w:jc w:val="center"/>
        </w:trPr>
        <w:tc>
          <w:tcPr>
            <w:tcW w:w="3686" w:type="dxa"/>
            <w:tcBorders>
              <w:top w:val="nil"/>
              <w:left w:val="nil"/>
              <w:bottom w:val="nil"/>
              <w:right w:val="nil"/>
            </w:tcBorders>
            <w:shd w:val="clear" w:color="auto" w:fill="auto"/>
            <w:noWrap/>
            <w:vAlign w:val="center"/>
            <w:hideMark/>
          </w:tcPr>
          <w:p w14:paraId="4B64B9ED" w14:textId="77777777" w:rsidR="0071281F" w:rsidRPr="00076D43" w:rsidRDefault="0071281F" w:rsidP="00D2109C">
            <w:pPr>
              <w:spacing w:after="0"/>
              <w:ind w:firstLine="340"/>
              <w:rPr>
                <w:rFonts w:eastAsia="Times New Roman" w:cs="Times New Roman"/>
                <w:sz w:val="18"/>
                <w:szCs w:val="18"/>
                <w:lang w:val="sr-Cyrl-RS" w:eastAsia="en-GB"/>
              </w:rPr>
            </w:pPr>
            <w:r w:rsidRPr="00076D43">
              <w:rPr>
                <w:rFonts w:eastAsia="Times New Roman" w:cs="Times New Roman"/>
                <w:sz w:val="18"/>
                <w:szCs w:val="18"/>
                <w:lang w:val="sr-Cyrl-RS" w:eastAsia="en-GB"/>
              </w:rPr>
              <w:t>Лична потрошња</w:t>
            </w:r>
          </w:p>
        </w:tc>
        <w:tc>
          <w:tcPr>
            <w:tcW w:w="850" w:type="dxa"/>
            <w:tcBorders>
              <w:top w:val="nil"/>
              <w:left w:val="nil"/>
              <w:bottom w:val="nil"/>
              <w:right w:val="nil"/>
            </w:tcBorders>
            <w:shd w:val="clear" w:color="auto" w:fill="auto"/>
            <w:noWrap/>
            <w:vAlign w:val="center"/>
          </w:tcPr>
          <w:p w14:paraId="723DA691" w14:textId="77777777" w:rsidR="0071281F" w:rsidRPr="007A118F" w:rsidRDefault="0071281F" w:rsidP="00D2109C">
            <w:pPr>
              <w:spacing w:after="0"/>
              <w:jc w:val="center"/>
              <w:rPr>
                <w:rFonts w:eastAsia="Times New Roman" w:cs="Times New Roman"/>
                <w:sz w:val="18"/>
                <w:szCs w:val="18"/>
                <w:lang w:val="sr-Cyrl-RS" w:eastAsia="en-GB"/>
              </w:rPr>
            </w:pPr>
            <w:r>
              <w:rPr>
                <w:rFonts w:eastAsia="Times New Roman" w:cs="Times New Roman"/>
                <w:sz w:val="18"/>
                <w:szCs w:val="18"/>
                <w:lang w:val="sr-Cyrl-RS" w:eastAsia="en-GB"/>
              </w:rPr>
              <w:t>0,5</w:t>
            </w:r>
          </w:p>
        </w:tc>
        <w:tc>
          <w:tcPr>
            <w:tcW w:w="1134" w:type="dxa"/>
            <w:tcBorders>
              <w:top w:val="nil"/>
              <w:left w:val="nil"/>
              <w:bottom w:val="nil"/>
              <w:right w:val="nil"/>
            </w:tcBorders>
            <w:shd w:val="clear" w:color="auto" w:fill="auto"/>
            <w:noWrap/>
            <w:vAlign w:val="center"/>
          </w:tcPr>
          <w:p w14:paraId="422BF0FA" w14:textId="77777777" w:rsidR="0071281F" w:rsidRPr="007A118F" w:rsidRDefault="0071281F" w:rsidP="00D2109C">
            <w:pPr>
              <w:spacing w:after="0"/>
              <w:jc w:val="center"/>
              <w:rPr>
                <w:rFonts w:eastAsia="Times New Roman" w:cs="Times New Roman"/>
                <w:sz w:val="18"/>
                <w:szCs w:val="18"/>
                <w:lang w:val="sr-Cyrl-RS" w:eastAsia="en-GB"/>
              </w:rPr>
            </w:pPr>
            <w:r>
              <w:rPr>
                <w:rFonts w:eastAsia="Times New Roman" w:cs="Times New Roman"/>
                <w:sz w:val="18"/>
                <w:szCs w:val="18"/>
                <w:lang w:val="sr-Cyrl-RS" w:eastAsia="en-GB"/>
              </w:rPr>
              <w:t>1,2</w:t>
            </w:r>
          </w:p>
        </w:tc>
        <w:tc>
          <w:tcPr>
            <w:tcW w:w="851" w:type="dxa"/>
            <w:tcBorders>
              <w:top w:val="nil"/>
              <w:left w:val="nil"/>
              <w:bottom w:val="nil"/>
            </w:tcBorders>
            <w:shd w:val="clear" w:color="auto" w:fill="auto"/>
            <w:noWrap/>
            <w:vAlign w:val="center"/>
          </w:tcPr>
          <w:p w14:paraId="2AC87AAB" w14:textId="77777777" w:rsidR="0071281F" w:rsidRPr="007A118F" w:rsidRDefault="0071281F" w:rsidP="00D2109C">
            <w:pPr>
              <w:spacing w:after="0"/>
              <w:jc w:val="center"/>
              <w:rPr>
                <w:rFonts w:eastAsia="Times New Roman" w:cs="Times New Roman"/>
                <w:sz w:val="18"/>
                <w:szCs w:val="18"/>
                <w:lang w:val="sr-Cyrl-RS" w:eastAsia="en-GB"/>
              </w:rPr>
            </w:pPr>
            <w:r>
              <w:rPr>
                <w:rFonts w:eastAsia="Times New Roman" w:cs="Times New Roman"/>
                <w:sz w:val="18"/>
                <w:szCs w:val="18"/>
                <w:lang w:val="sr-Cyrl-RS" w:eastAsia="en-GB"/>
              </w:rPr>
              <w:t>1,4</w:t>
            </w:r>
          </w:p>
        </w:tc>
        <w:tc>
          <w:tcPr>
            <w:tcW w:w="850" w:type="dxa"/>
            <w:tcBorders>
              <w:top w:val="nil"/>
              <w:left w:val="nil"/>
              <w:bottom w:val="nil"/>
              <w:right w:val="single" w:sz="8" w:space="0" w:color="auto"/>
            </w:tcBorders>
            <w:vAlign w:val="center"/>
          </w:tcPr>
          <w:p w14:paraId="6816AF69" w14:textId="77777777" w:rsidR="0071281F" w:rsidRPr="007A118F" w:rsidRDefault="0071281F" w:rsidP="00D2109C">
            <w:pPr>
              <w:spacing w:after="0"/>
              <w:jc w:val="center"/>
              <w:rPr>
                <w:rFonts w:eastAsia="Times New Roman" w:cs="Times New Roman"/>
                <w:sz w:val="18"/>
                <w:szCs w:val="18"/>
                <w:lang w:val="sr-Cyrl-RS" w:eastAsia="en-GB"/>
              </w:rPr>
            </w:pPr>
            <w:r>
              <w:rPr>
                <w:rFonts w:eastAsia="Times New Roman" w:cs="Times New Roman"/>
                <w:sz w:val="18"/>
                <w:szCs w:val="18"/>
                <w:lang w:val="sr-Cyrl-RS" w:eastAsia="en-GB"/>
              </w:rPr>
              <w:t>1,6</w:t>
            </w:r>
          </w:p>
        </w:tc>
        <w:tc>
          <w:tcPr>
            <w:tcW w:w="1134" w:type="dxa"/>
            <w:tcBorders>
              <w:top w:val="nil"/>
              <w:left w:val="single" w:sz="8" w:space="0" w:color="auto"/>
              <w:bottom w:val="nil"/>
              <w:right w:val="nil"/>
            </w:tcBorders>
            <w:shd w:val="clear" w:color="auto" w:fill="auto"/>
            <w:noWrap/>
            <w:vAlign w:val="center"/>
          </w:tcPr>
          <w:p w14:paraId="49543F50" w14:textId="77777777" w:rsidR="0071281F" w:rsidRPr="002F5C49" w:rsidRDefault="0071281F" w:rsidP="00D2109C">
            <w:pPr>
              <w:spacing w:after="0"/>
              <w:jc w:val="center"/>
              <w:rPr>
                <w:rFonts w:eastAsia="Times New Roman" w:cs="Times New Roman"/>
                <w:sz w:val="18"/>
                <w:szCs w:val="18"/>
                <w:lang w:val="sr-Cyrl-RS" w:eastAsia="en-GB"/>
              </w:rPr>
            </w:pPr>
            <w:r>
              <w:rPr>
                <w:rFonts w:eastAsia="Times New Roman" w:cs="Times New Roman"/>
                <w:sz w:val="18"/>
                <w:szCs w:val="18"/>
                <w:lang w:val="sr-Cyrl-RS" w:eastAsia="en-GB"/>
              </w:rPr>
              <w:t>1,3</w:t>
            </w:r>
          </w:p>
        </w:tc>
        <w:tc>
          <w:tcPr>
            <w:tcW w:w="851" w:type="dxa"/>
            <w:tcBorders>
              <w:top w:val="nil"/>
              <w:left w:val="nil"/>
              <w:bottom w:val="nil"/>
            </w:tcBorders>
            <w:shd w:val="clear" w:color="auto" w:fill="auto"/>
            <w:vAlign w:val="center"/>
          </w:tcPr>
          <w:p w14:paraId="400DB6AE" w14:textId="77777777" w:rsidR="0071281F" w:rsidRPr="002F5C49" w:rsidRDefault="0071281F" w:rsidP="00D2109C">
            <w:pPr>
              <w:spacing w:after="0"/>
              <w:jc w:val="center"/>
              <w:rPr>
                <w:rFonts w:eastAsia="Times New Roman" w:cs="Times New Roman"/>
                <w:sz w:val="18"/>
                <w:szCs w:val="18"/>
                <w:lang w:val="sr-Cyrl-RS" w:eastAsia="en-GB"/>
              </w:rPr>
            </w:pPr>
            <w:r>
              <w:rPr>
                <w:rFonts w:eastAsia="Times New Roman" w:cs="Times New Roman"/>
                <w:sz w:val="18"/>
                <w:szCs w:val="18"/>
                <w:lang w:val="sr-Cyrl-RS" w:eastAsia="en-GB"/>
              </w:rPr>
              <w:t>1,7</w:t>
            </w:r>
          </w:p>
        </w:tc>
      </w:tr>
      <w:tr w:rsidR="0071281F" w:rsidRPr="00076D43" w14:paraId="36E0ECAD" w14:textId="77777777" w:rsidTr="0071281F">
        <w:trPr>
          <w:trHeight w:val="284"/>
          <w:jc w:val="center"/>
        </w:trPr>
        <w:tc>
          <w:tcPr>
            <w:tcW w:w="3686" w:type="dxa"/>
            <w:tcBorders>
              <w:top w:val="nil"/>
              <w:left w:val="nil"/>
              <w:bottom w:val="nil"/>
              <w:right w:val="nil"/>
            </w:tcBorders>
            <w:shd w:val="clear" w:color="auto" w:fill="auto"/>
            <w:noWrap/>
            <w:vAlign w:val="center"/>
            <w:hideMark/>
          </w:tcPr>
          <w:p w14:paraId="736044F2" w14:textId="77777777" w:rsidR="0071281F" w:rsidRPr="00076D43" w:rsidRDefault="0071281F" w:rsidP="00D2109C">
            <w:pPr>
              <w:spacing w:after="0"/>
              <w:ind w:firstLine="340"/>
              <w:rPr>
                <w:rFonts w:eastAsia="Times New Roman" w:cs="Times New Roman"/>
                <w:sz w:val="18"/>
                <w:szCs w:val="18"/>
                <w:lang w:val="sr-Cyrl-RS" w:eastAsia="en-GB"/>
              </w:rPr>
            </w:pPr>
            <w:r w:rsidRPr="00076D43">
              <w:rPr>
                <w:rFonts w:eastAsia="Times New Roman" w:cs="Times New Roman"/>
                <w:sz w:val="18"/>
                <w:szCs w:val="18"/>
                <w:lang w:val="sr-Cyrl-RS" w:eastAsia="en-GB"/>
              </w:rPr>
              <w:t>Државна потрошња</w:t>
            </w:r>
          </w:p>
        </w:tc>
        <w:tc>
          <w:tcPr>
            <w:tcW w:w="850" w:type="dxa"/>
            <w:tcBorders>
              <w:top w:val="nil"/>
              <w:left w:val="nil"/>
              <w:bottom w:val="nil"/>
              <w:right w:val="nil"/>
            </w:tcBorders>
            <w:shd w:val="clear" w:color="auto" w:fill="auto"/>
            <w:noWrap/>
            <w:vAlign w:val="center"/>
          </w:tcPr>
          <w:p w14:paraId="4F41DC64" w14:textId="77777777" w:rsidR="0071281F" w:rsidRPr="007A118F" w:rsidRDefault="0071281F" w:rsidP="00D2109C">
            <w:pPr>
              <w:spacing w:after="0"/>
              <w:jc w:val="center"/>
              <w:rPr>
                <w:rFonts w:eastAsia="Times New Roman" w:cs="Times New Roman"/>
                <w:sz w:val="18"/>
                <w:szCs w:val="18"/>
                <w:lang w:val="sr-Cyrl-RS" w:eastAsia="en-GB"/>
              </w:rPr>
            </w:pPr>
            <w:r>
              <w:rPr>
                <w:rFonts w:eastAsia="Times New Roman" w:cs="Times New Roman"/>
                <w:sz w:val="18"/>
                <w:szCs w:val="18"/>
                <w:lang w:val="sr-Cyrl-RS" w:eastAsia="en-GB"/>
              </w:rPr>
              <w:t>1,7</w:t>
            </w:r>
          </w:p>
        </w:tc>
        <w:tc>
          <w:tcPr>
            <w:tcW w:w="1134" w:type="dxa"/>
            <w:tcBorders>
              <w:top w:val="nil"/>
              <w:left w:val="nil"/>
              <w:bottom w:val="nil"/>
              <w:right w:val="nil"/>
            </w:tcBorders>
            <w:shd w:val="clear" w:color="auto" w:fill="auto"/>
            <w:noWrap/>
            <w:vAlign w:val="center"/>
          </w:tcPr>
          <w:p w14:paraId="2CB0D87F" w14:textId="77777777" w:rsidR="0071281F" w:rsidRPr="007A118F" w:rsidRDefault="0071281F" w:rsidP="00D2109C">
            <w:pPr>
              <w:spacing w:after="0"/>
              <w:jc w:val="center"/>
              <w:rPr>
                <w:rFonts w:eastAsia="Times New Roman" w:cs="Times New Roman"/>
                <w:sz w:val="18"/>
                <w:szCs w:val="18"/>
                <w:lang w:val="sr-Cyrl-RS" w:eastAsia="en-GB"/>
              </w:rPr>
            </w:pPr>
            <w:r>
              <w:rPr>
                <w:rFonts w:eastAsia="Times New Roman" w:cs="Times New Roman"/>
                <w:sz w:val="18"/>
                <w:szCs w:val="18"/>
                <w:lang w:val="sr-Cyrl-RS" w:eastAsia="en-GB"/>
              </w:rPr>
              <w:t>2,1</w:t>
            </w:r>
          </w:p>
        </w:tc>
        <w:tc>
          <w:tcPr>
            <w:tcW w:w="851" w:type="dxa"/>
            <w:tcBorders>
              <w:top w:val="nil"/>
              <w:left w:val="nil"/>
              <w:bottom w:val="nil"/>
            </w:tcBorders>
            <w:shd w:val="clear" w:color="auto" w:fill="auto"/>
            <w:noWrap/>
            <w:vAlign w:val="center"/>
          </w:tcPr>
          <w:p w14:paraId="176E56C2" w14:textId="77777777" w:rsidR="0071281F" w:rsidRPr="007A118F" w:rsidRDefault="0071281F" w:rsidP="00D2109C">
            <w:pPr>
              <w:spacing w:after="0"/>
              <w:jc w:val="center"/>
              <w:rPr>
                <w:rFonts w:eastAsia="Times New Roman" w:cs="Times New Roman"/>
                <w:sz w:val="18"/>
                <w:szCs w:val="18"/>
                <w:lang w:val="sr-Cyrl-RS" w:eastAsia="en-GB"/>
              </w:rPr>
            </w:pPr>
            <w:r>
              <w:rPr>
                <w:rFonts w:eastAsia="Times New Roman" w:cs="Times New Roman"/>
                <w:sz w:val="18"/>
                <w:szCs w:val="18"/>
                <w:lang w:val="sr-Cyrl-RS" w:eastAsia="en-GB"/>
              </w:rPr>
              <w:t>1,3</w:t>
            </w:r>
          </w:p>
        </w:tc>
        <w:tc>
          <w:tcPr>
            <w:tcW w:w="850" w:type="dxa"/>
            <w:tcBorders>
              <w:top w:val="nil"/>
              <w:left w:val="nil"/>
              <w:bottom w:val="nil"/>
              <w:right w:val="single" w:sz="8" w:space="0" w:color="auto"/>
            </w:tcBorders>
            <w:vAlign w:val="center"/>
          </w:tcPr>
          <w:p w14:paraId="7F03030D" w14:textId="77777777" w:rsidR="0071281F" w:rsidRPr="007A118F" w:rsidRDefault="0071281F" w:rsidP="00D2109C">
            <w:pPr>
              <w:spacing w:after="0"/>
              <w:jc w:val="center"/>
              <w:rPr>
                <w:rFonts w:eastAsia="Times New Roman" w:cs="Times New Roman"/>
                <w:sz w:val="18"/>
                <w:szCs w:val="18"/>
                <w:lang w:val="sr-Cyrl-RS" w:eastAsia="en-GB"/>
              </w:rPr>
            </w:pPr>
            <w:r>
              <w:rPr>
                <w:rFonts w:eastAsia="Times New Roman" w:cs="Times New Roman"/>
                <w:sz w:val="18"/>
                <w:szCs w:val="18"/>
                <w:lang w:val="sr-Cyrl-RS" w:eastAsia="en-GB"/>
              </w:rPr>
              <w:t>1,2</w:t>
            </w:r>
          </w:p>
        </w:tc>
        <w:tc>
          <w:tcPr>
            <w:tcW w:w="1134" w:type="dxa"/>
            <w:tcBorders>
              <w:top w:val="nil"/>
              <w:left w:val="single" w:sz="8" w:space="0" w:color="auto"/>
              <w:bottom w:val="nil"/>
              <w:right w:val="nil"/>
            </w:tcBorders>
            <w:shd w:val="clear" w:color="auto" w:fill="auto"/>
            <w:noWrap/>
            <w:vAlign w:val="center"/>
          </w:tcPr>
          <w:p w14:paraId="3198FADE" w14:textId="77777777" w:rsidR="0071281F" w:rsidRPr="002F5C49" w:rsidRDefault="0071281F" w:rsidP="00D2109C">
            <w:pPr>
              <w:spacing w:after="0"/>
              <w:jc w:val="center"/>
              <w:rPr>
                <w:rFonts w:eastAsia="Times New Roman" w:cs="Times New Roman"/>
                <w:sz w:val="18"/>
                <w:szCs w:val="18"/>
                <w:lang w:val="sr-Cyrl-RS" w:eastAsia="en-GB"/>
              </w:rPr>
            </w:pPr>
            <w:r>
              <w:rPr>
                <w:rFonts w:eastAsia="Times New Roman" w:cs="Times New Roman"/>
                <w:sz w:val="18"/>
                <w:szCs w:val="18"/>
                <w:lang w:val="sr-Cyrl-RS" w:eastAsia="en-GB"/>
              </w:rPr>
              <w:t>1,6</w:t>
            </w:r>
          </w:p>
        </w:tc>
        <w:tc>
          <w:tcPr>
            <w:tcW w:w="851" w:type="dxa"/>
            <w:tcBorders>
              <w:top w:val="nil"/>
              <w:left w:val="nil"/>
              <w:bottom w:val="nil"/>
            </w:tcBorders>
            <w:shd w:val="clear" w:color="auto" w:fill="auto"/>
            <w:vAlign w:val="center"/>
          </w:tcPr>
          <w:p w14:paraId="54DCD4EA" w14:textId="77777777" w:rsidR="0071281F" w:rsidRPr="002F5C49" w:rsidRDefault="0071281F" w:rsidP="00D2109C">
            <w:pPr>
              <w:spacing w:after="0"/>
              <w:jc w:val="center"/>
              <w:rPr>
                <w:rFonts w:eastAsia="Times New Roman" w:cs="Times New Roman"/>
                <w:sz w:val="18"/>
                <w:szCs w:val="18"/>
                <w:lang w:val="sr-Cyrl-RS" w:eastAsia="en-GB"/>
              </w:rPr>
            </w:pPr>
            <w:r>
              <w:rPr>
                <w:rFonts w:eastAsia="Times New Roman" w:cs="Times New Roman"/>
                <w:sz w:val="18"/>
                <w:szCs w:val="18"/>
                <w:lang w:val="sr-Cyrl-RS" w:eastAsia="en-GB"/>
              </w:rPr>
              <w:t>1,2</w:t>
            </w:r>
          </w:p>
        </w:tc>
      </w:tr>
      <w:tr w:rsidR="0071281F" w:rsidRPr="00076D43" w14:paraId="4F93E221" w14:textId="77777777" w:rsidTr="0071281F">
        <w:trPr>
          <w:trHeight w:val="284"/>
          <w:jc w:val="center"/>
        </w:trPr>
        <w:tc>
          <w:tcPr>
            <w:tcW w:w="3686" w:type="dxa"/>
            <w:tcBorders>
              <w:top w:val="nil"/>
              <w:left w:val="nil"/>
              <w:bottom w:val="nil"/>
              <w:right w:val="nil"/>
            </w:tcBorders>
            <w:shd w:val="clear" w:color="auto" w:fill="auto"/>
            <w:noWrap/>
            <w:vAlign w:val="center"/>
            <w:hideMark/>
          </w:tcPr>
          <w:p w14:paraId="6DE47040" w14:textId="77777777" w:rsidR="0071281F" w:rsidRPr="00076D43" w:rsidRDefault="0071281F" w:rsidP="00D2109C">
            <w:pPr>
              <w:spacing w:after="0"/>
              <w:ind w:firstLine="340"/>
              <w:rPr>
                <w:rFonts w:eastAsia="Times New Roman" w:cs="Times New Roman"/>
                <w:sz w:val="18"/>
                <w:szCs w:val="18"/>
                <w:lang w:val="sr-Cyrl-RS" w:eastAsia="en-GB"/>
              </w:rPr>
            </w:pPr>
            <w:r w:rsidRPr="00076D43">
              <w:rPr>
                <w:rFonts w:eastAsia="Times New Roman" w:cs="Times New Roman"/>
                <w:sz w:val="18"/>
                <w:szCs w:val="18"/>
                <w:lang w:val="sr-Cyrl-RS" w:eastAsia="en-GB"/>
              </w:rPr>
              <w:t>Бруто инвестиције у основна средства</w:t>
            </w:r>
          </w:p>
        </w:tc>
        <w:tc>
          <w:tcPr>
            <w:tcW w:w="850" w:type="dxa"/>
            <w:tcBorders>
              <w:top w:val="nil"/>
              <w:left w:val="nil"/>
              <w:bottom w:val="nil"/>
              <w:right w:val="nil"/>
            </w:tcBorders>
            <w:shd w:val="clear" w:color="auto" w:fill="auto"/>
            <w:noWrap/>
            <w:vAlign w:val="center"/>
          </w:tcPr>
          <w:p w14:paraId="6FB34B6C" w14:textId="77777777" w:rsidR="0071281F" w:rsidRPr="007A118F" w:rsidRDefault="0071281F" w:rsidP="00D2109C">
            <w:pPr>
              <w:spacing w:after="0"/>
              <w:jc w:val="center"/>
              <w:rPr>
                <w:rFonts w:eastAsia="Times New Roman" w:cs="Times New Roman"/>
                <w:sz w:val="18"/>
                <w:szCs w:val="18"/>
                <w:lang w:val="sr-Cyrl-RS" w:eastAsia="en-GB"/>
              </w:rPr>
            </w:pPr>
            <w:r>
              <w:rPr>
                <w:rFonts w:eastAsia="Times New Roman" w:cs="Times New Roman"/>
                <w:sz w:val="18"/>
                <w:szCs w:val="18"/>
                <w:lang w:val="sr-Cyrl-RS" w:eastAsia="en-GB"/>
              </w:rPr>
              <w:t>1,8</w:t>
            </w:r>
          </w:p>
        </w:tc>
        <w:tc>
          <w:tcPr>
            <w:tcW w:w="1134" w:type="dxa"/>
            <w:tcBorders>
              <w:top w:val="nil"/>
              <w:left w:val="nil"/>
              <w:bottom w:val="nil"/>
              <w:right w:val="nil"/>
            </w:tcBorders>
            <w:shd w:val="clear" w:color="auto" w:fill="auto"/>
            <w:noWrap/>
            <w:vAlign w:val="center"/>
          </w:tcPr>
          <w:p w14:paraId="4C6157F5" w14:textId="77777777" w:rsidR="0071281F" w:rsidRPr="007A118F" w:rsidRDefault="0071281F" w:rsidP="00D2109C">
            <w:pPr>
              <w:spacing w:after="0"/>
              <w:jc w:val="center"/>
              <w:rPr>
                <w:rFonts w:eastAsia="Times New Roman" w:cs="Times New Roman"/>
                <w:sz w:val="18"/>
                <w:szCs w:val="18"/>
                <w:lang w:val="sr-Cyrl-RS" w:eastAsia="en-GB"/>
              </w:rPr>
            </w:pPr>
            <w:r>
              <w:rPr>
                <w:rFonts w:eastAsia="Times New Roman" w:cs="Times New Roman"/>
                <w:sz w:val="18"/>
                <w:szCs w:val="18"/>
                <w:lang w:val="sr-Cyrl-RS" w:eastAsia="en-GB"/>
              </w:rPr>
              <w:t>-1,6</w:t>
            </w:r>
          </w:p>
        </w:tc>
        <w:tc>
          <w:tcPr>
            <w:tcW w:w="851" w:type="dxa"/>
            <w:tcBorders>
              <w:top w:val="nil"/>
              <w:left w:val="nil"/>
              <w:bottom w:val="nil"/>
            </w:tcBorders>
            <w:shd w:val="clear" w:color="auto" w:fill="auto"/>
            <w:noWrap/>
            <w:vAlign w:val="center"/>
          </w:tcPr>
          <w:p w14:paraId="4D78373B" w14:textId="77777777" w:rsidR="0071281F" w:rsidRPr="007A118F" w:rsidRDefault="0071281F" w:rsidP="00D2109C">
            <w:pPr>
              <w:spacing w:after="0"/>
              <w:jc w:val="center"/>
              <w:rPr>
                <w:rFonts w:eastAsia="Times New Roman" w:cs="Times New Roman"/>
                <w:sz w:val="18"/>
                <w:szCs w:val="18"/>
                <w:lang w:val="sr-Cyrl-RS" w:eastAsia="en-GB"/>
              </w:rPr>
            </w:pPr>
            <w:r>
              <w:rPr>
                <w:rFonts w:eastAsia="Times New Roman" w:cs="Times New Roman"/>
                <w:sz w:val="18"/>
                <w:szCs w:val="18"/>
                <w:lang w:val="sr-Cyrl-RS" w:eastAsia="en-GB"/>
              </w:rPr>
              <w:t>2,1</w:t>
            </w:r>
          </w:p>
        </w:tc>
        <w:tc>
          <w:tcPr>
            <w:tcW w:w="850" w:type="dxa"/>
            <w:tcBorders>
              <w:top w:val="nil"/>
              <w:left w:val="nil"/>
              <w:bottom w:val="nil"/>
              <w:right w:val="single" w:sz="8" w:space="0" w:color="auto"/>
            </w:tcBorders>
            <w:vAlign w:val="center"/>
          </w:tcPr>
          <w:p w14:paraId="17EBBB7C" w14:textId="77777777" w:rsidR="0071281F" w:rsidRPr="007A118F" w:rsidRDefault="0071281F" w:rsidP="00D2109C">
            <w:pPr>
              <w:spacing w:after="0"/>
              <w:jc w:val="center"/>
              <w:rPr>
                <w:rFonts w:eastAsia="Times New Roman" w:cs="Times New Roman"/>
                <w:sz w:val="18"/>
                <w:szCs w:val="18"/>
                <w:lang w:val="sr-Cyrl-RS" w:eastAsia="en-GB"/>
              </w:rPr>
            </w:pPr>
            <w:r>
              <w:rPr>
                <w:rFonts w:eastAsia="Times New Roman" w:cs="Times New Roman"/>
                <w:sz w:val="18"/>
                <w:szCs w:val="18"/>
                <w:lang w:val="sr-Cyrl-RS" w:eastAsia="en-GB"/>
              </w:rPr>
              <w:t>2,8</w:t>
            </w:r>
          </w:p>
        </w:tc>
        <w:tc>
          <w:tcPr>
            <w:tcW w:w="1134" w:type="dxa"/>
            <w:tcBorders>
              <w:top w:val="nil"/>
              <w:left w:val="single" w:sz="8" w:space="0" w:color="auto"/>
              <w:bottom w:val="nil"/>
              <w:right w:val="nil"/>
            </w:tcBorders>
            <w:shd w:val="clear" w:color="auto" w:fill="auto"/>
            <w:noWrap/>
            <w:vAlign w:val="center"/>
          </w:tcPr>
          <w:p w14:paraId="498450D9" w14:textId="77777777" w:rsidR="0071281F" w:rsidRPr="00C86459" w:rsidRDefault="0071281F" w:rsidP="00D2109C">
            <w:pPr>
              <w:spacing w:after="0"/>
              <w:jc w:val="center"/>
              <w:rPr>
                <w:rFonts w:eastAsia="Times New Roman" w:cs="Times New Roman"/>
                <w:sz w:val="18"/>
                <w:szCs w:val="18"/>
                <w:lang w:val="sr-Cyrl-RS" w:eastAsia="en-GB"/>
              </w:rPr>
            </w:pPr>
            <w:r>
              <w:rPr>
                <w:rFonts w:eastAsia="Times New Roman" w:cs="Times New Roman"/>
                <w:sz w:val="18"/>
                <w:szCs w:val="18"/>
                <w:lang w:val="sr-Cyrl-RS" w:eastAsia="en-GB"/>
              </w:rPr>
              <w:t>0,3</w:t>
            </w:r>
          </w:p>
        </w:tc>
        <w:tc>
          <w:tcPr>
            <w:tcW w:w="851" w:type="dxa"/>
            <w:tcBorders>
              <w:top w:val="nil"/>
              <w:left w:val="nil"/>
              <w:bottom w:val="nil"/>
            </w:tcBorders>
            <w:shd w:val="clear" w:color="auto" w:fill="auto"/>
            <w:vAlign w:val="center"/>
          </w:tcPr>
          <w:p w14:paraId="741E75A3" w14:textId="77777777" w:rsidR="0071281F" w:rsidRPr="00C86459" w:rsidRDefault="0071281F" w:rsidP="00D2109C">
            <w:pPr>
              <w:spacing w:after="0"/>
              <w:jc w:val="center"/>
              <w:rPr>
                <w:rFonts w:eastAsia="Times New Roman" w:cs="Times New Roman"/>
                <w:sz w:val="18"/>
                <w:szCs w:val="18"/>
                <w:lang w:val="sr-Cyrl-RS" w:eastAsia="en-GB"/>
              </w:rPr>
            </w:pPr>
            <w:r>
              <w:rPr>
                <w:rFonts w:eastAsia="Times New Roman" w:cs="Times New Roman"/>
                <w:sz w:val="18"/>
                <w:szCs w:val="18"/>
                <w:lang w:val="sr-Cyrl-RS" w:eastAsia="en-GB"/>
              </w:rPr>
              <w:t>2,0</w:t>
            </w:r>
          </w:p>
        </w:tc>
      </w:tr>
      <w:tr w:rsidR="0071281F" w:rsidRPr="00076D43" w14:paraId="52106380" w14:textId="77777777" w:rsidTr="0071281F">
        <w:trPr>
          <w:trHeight w:val="284"/>
          <w:jc w:val="center"/>
        </w:trPr>
        <w:tc>
          <w:tcPr>
            <w:tcW w:w="3686" w:type="dxa"/>
            <w:tcBorders>
              <w:top w:val="nil"/>
              <w:left w:val="nil"/>
              <w:bottom w:val="nil"/>
              <w:right w:val="nil"/>
            </w:tcBorders>
            <w:shd w:val="clear" w:color="auto" w:fill="auto"/>
            <w:noWrap/>
            <w:vAlign w:val="center"/>
            <w:hideMark/>
          </w:tcPr>
          <w:p w14:paraId="7756E5D3" w14:textId="77777777" w:rsidR="0071281F" w:rsidRPr="00076D43" w:rsidRDefault="0071281F" w:rsidP="00D2109C">
            <w:pPr>
              <w:spacing w:after="0"/>
              <w:ind w:firstLine="340"/>
              <w:rPr>
                <w:rFonts w:eastAsia="Times New Roman" w:cs="Times New Roman"/>
                <w:sz w:val="18"/>
                <w:szCs w:val="18"/>
                <w:lang w:val="sr-Cyrl-RS" w:eastAsia="en-GB"/>
              </w:rPr>
            </w:pPr>
            <w:r w:rsidRPr="00076D43">
              <w:rPr>
                <w:rFonts w:eastAsia="Times New Roman" w:cs="Times New Roman"/>
                <w:sz w:val="18"/>
                <w:szCs w:val="18"/>
                <w:lang w:val="sr-Cyrl-RS" w:eastAsia="en-GB"/>
              </w:rPr>
              <w:t>Извоз</w:t>
            </w:r>
          </w:p>
        </w:tc>
        <w:tc>
          <w:tcPr>
            <w:tcW w:w="850" w:type="dxa"/>
            <w:tcBorders>
              <w:top w:val="nil"/>
              <w:left w:val="nil"/>
              <w:bottom w:val="nil"/>
              <w:right w:val="nil"/>
            </w:tcBorders>
            <w:shd w:val="clear" w:color="auto" w:fill="auto"/>
            <w:noWrap/>
            <w:vAlign w:val="center"/>
          </w:tcPr>
          <w:p w14:paraId="5BBBC7B0" w14:textId="77777777" w:rsidR="0071281F" w:rsidRPr="007A118F" w:rsidRDefault="0071281F" w:rsidP="00D2109C">
            <w:pPr>
              <w:spacing w:after="0"/>
              <w:jc w:val="center"/>
              <w:rPr>
                <w:rFonts w:eastAsia="Times New Roman" w:cs="Times New Roman"/>
                <w:sz w:val="18"/>
                <w:szCs w:val="18"/>
                <w:lang w:val="sr-Cyrl-RS" w:eastAsia="en-GB"/>
              </w:rPr>
            </w:pPr>
            <w:r>
              <w:rPr>
                <w:rFonts w:eastAsia="Times New Roman" w:cs="Times New Roman"/>
                <w:sz w:val="18"/>
                <w:szCs w:val="18"/>
                <w:lang w:val="sr-Cyrl-RS" w:eastAsia="en-GB"/>
              </w:rPr>
              <w:t>0,1</w:t>
            </w:r>
          </w:p>
        </w:tc>
        <w:tc>
          <w:tcPr>
            <w:tcW w:w="1134" w:type="dxa"/>
            <w:tcBorders>
              <w:top w:val="nil"/>
              <w:left w:val="nil"/>
              <w:bottom w:val="nil"/>
              <w:right w:val="nil"/>
            </w:tcBorders>
            <w:shd w:val="clear" w:color="auto" w:fill="auto"/>
            <w:noWrap/>
            <w:vAlign w:val="center"/>
          </w:tcPr>
          <w:p w14:paraId="4DE8847A" w14:textId="77777777" w:rsidR="0071281F" w:rsidRPr="007A118F" w:rsidRDefault="0071281F" w:rsidP="00D2109C">
            <w:pPr>
              <w:spacing w:after="0"/>
              <w:jc w:val="center"/>
              <w:rPr>
                <w:rFonts w:eastAsia="Times New Roman" w:cs="Times New Roman"/>
                <w:sz w:val="18"/>
                <w:szCs w:val="18"/>
                <w:lang w:val="sr-Cyrl-RS" w:eastAsia="en-GB"/>
              </w:rPr>
            </w:pPr>
            <w:r>
              <w:rPr>
                <w:rFonts w:eastAsia="Times New Roman" w:cs="Times New Roman"/>
                <w:sz w:val="18"/>
                <w:szCs w:val="18"/>
                <w:lang w:val="sr-Cyrl-RS" w:eastAsia="en-GB"/>
              </w:rPr>
              <w:t>1,4</w:t>
            </w:r>
          </w:p>
        </w:tc>
        <w:tc>
          <w:tcPr>
            <w:tcW w:w="851" w:type="dxa"/>
            <w:tcBorders>
              <w:top w:val="nil"/>
              <w:left w:val="nil"/>
              <w:bottom w:val="nil"/>
            </w:tcBorders>
            <w:shd w:val="clear" w:color="auto" w:fill="auto"/>
            <w:noWrap/>
            <w:vAlign w:val="center"/>
          </w:tcPr>
          <w:p w14:paraId="6C2F187B" w14:textId="77777777" w:rsidR="0071281F" w:rsidRPr="007A118F" w:rsidRDefault="0071281F" w:rsidP="00D2109C">
            <w:pPr>
              <w:spacing w:after="0"/>
              <w:jc w:val="center"/>
              <w:rPr>
                <w:rFonts w:eastAsia="Times New Roman" w:cs="Times New Roman"/>
                <w:sz w:val="18"/>
                <w:szCs w:val="18"/>
                <w:lang w:val="sr-Cyrl-RS" w:eastAsia="en-GB"/>
              </w:rPr>
            </w:pPr>
            <w:r>
              <w:rPr>
                <w:rFonts w:eastAsia="Times New Roman" w:cs="Times New Roman"/>
                <w:sz w:val="18"/>
                <w:szCs w:val="18"/>
                <w:lang w:val="sr-Cyrl-RS" w:eastAsia="en-GB"/>
              </w:rPr>
              <w:t>2,2</w:t>
            </w:r>
          </w:p>
        </w:tc>
        <w:tc>
          <w:tcPr>
            <w:tcW w:w="850" w:type="dxa"/>
            <w:tcBorders>
              <w:top w:val="nil"/>
              <w:left w:val="nil"/>
              <w:bottom w:val="nil"/>
              <w:right w:val="single" w:sz="8" w:space="0" w:color="auto"/>
            </w:tcBorders>
            <w:vAlign w:val="center"/>
          </w:tcPr>
          <w:p w14:paraId="65CB108E" w14:textId="77777777" w:rsidR="0071281F" w:rsidRPr="007A118F" w:rsidRDefault="0071281F" w:rsidP="00D2109C">
            <w:pPr>
              <w:spacing w:after="0"/>
              <w:jc w:val="center"/>
              <w:rPr>
                <w:rFonts w:eastAsia="Times New Roman" w:cs="Times New Roman"/>
                <w:sz w:val="18"/>
                <w:szCs w:val="18"/>
                <w:lang w:val="sr-Cyrl-RS" w:eastAsia="en-GB"/>
              </w:rPr>
            </w:pPr>
            <w:r>
              <w:rPr>
                <w:rFonts w:eastAsia="Times New Roman" w:cs="Times New Roman"/>
                <w:sz w:val="18"/>
                <w:szCs w:val="18"/>
                <w:lang w:val="sr-Cyrl-RS" w:eastAsia="en-GB"/>
              </w:rPr>
              <w:t>3,0</w:t>
            </w:r>
          </w:p>
        </w:tc>
        <w:tc>
          <w:tcPr>
            <w:tcW w:w="1134" w:type="dxa"/>
            <w:tcBorders>
              <w:top w:val="nil"/>
              <w:left w:val="single" w:sz="8" w:space="0" w:color="auto"/>
              <w:bottom w:val="nil"/>
              <w:right w:val="nil"/>
            </w:tcBorders>
            <w:shd w:val="clear" w:color="auto" w:fill="auto"/>
            <w:noWrap/>
            <w:vAlign w:val="center"/>
          </w:tcPr>
          <w:p w14:paraId="3A470AC0" w14:textId="77777777" w:rsidR="0071281F" w:rsidRPr="00C86459" w:rsidRDefault="0071281F" w:rsidP="00D2109C">
            <w:pPr>
              <w:spacing w:after="0"/>
              <w:jc w:val="center"/>
              <w:rPr>
                <w:rFonts w:eastAsia="Times New Roman" w:cs="Times New Roman"/>
                <w:sz w:val="18"/>
                <w:szCs w:val="18"/>
                <w:lang w:val="sr-Cyrl-RS" w:eastAsia="en-GB"/>
              </w:rPr>
            </w:pPr>
            <w:r>
              <w:rPr>
                <w:rFonts w:eastAsia="Times New Roman" w:cs="Times New Roman"/>
                <w:sz w:val="18"/>
                <w:szCs w:val="18"/>
                <w:lang w:val="sr-Cyrl-RS" w:eastAsia="en-GB"/>
              </w:rPr>
              <w:t>1,4</w:t>
            </w:r>
          </w:p>
        </w:tc>
        <w:tc>
          <w:tcPr>
            <w:tcW w:w="851" w:type="dxa"/>
            <w:tcBorders>
              <w:top w:val="nil"/>
              <w:left w:val="nil"/>
              <w:bottom w:val="nil"/>
            </w:tcBorders>
            <w:shd w:val="clear" w:color="auto" w:fill="auto"/>
            <w:vAlign w:val="center"/>
          </w:tcPr>
          <w:p w14:paraId="5274488E" w14:textId="77777777" w:rsidR="0071281F" w:rsidRPr="00C86459" w:rsidRDefault="0071281F" w:rsidP="00D2109C">
            <w:pPr>
              <w:spacing w:after="0"/>
              <w:jc w:val="center"/>
              <w:rPr>
                <w:rFonts w:eastAsia="Times New Roman" w:cs="Times New Roman"/>
                <w:sz w:val="18"/>
                <w:szCs w:val="18"/>
                <w:lang w:val="sr-Cyrl-RS" w:eastAsia="en-GB"/>
              </w:rPr>
            </w:pPr>
            <w:r>
              <w:rPr>
                <w:rFonts w:eastAsia="Times New Roman" w:cs="Times New Roman"/>
                <w:sz w:val="18"/>
                <w:szCs w:val="18"/>
                <w:lang w:val="sr-Cyrl-RS" w:eastAsia="en-GB"/>
              </w:rPr>
              <w:t>3,1</w:t>
            </w:r>
          </w:p>
        </w:tc>
      </w:tr>
      <w:tr w:rsidR="0071281F" w:rsidRPr="00076D43" w14:paraId="206A4B9F" w14:textId="77777777" w:rsidTr="0071281F">
        <w:trPr>
          <w:trHeight w:val="284"/>
          <w:jc w:val="center"/>
        </w:trPr>
        <w:tc>
          <w:tcPr>
            <w:tcW w:w="3686" w:type="dxa"/>
            <w:tcBorders>
              <w:top w:val="nil"/>
              <w:left w:val="nil"/>
              <w:bottom w:val="nil"/>
              <w:right w:val="nil"/>
            </w:tcBorders>
            <w:shd w:val="clear" w:color="auto" w:fill="auto"/>
            <w:noWrap/>
            <w:vAlign w:val="center"/>
            <w:hideMark/>
          </w:tcPr>
          <w:p w14:paraId="59C5FF43" w14:textId="77777777" w:rsidR="0071281F" w:rsidRPr="00076D43" w:rsidRDefault="0071281F" w:rsidP="00D2109C">
            <w:pPr>
              <w:spacing w:after="0"/>
              <w:ind w:firstLine="340"/>
              <w:rPr>
                <w:rFonts w:eastAsia="Times New Roman" w:cs="Times New Roman"/>
                <w:sz w:val="18"/>
                <w:szCs w:val="18"/>
                <w:lang w:val="sr-Cyrl-RS" w:eastAsia="en-GB"/>
              </w:rPr>
            </w:pPr>
            <w:r w:rsidRPr="00076D43">
              <w:rPr>
                <w:rFonts w:eastAsia="Times New Roman" w:cs="Times New Roman"/>
                <w:sz w:val="18"/>
                <w:szCs w:val="18"/>
                <w:lang w:val="sr-Cyrl-RS" w:eastAsia="en-GB"/>
              </w:rPr>
              <w:t>Увоз</w:t>
            </w:r>
          </w:p>
        </w:tc>
        <w:tc>
          <w:tcPr>
            <w:tcW w:w="850" w:type="dxa"/>
            <w:tcBorders>
              <w:top w:val="nil"/>
              <w:left w:val="nil"/>
              <w:bottom w:val="nil"/>
              <w:right w:val="nil"/>
            </w:tcBorders>
            <w:shd w:val="clear" w:color="auto" w:fill="auto"/>
            <w:noWrap/>
            <w:vAlign w:val="center"/>
          </w:tcPr>
          <w:p w14:paraId="1BDE9E69" w14:textId="77777777" w:rsidR="0071281F" w:rsidRPr="007A118F" w:rsidRDefault="0071281F" w:rsidP="00D2109C">
            <w:pPr>
              <w:spacing w:after="0"/>
              <w:jc w:val="center"/>
              <w:rPr>
                <w:rFonts w:eastAsia="Times New Roman" w:cs="Times New Roman"/>
                <w:sz w:val="18"/>
                <w:szCs w:val="18"/>
                <w:lang w:val="sr-Cyrl-RS" w:eastAsia="en-GB"/>
              </w:rPr>
            </w:pPr>
            <w:r>
              <w:rPr>
                <w:rFonts w:eastAsia="Times New Roman" w:cs="Times New Roman"/>
                <w:sz w:val="18"/>
                <w:szCs w:val="18"/>
                <w:lang w:val="sr-Cyrl-RS" w:eastAsia="en-GB"/>
              </w:rPr>
              <w:t>-1,2</w:t>
            </w:r>
          </w:p>
        </w:tc>
        <w:tc>
          <w:tcPr>
            <w:tcW w:w="1134" w:type="dxa"/>
            <w:tcBorders>
              <w:top w:val="nil"/>
              <w:left w:val="nil"/>
              <w:bottom w:val="nil"/>
              <w:right w:val="nil"/>
            </w:tcBorders>
            <w:shd w:val="clear" w:color="auto" w:fill="auto"/>
            <w:noWrap/>
            <w:vAlign w:val="center"/>
          </w:tcPr>
          <w:p w14:paraId="466FD94B" w14:textId="77777777" w:rsidR="0071281F" w:rsidRPr="007A118F" w:rsidRDefault="0071281F" w:rsidP="00D2109C">
            <w:pPr>
              <w:spacing w:after="0"/>
              <w:jc w:val="center"/>
              <w:rPr>
                <w:rFonts w:eastAsia="Times New Roman" w:cs="Times New Roman"/>
                <w:sz w:val="18"/>
                <w:szCs w:val="18"/>
                <w:lang w:val="sr-Cyrl-RS" w:eastAsia="en-GB"/>
              </w:rPr>
            </w:pPr>
            <w:r>
              <w:rPr>
                <w:rFonts w:eastAsia="Times New Roman" w:cs="Times New Roman"/>
                <w:sz w:val="18"/>
                <w:szCs w:val="18"/>
                <w:lang w:val="sr-Cyrl-RS" w:eastAsia="en-GB"/>
              </w:rPr>
              <w:t>0,2</w:t>
            </w:r>
          </w:p>
        </w:tc>
        <w:tc>
          <w:tcPr>
            <w:tcW w:w="851" w:type="dxa"/>
            <w:tcBorders>
              <w:top w:val="nil"/>
              <w:left w:val="nil"/>
              <w:bottom w:val="nil"/>
            </w:tcBorders>
            <w:shd w:val="clear" w:color="auto" w:fill="auto"/>
            <w:noWrap/>
            <w:vAlign w:val="center"/>
          </w:tcPr>
          <w:p w14:paraId="4BEFE019" w14:textId="77777777" w:rsidR="0071281F" w:rsidRPr="007A118F" w:rsidRDefault="0071281F" w:rsidP="00D2109C">
            <w:pPr>
              <w:spacing w:after="0"/>
              <w:jc w:val="center"/>
              <w:rPr>
                <w:rFonts w:eastAsia="Times New Roman" w:cs="Times New Roman"/>
                <w:sz w:val="18"/>
                <w:szCs w:val="18"/>
                <w:lang w:val="sr-Cyrl-RS" w:eastAsia="en-GB"/>
              </w:rPr>
            </w:pPr>
            <w:r>
              <w:rPr>
                <w:rFonts w:eastAsia="Times New Roman" w:cs="Times New Roman"/>
                <w:sz w:val="18"/>
                <w:szCs w:val="18"/>
                <w:lang w:val="sr-Cyrl-RS" w:eastAsia="en-GB"/>
              </w:rPr>
              <w:t>2,6</w:t>
            </w:r>
          </w:p>
        </w:tc>
        <w:tc>
          <w:tcPr>
            <w:tcW w:w="850" w:type="dxa"/>
            <w:tcBorders>
              <w:top w:val="nil"/>
              <w:left w:val="nil"/>
              <w:bottom w:val="nil"/>
              <w:right w:val="single" w:sz="8" w:space="0" w:color="auto"/>
            </w:tcBorders>
            <w:vAlign w:val="center"/>
          </w:tcPr>
          <w:p w14:paraId="4C74EE5B" w14:textId="77777777" w:rsidR="0071281F" w:rsidRPr="007A118F" w:rsidRDefault="0071281F" w:rsidP="00D2109C">
            <w:pPr>
              <w:spacing w:after="0"/>
              <w:jc w:val="center"/>
              <w:rPr>
                <w:rFonts w:eastAsia="Times New Roman" w:cs="Times New Roman"/>
                <w:sz w:val="18"/>
                <w:szCs w:val="18"/>
                <w:lang w:val="sr-Cyrl-RS" w:eastAsia="en-GB"/>
              </w:rPr>
            </w:pPr>
            <w:r>
              <w:rPr>
                <w:rFonts w:eastAsia="Times New Roman" w:cs="Times New Roman"/>
                <w:sz w:val="18"/>
                <w:szCs w:val="18"/>
                <w:lang w:val="sr-Cyrl-RS" w:eastAsia="en-GB"/>
              </w:rPr>
              <w:t>3,0</w:t>
            </w:r>
          </w:p>
        </w:tc>
        <w:tc>
          <w:tcPr>
            <w:tcW w:w="1134" w:type="dxa"/>
            <w:tcBorders>
              <w:top w:val="nil"/>
              <w:left w:val="single" w:sz="8" w:space="0" w:color="auto"/>
              <w:bottom w:val="nil"/>
              <w:right w:val="nil"/>
            </w:tcBorders>
            <w:shd w:val="clear" w:color="auto" w:fill="auto"/>
            <w:noWrap/>
            <w:vAlign w:val="center"/>
          </w:tcPr>
          <w:p w14:paraId="3CE8F9A4" w14:textId="77777777" w:rsidR="0071281F" w:rsidRPr="00C86459" w:rsidRDefault="0071281F" w:rsidP="00D2109C">
            <w:pPr>
              <w:spacing w:after="0"/>
              <w:jc w:val="center"/>
              <w:rPr>
                <w:rFonts w:eastAsia="Times New Roman" w:cs="Times New Roman"/>
                <w:sz w:val="18"/>
                <w:szCs w:val="18"/>
                <w:lang w:val="sr-Cyrl-RS" w:eastAsia="en-GB"/>
              </w:rPr>
            </w:pPr>
            <w:r>
              <w:rPr>
                <w:rFonts w:eastAsia="Times New Roman" w:cs="Times New Roman"/>
                <w:sz w:val="18"/>
                <w:szCs w:val="18"/>
                <w:lang w:val="sr-Cyrl-RS" w:eastAsia="en-GB"/>
              </w:rPr>
              <w:t>1,3</w:t>
            </w:r>
          </w:p>
        </w:tc>
        <w:tc>
          <w:tcPr>
            <w:tcW w:w="851" w:type="dxa"/>
            <w:tcBorders>
              <w:top w:val="nil"/>
              <w:left w:val="nil"/>
              <w:bottom w:val="nil"/>
            </w:tcBorders>
            <w:shd w:val="clear" w:color="auto" w:fill="auto"/>
            <w:vAlign w:val="center"/>
          </w:tcPr>
          <w:p w14:paraId="50BDE796" w14:textId="77777777" w:rsidR="0071281F" w:rsidRPr="00C86459" w:rsidRDefault="0071281F" w:rsidP="00D2109C">
            <w:pPr>
              <w:spacing w:after="0"/>
              <w:jc w:val="center"/>
              <w:rPr>
                <w:rFonts w:eastAsia="Times New Roman" w:cs="Times New Roman"/>
                <w:sz w:val="18"/>
                <w:szCs w:val="18"/>
                <w:lang w:val="sr-Cyrl-RS" w:eastAsia="en-GB"/>
              </w:rPr>
            </w:pPr>
            <w:r>
              <w:rPr>
                <w:rFonts w:eastAsia="Times New Roman" w:cs="Times New Roman"/>
                <w:sz w:val="18"/>
                <w:szCs w:val="18"/>
                <w:lang w:val="sr-Cyrl-RS" w:eastAsia="en-GB"/>
              </w:rPr>
              <w:t>3,3</w:t>
            </w:r>
          </w:p>
        </w:tc>
      </w:tr>
      <w:tr w:rsidR="0071281F" w:rsidRPr="00076D43" w14:paraId="615C87B9" w14:textId="77777777" w:rsidTr="0071281F">
        <w:trPr>
          <w:trHeight w:val="284"/>
          <w:jc w:val="center"/>
        </w:trPr>
        <w:tc>
          <w:tcPr>
            <w:tcW w:w="3686" w:type="dxa"/>
            <w:tcBorders>
              <w:top w:val="nil"/>
              <w:left w:val="nil"/>
              <w:bottom w:val="nil"/>
              <w:right w:val="nil"/>
            </w:tcBorders>
            <w:shd w:val="clear" w:color="auto" w:fill="auto"/>
            <w:noWrap/>
            <w:vAlign w:val="center"/>
            <w:hideMark/>
          </w:tcPr>
          <w:p w14:paraId="28E3DC58" w14:textId="77777777" w:rsidR="0071281F" w:rsidRPr="00076D43" w:rsidRDefault="0071281F" w:rsidP="00D2109C">
            <w:pPr>
              <w:spacing w:after="0"/>
              <w:rPr>
                <w:rFonts w:eastAsia="Times New Roman" w:cs="Times New Roman"/>
                <w:sz w:val="18"/>
                <w:szCs w:val="18"/>
                <w:lang w:val="sr-Cyrl-RS" w:eastAsia="en-GB"/>
              </w:rPr>
            </w:pPr>
            <w:r w:rsidRPr="00076D43">
              <w:rPr>
                <w:rFonts w:eastAsia="Times New Roman" w:cs="Times New Roman"/>
                <w:sz w:val="18"/>
                <w:szCs w:val="18"/>
                <w:lang w:val="sr-Cyrl-RS" w:eastAsia="en-GB"/>
              </w:rPr>
              <w:t>Запосленост</w:t>
            </w:r>
          </w:p>
        </w:tc>
        <w:tc>
          <w:tcPr>
            <w:tcW w:w="850" w:type="dxa"/>
            <w:tcBorders>
              <w:top w:val="nil"/>
              <w:left w:val="nil"/>
              <w:bottom w:val="nil"/>
              <w:right w:val="nil"/>
            </w:tcBorders>
            <w:shd w:val="clear" w:color="auto" w:fill="auto"/>
            <w:noWrap/>
            <w:vAlign w:val="center"/>
          </w:tcPr>
          <w:p w14:paraId="4888DDAE" w14:textId="77777777" w:rsidR="0071281F" w:rsidRPr="00C86459" w:rsidRDefault="0071281F" w:rsidP="00D2109C">
            <w:pPr>
              <w:spacing w:after="0"/>
              <w:jc w:val="center"/>
              <w:rPr>
                <w:rFonts w:eastAsia="Times New Roman" w:cs="Times New Roman"/>
                <w:sz w:val="18"/>
                <w:szCs w:val="18"/>
                <w:lang w:val="sr-Cyrl-RS" w:eastAsia="en-GB"/>
              </w:rPr>
            </w:pPr>
            <w:r>
              <w:rPr>
                <w:rFonts w:eastAsia="Times New Roman" w:cs="Times New Roman"/>
                <w:sz w:val="18"/>
                <w:szCs w:val="18"/>
                <w:lang w:val="sr-Cyrl-RS" w:eastAsia="en-GB"/>
              </w:rPr>
              <w:t>1,1</w:t>
            </w:r>
          </w:p>
        </w:tc>
        <w:tc>
          <w:tcPr>
            <w:tcW w:w="1134" w:type="dxa"/>
            <w:tcBorders>
              <w:top w:val="nil"/>
              <w:left w:val="nil"/>
              <w:bottom w:val="nil"/>
              <w:right w:val="nil"/>
            </w:tcBorders>
            <w:shd w:val="clear" w:color="auto" w:fill="auto"/>
            <w:noWrap/>
            <w:vAlign w:val="center"/>
          </w:tcPr>
          <w:p w14:paraId="45AD4184" w14:textId="77777777" w:rsidR="0071281F" w:rsidRPr="00C86459" w:rsidRDefault="0071281F" w:rsidP="00D2109C">
            <w:pPr>
              <w:spacing w:after="0"/>
              <w:jc w:val="center"/>
              <w:rPr>
                <w:rFonts w:eastAsia="Times New Roman" w:cs="Times New Roman"/>
                <w:sz w:val="18"/>
                <w:szCs w:val="18"/>
                <w:lang w:val="sr-Cyrl-RS" w:eastAsia="en-GB"/>
              </w:rPr>
            </w:pPr>
            <w:r>
              <w:rPr>
                <w:rFonts w:eastAsia="Times New Roman" w:cs="Times New Roman"/>
                <w:sz w:val="18"/>
                <w:szCs w:val="18"/>
                <w:lang w:val="sr-Cyrl-RS" w:eastAsia="en-GB"/>
              </w:rPr>
              <w:t>0,8</w:t>
            </w:r>
          </w:p>
        </w:tc>
        <w:tc>
          <w:tcPr>
            <w:tcW w:w="851" w:type="dxa"/>
            <w:tcBorders>
              <w:top w:val="nil"/>
              <w:left w:val="nil"/>
              <w:bottom w:val="nil"/>
            </w:tcBorders>
            <w:shd w:val="clear" w:color="auto" w:fill="auto"/>
            <w:noWrap/>
            <w:vAlign w:val="center"/>
          </w:tcPr>
          <w:p w14:paraId="22B72E9C" w14:textId="77777777" w:rsidR="0071281F" w:rsidRPr="00C86459" w:rsidRDefault="0071281F" w:rsidP="00D2109C">
            <w:pPr>
              <w:spacing w:after="0"/>
              <w:jc w:val="center"/>
              <w:rPr>
                <w:rFonts w:eastAsia="Times New Roman" w:cs="Times New Roman"/>
                <w:sz w:val="18"/>
                <w:szCs w:val="18"/>
                <w:lang w:val="sr-Cyrl-RS" w:eastAsia="en-GB"/>
              </w:rPr>
            </w:pPr>
            <w:r>
              <w:rPr>
                <w:rFonts w:eastAsia="Times New Roman" w:cs="Times New Roman"/>
                <w:sz w:val="18"/>
                <w:szCs w:val="18"/>
                <w:lang w:val="sr-Cyrl-RS" w:eastAsia="en-GB"/>
              </w:rPr>
              <w:t>0,6</w:t>
            </w:r>
          </w:p>
        </w:tc>
        <w:tc>
          <w:tcPr>
            <w:tcW w:w="850" w:type="dxa"/>
            <w:tcBorders>
              <w:top w:val="nil"/>
              <w:left w:val="nil"/>
              <w:bottom w:val="nil"/>
              <w:right w:val="single" w:sz="8" w:space="0" w:color="auto"/>
            </w:tcBorders>
            <w:vAlign w:val="center"/>
          </w:tcPr>
          <w:p w14:paraId="6883DF5A" w14:textId="77777777" w:rsidR="0071281F" w:rsidRPr="00C86459" w:rsidRDefault="0071281F" w:rsidP="00D2109C">
            <w:pPr>
              <w:spacing w:after="0"/>
              <w:jc w:val="center"/>
              <w:rPr>
                <w:rFonts w:eastAsia="Times New Roman" w:cs="Times New Roman"/>
                <w:sz w:val="18"/>
                <w:szCs w:val="18"/>
                <w:lang w:val="sr-Cyrl-RS" w:eastAsia="en-GB"/>
              </w:rPr>
            </w:pPr>
            <w:r>
              <w:rPr>
                <w:rFonts w:eastAsia="Times New Roman" w:cs="Times New Roman"/>
                <w:sz w:val="18"/>
                <w:szCs w:val="18"/>
                <w:lang w:val="sr-Cyrl-RS" w:eastAsia="en-GB"/>
              </w:rPr>
              <w:t>0,5</w:t>
            </w:r>
          </w:p>
        </w:tc>
        <w:tc>
          <w:tcPr>
            <w:tcW w:w="1134" w:type="dxa"/>
            <w:tcBorders>
              <w:top w:val="nil"/>
              <w:left w:val="single" w:sz="8" w:space="0" w:color="auto"/>
              <w:bottom w:val="nil"/>
              <w:right w:val="nil"/>
            </w:tcBorders>
            <w:shd w:val="clear" w:color="auto" w:fill="auto"/>
            <w:noWrap/>
            <w:vAlign w:val="center"/>
          </w:tcPr>
          <w:p w14:paraId="261C60E1" w14:textId="77777777" w:rsidR="0071281F" w:rsidRPr="00C86459" w:rsidRDefault="0071281F" w:rsidP="00D2109C">
            <w:pPr>
              <w:spacing w:after="0"/>
              <w:jc w:val="center"/>
              <w:rPr>
                <w:rFonts w:eastAsia="Times New Roman" w:cs="Times New Roman"/>
                <w:sz w:val="18"/>
                <w:szCs w:val="18"/>
                <w:lang w:val="sr-Cyrl-RS" w:eastAsia="en-GB"/>
              </w:rPr>
            </w:pPr>
            <w:r>
              <w:rPr>
                <w:rFonts w:eastAsia="Times New Roman" w:cs="Times New Roman"/>
                <w:sz w:val="18"/>
                <w:szCs w:val="18"/>
                <w:lang w:val="sr-Cyrl-RS" w:eastAsia="en-GB"/>
              </w:rPr>
              <w:t>0,6</w:t>
            </w:r>
          </w:p>
        </w:tc>
        <w:tc>
          <w:tcPr>
            <w:tcW w:w="851" w:type="dxa"/>
            <w:tcBorders>
              <w:top w:val="nil"/>
              <w:left w:val="nil"/>
              <w:bottom w:val="nil"/>
            </w:tcBorders>
            <w:shd w:val="clear" w:color="auto" w:fill="auto"/>
            <w:vAlign w:val="center"/>
          </w:tcPr>
          <w:p w14:paraId="29BD61C5" w14:textId="77777777" w:rsidR="0071281F" w:rsidRPr="00BC3EC8" w:rsidRDefault="0071281F" w:rsidP="00D2109C">
            <w:pPr>
              <w:spacing w:after="0"/>
              <w:jc w:val="center"/>
              <w:rPr>
                <w:rFonts w:eastAsia="Times New Roman" w:cs="Times New Roman"/>
                <w:sz w:val="18"/>
                <w:szCs w:val="18"/>
                <w:lang w:val="sr-Latn-RS" w:eastAsia="en-GB"/>
              </w:rPr>
            </w:pPr>
            <w:r>
              <w:rPr>
                <w:rFonts w:eastAsia="Times New Roman" w:cs="Times New Roman"/>
                <w:sz w:val="18"/>
                <w:szCs w:val="18"/>
                <w:lang w:val="sr-Cyrl-RS" w:eastAsia="en-GB"/>
              </w:rPr>
              <w:t>0,4</w:t>
            </w:r>
          </w:p>
        </w:tc>
      </w:tr>
      <w:tr w:rsidR="0071281F" w:rsidRPr="00076D43" w14:paraId="014121A2" w14:textId="77777777" w:rsidTr="0071281F">
        <w:trPr>
          <w:trHeight w:val="284"/>
          <w:jc w:val="center"/>
        </w:trPr>
        <w:tc>
          <w:tcPr>
            <w:tcW w:w="3686" w:type="dxa"/>
            <w:tcBorders>
              <w:top w:val="nil"/>
              <w:left w:val="nil"/>
              <w:bottom w:val="nil"/>
              <w:right w:val="nil"/>
            </w:tcBorders>
            <w:shd w:val="clear" w:color="auto" w:fill="auto"/>
            <w:noWrap/>
            <w:vAlign w:val="center"/>
            <w:hideMark/>
          </w:tcPr>
          <w:p w14:paraId="35CFB726" w14:textId="21B69FC7" w:rsidR="0071281F" w:rsidRPr="00076D43" w:rsidRDefault="0071281F" w:rsidP="00D2109C">
            <w:pPr>
              <w:spacing w:after="0"/>
              <w:rPr>
                <w:rFonts w:eastAsia="Times New Roman" w:cs="Times New Roman"/>
                <w:sz w:val="18"/>
                <w:szCs w:val="18"/>
                <w:lang w:val="sr-Cyrl-RS" w:eastAsia="en-GB"/>
              </w:rPr>
            </w:pPr>
            <w:r w:rsidRPr="00076D43">
              <w:rPr>
                <w:rFonts w:eastAsia="Times New Roman" w:cs="Times New Roman"/>
                <w:sz w:val="18"/>
                <w:szCs w:val="18"/>
                <w:lang w:val="sr-Cyrl-RS" w:eastAsia="en-GB"/>
              </w:rPr>
              <w:t>Стопа неза</w:t>
            </w:r>
            <w:r w:rsidR="00EB4239">
              <w:rPr>
                <w:rFonts w:eastAsia="Times New Roman" w:cs="Times New Roman"/>
                <w:sz w:val="18"/>
                <w:szCs w:val="18"/>
                <w:lang w:val="sr-Cyrl-RS" w:eastAsia="en-GB"/>
              </w:rPr>
              <w:t>послености</w:t>
            </w:r>
          </w:p>
        </w:tc>
        <w:tc>
          <w:tcPr>
            <w:tcW w:w="850" w:type="dxa"/>
            <w:tcBorders>
              <w:top w:val="nil"/>
              <w:left w:val="nil"/>
              <w:bottom w:val="nil"/>
              <w:right w:val="nil"/>
            </w:tcBorders>
            <w:shd w:val="clear" w:color="auto" w:fill="auto"/>
            <w:noWrap/>
            <w:vAlign w:val="center"/>
          </w:tcPr>
          <w:p w14:paraId="7CB1F8B4" w14:textId="77777777" w:rsidR="0071281F" w:rsidRPr="00C86459" w:rsidRDefault="0071281F" w:rsidP="00D2109C">
            <w:pPr>
              <w:spacing w:after="0"/>
              <w:jc w:val="center"/>
              <w:rPr>
                <w:rFonts w:eastAsia="Times New Roman" w:cs="Times New Roman"/>
                <w:sz w:val="18"/>
                <w:szCs w:val="18"/>
                <w:lang w:val="sr-Cyrl-RS" w:eastAsia="en-GB"/>
              </w:rPr>
            </w:pPr>
            <w:r>
              <w:rPr>
                <w:rFonts w:eastAsia="Times New Roman" w:cs="Times New Roman"/>
                <w:sz w:val="18"/>
                <w:szCs w:val="18"/>
                <w:lang w:val="sr-Cyrl-RS" w:eastAsia="en-GB"/>
              </w:rPr>
              <w:t>6,1</w:t>
            </w:r>
          </w:p>
        </w:tc>
        <w:tc>
          <w:tcPr>
            <w:tcW w:w="1134" w:type="dxa"/>
            <w:tcBorders>
              <w:top w:val="nil"/>
              <w:left w:val="nil"/>
              <w:bottom w:val="nil"/>
              <w:right w:val="nil"/>
            </w:tcBorders>
            <w:shd w:val="clear" w:color="auto" w:fill="auto"/>
            <w:noWrap/>
            <w:vAlign w:val="center"/>
          </w:tcPr>
          <w:p w14:paraId="529F11AB" w14:textId="77777777" w:rsidR="0071281F" w:rsidRPr="00C86459" w:rsidRDefault="0071281F" w:rsidP="00D2109C">
            <w:pPr>
              <w:spacing w:after="0"/>
              <w:jc w:val="center"/>
              <w:rPr>
                <w:rFonts w:eastAsia="Times New Roman" w:cs="Times New Roman"/>
                <w:sz w:val="18"/>
                <w:szCs w:val="18"/>
                <w:lang w:val="sr-Cyrl-RS" w:eastAsia="en-GB"/>
              </w:rPr>
            </w:pPr>
            <w:r>
              <w:rPr>
                <w:rFonts w:eastAsia="Times New Roman" w:cs="Times New Roman"/>
                <w:sz w:val="18"/>
                <w:szCs w:val="18"/>
                <w:lang w:val="sr-Cyrl-RS" w:eastAsia="en-GB"/>
              </w:rPr>
              <w:t>6,1</w:t>
            </w:r>
          </w:p>
        </w:tc>
        <w:tc>
          <w:tcPr>
            <w:tcW w:w="851" w:type="dxa"/>
            <w:tcBorders>
              <w:top w:val="nil"/>
              <w:left w:val="nil"/>
              <w:bottom w:val="nil"/>
            </w:tcBorders>
            <w:shd w:val="clear" w:color="auto" w:fill="auto"/>
            <w:noWrap/>
            <w:vAlign w:val="center"/>
          </w:tcPr>
          <w:p w14:paraId="3B75A5C3" w14:textId="77777777" w:rsidR="0071281F" w:rsidRPr="00C86459" w:rsidRDefault="0071281F" w:rsidP="00D2109C">
            <w:pPr>
              <w:spacing w:after="0"/>
              <w:jc w:val="center"/>
              <w:rPr>
                <w:rFonts w:eastAsia="Times New Roman" w:cs="Times New Roman"/>
                <w:sz w:val="18"/>
                <w:szCs w:val="18"/>
                <w:lang w:val="sr-Cyrl-RS" w:eastAsia="en-GB"/>
              </w:rPr>
            </w:pPr>
            <w:r>
              <w:rPr>
                <w:rFonts w:eastAsia="Times New Roman" w:cs="Times New Roman"/>
                <w:sz w:val="18"/>
                <w:szCs w:val="18"/>
                <w:lang w:val="sr-Cyrl-RS" w:eastAsia="en-GB"/>
              </w:rPr>
              <w:t>5,9</w:t>
            </w:r>
          </w:p>
        </w:tc>
        <w:tc>
          <w:tcPr>
            <w:tcW w:w="850" w:type="dxa"/>
            <w:tcBorders>
              <w:top w:val="nil"/>
              <w:left w:val="nil"/>
              <w:bottom w:val="nil"/>
              <w:right w:val="single" w:sz="8" w:space="0" w:color="auto"/>
            </w:tcBorders>
            <w:vAlign w:val="center"/>
          </w:tcPr>
          <w:p w14:paraId="2B64FF1C" w14:textId="77777777" w:rsidR="0071281F" w:rsidRPr="00C86459" w:rsidRDefault="0071281F" w:rsidP="00D2109C">
            <w:pPr>
              <w:spacing w:after="0"/>
              <w:jc w:val="center"/>
              <w:rPr>
                <w:rFonts w:eastAsia="Times New Roman" w:cs="Times New Roman"/>
                <w:sz w:val="18"/>
                <w:szCs w:val="18"/>
                <w:lang w:val="sr-Cyrl-RS" w:eastAsia="en-GB"/>
              </w:rPr>
            </w:pPr>
            <w:r>
              <w:rPr>
                <w:rFonts w:eastAsia="Times New Roman" w:cs="Times New Roman"/>
                <w:sz w:val="18"/>
                <w:szCs w:val="18"/>
                <w:lang w:val="sr-Cyrl-RS" w:eastAsia="en-GB"/>
              </w:rPr>
              <w:t>5,9</w:t>
            </w:r>
          </w:p>
        </w:tc>
        <w:tc>
          <w:tcPr>
            <w:tcW w:w="1134" w:type="dxa"/>
            <w:tcBorders>
              <w:top w:val="nil"/>
              <w:left w:val="single" w:sz="8" w:space="0" w:color="auto"/>
              <w:bottom w:val="nil"/>
              <w:right w:val="nil"/>
            </w:tcBorders>
            <w:shd w:val="clear" w:color="auto" w:fill="auto"/>
            <w:noWrap/>
            <w:vAlign w:val="center"/>
          </w:tcPr>
          <w:p w14:paraId="5C9BA3C5" w14:textId="77777777" w:rsidR="0071281F" w:rsidRPr="00C86459" w:rsidRDefault="0071281F" w:rsidP="00D2109C">
            <w:pPr>
              <w:spacing w:after="0"/>
              <w:jc w:val="center"/>
              <w:rPr>
                <w:rFonts w:eastAsia="Times New Roman" w:cs="Times New Roman"/>
                <w:sz w:val="18"/>
                <w:szCs w:val="18"/>
                <w:lang w:val="sr-Cyrl-RS" w:eastAsia="en-GB"/>
              </w:rPr>
            </w:pPr>
            <w:r>
              <w:rPr>
                <w:rFonts w:eastAsia="Times New Roman" w:cs="Times New Roman"/>
                <w:sz w:val="18"/>
                <w:szCs w:val="18"/>
                <w:lang w:val="sr-Cyrl-RS" w:eastAsia="en-GB"/>
              </w:rPr>
              <w:t>6,1</w:t>
            </w:r>
          </w:p>
        </w:tc>
        <w:tc>
          <w:tcPr>
            <w:tcW w:w="851" w:type="dxa"/>
            <w:tcBorders>
              <w:top w:val="nil"/>
              <w:left w:val="nil"/>
              <w:bottom w:val="nil"/>
            </w:tcBorders>
            <w:shd w:val="clear" w:color="auto" w:fill="auto"/>
            <w:vAlign w:val="center"/>
          </w:tcPr>
          <w:p w14:paraId="59E6AB29" w14:textId="77777777" w:rsidR="0071281F" w:rsidRPr="00C86459" w:rsidRDefault="0071281F" w:rsidP="00D2109C">
            <w:pPr>
              <w:spacing w:after="0"/>
              <w:jc w:val="center"/>
              <w:rPr>
                <w:rFonts w:eastAsia="Times New Roman" w:cs="Times New Roman"/>
                <w:sz w:val="18"/>
                <w:szCs w:val="18"/>
                <w:lang w:val="sr-Cyrl-RS" w:eastAsia="en-GB"/>
              </w:rPr>
            </w:pPr>
            <w:r>
              <w:rPr>
                <w:rFonts w:eastAsia="Times New Roman" w:cs="Times New Roman"/>
                <w:sz w:val="18"/>
                <w:szCs w:val="18"/>
                <w:lang w:val="sr-Cyrl-RS" w:eastAsia="en-GB"/>
              </w:rPr>
              <w:t>6,0</w:t>
            </w:r>
          </w:p>
        </w:tc>
      </w:tr>
      <w:tr w:rsidR="0071281F" w:rsidRPr="00076D43" w14:paraId="7B6DC1E7" w14:textId="77777777" w:rsidTr="0071281F">
        <w:trPr>
          <w:trHeight w:val="284"/>
          <w:jc w:val="center"/>
        </w:trPr>
        <w:tc>
          <w:tcPr>
            <w:tcW w:w="3686" w:type="dxa"/>
            <w:tcBorders>
              <w:top w:val="nil"/>
              <w:left w:val="nil"/>
              <w:bottom w:val="nil"/>
              <w:right w:val="nil"/>
            </w:tcBorders>
            <w:shd w:val="clear" w:color="auto" w:fill="auto"/>
            <w:noWrap/>
            <w:vAlign w:val="center"/>
            <w:hideMark/>
          </w:tcPr>
          <w:p w14:paraId="3AB4003F" w14:textId="77777777" w:rsidR="0071281F" w:rsidRPr="00076D43" w:rsidRDefault="0071281F" w:rsidP="00D2109C">
            <w:pPr>
              <w:spacing w:after="0"/>
              <w:rPr>
                <w:rFonts w:eastAsia="Times New Roman" w:cs="Times New Roman"/>
                <w:sz w:val="18"/>
                <w:szCs w:val="18"/>
                <w:lang w:val="sr-Cyrl-RS" w:eastAsia="en-GB"/>
              </w:rPr>
            </w:pPr>
            <w:r w:rsidRPr="00076D43">
              <w:rPr>
                <w:rFonts w:eastAsia="Times New Roman" w:cs="Times New Roman"/>
                <w:sz w:val="18"/>
                <w:szCs w:val="18"/>
                <w:lang w:val="sr-Cyrl-RS" w:eastAsia="en-GB"/>
              </w:rPr>
              <w:t>Инфлација</w:t>
            </w:r>
          </w:p>
        </w:tc>
        <w:tc>
          <w:tcPr>
            <w:tcW w:w="850" w:type="dxa"/>
            <w:tcBorders>
              <w:top w:val="nil"/>
              <w:left w:val="nil"/>
              <w:bottom w:val="nil"/>
              <w:right w:val="nil"/>
            </w:tcBorders>
            <w:shd w:val="clear" w:color="auto" w:fill="auto"/>
            <w:noWrap/>
            <w:vAlign w:val="center"/>
          </w:tcPr>
          <w:p w14:paraId="267A33CD" w14:textId="77777777" w:rsidR="0071281F" w:rsidRPr="00C86459" w:rsidRDefault="0071281F" w:rsidP="00D2109C">
            <w:pPr>
              <w:spacing w:after="0"/>
              <w:jc w:val="center"/>
              <w:rPr>
                <w:rFonts w:eastAsia="Times New Roman" w:cs="Times New Roman"/>
                <w:sz w:val="18"/>
                <w:szCs w:val="18"/>
                <w:lang w:val="sr-Cyrl-RS" w:eastAsia="en-GB"/>
              </w:rPr>
            </w:pPr>
            <w:r>
              <w:rPr>
                <w:rFonts w:eastAsia="Times New Roman" w:cs="Times New Roman"/>
                <w:sz w:val="18"/>
                <w:szCs w:val="18"/>
                <w:lang w:val="sr-Cyrl-RS" w:eastAsia="en-GB"/>
              </w:rPr>
              <w:t>6,4</w:t>
            </w:r>
          </w:p>
        </w:tc>
        <w:tc>
          <w:tcPr>
            <w:tcW w:w="1134" w:type="dxa"/>
            <w:tcBorders>
              <w:top w:val="nil"/>
              <w:left w:val="nil"/>
              <w:bottom w:val="nil"/>
              <w:right w:val="nil"/>
            </w:tcBorders>
            <w:shd w:val="clear" w:color="auto" w:fill="auto"/>
            <w:noWrap/>
            <w:vAlign w:val="center"/>
          </w:tcPr>
          <w:p w14:paraId="39220648" w14:textId="77777777" w:rsidR="0071281F" w:rsidRPr="00C86459" w:rsidRDefault="0071281F" w:rsidP="00D2109C">
            <w:pPr>
              <w:spacing w:after="0"/>
              <w:jc w:val="center"/>
              <w:rPr>
                <w:rFonts w:eastAsia="Times New Roman" w:cs="Times New Roman"/>
                <w:sz w:val="18"/>
                <w:szCs w:val="18"/>
                <w:lang w:val="sr-Cyrl-RS" w:eastAsia="en-GB"/>
              </w:rPr>
            </w:pPr>
            <w:r>
              <w:rPr>
                <w:rFonts w:eastAsia="Times New Roman" w:cs="Times New Roman"/>
                <w:sz w:val="18"/>
                <w:szCs w:val="18"/>
                <w:lang w:val="sr-Cyrl-RS" w:eastAsia="en-GB"/>
              </w:rPr>
              <w:t>2,6</w:t>
            </w:r>
          </w:p>
        </w:tc>
        <w:tc>
          <w:tcPr>
            <w:tcW w:w="851" w:type="dxa"/>
            <w:tcBorders>
              <w:top w:val="nil"/>
              <w:left w:val="nil"/>
              <w:bottom w:val="nil"/>
            </w:tcBorders>
            <w:shd w:val="clear" w:color="auto" w:fill="auto"/>
            <w:noWrap/>
            <w:vAlign w:val="center"/>
          </w:tcPr>
          <w:p w14:paraId="6957C495" w14:textId="77777777" w:rsidR="0071281F" w:rsidRPr="00C86459" w:rsidRDefault="0071281F" w:rsidP="00D2109C">
            <w:pPr>
              <w:spacing w:after="0"/>
              <w:jc w:val="center"/>
              <w:rPr>
                <w:rFonts w:eastAsia="Times New Roman" w:cs="Times New Roman"/>
                <w:sz w:val="18"/>
                <w:szCs w:val="18"/>
                <w:lang w:val="sr-Cyrl-RS" w:eastAsia="en-GB"/>
              </w:rPr>
            </w:pPr>
            <w:r>
              <w:rPr>
                <w:rFonts w:eastAsia="Times New Roman" w:cs="Times New Roman"/>
                <w:sz w:val="18"/>
                <w:szCs w:val="18"/>
                <w:lang w:val="sr-Cyrl-RS" w:eastAsia="en-GB"/>
              </w:rPr>
              <w:t>2,4</w:t>
            </w:r>
          </w:p>
        </w:tc>
        <w:tc>
          <w:tcPr>
            <w:tcW w:w="850" w:type="dxa"/>
            <w:tcBorders>
              <w:top w:val="nil"/>
              <w:left w:val="nil"/>
              <w:bottom w:val="nil"/>
              <w:right w:val="single" w:sz="8" w:space="0" w:color="auto"/>
            </w:tcBorders>
            <w:vAlign w:val="center"/>
          </w:tcPr>
          <w:p w14:paraId="671D6C75" w14:textId="77777777" w:rsidR="0071281F" w:rsidRPr="00C86459" w:rsidRDefault="0071281F" w:rsidP="00D2109C">
            <w:pPr>
              <w:spacing w:after="0"/>
              <w:jc w:val="center"/>
              <w:rPr>
                <w:rFonts w:eastAsia="Times New Roman" w:cs="Times New Roman"/>
                <w:sz w:val="18"/>
                <w:szCs w:val="18"/>
                <w:lang w:val="sr-Cyrl-RS" w:eastAsia="en-GB"/>
              </w:rPr>
            </w:pPr>
            <w:r>
              <w:rPr>
                <w:rFonts w:eastAsia="Times New Roman" w:cs="Times New Roman"/>
                <w:sz w:val="18"/>
                <w:szCs w:val="18"/>
                <w:lang w:val="sr-Cyrl-RS" w:eastAsia="en-GB"/>
              </w:rPr>
              <w:t>2,0</w:t>
            </w:r>
          </w:p>
        </w:tc>
        <w:tc>
          <w:tcPr>
            <w:tcW w:w="1134" w:type="dxa"/>
            <w:tcBorders>
              <w:top w:val="nil"/>
              <w:left w:val="single" w:sz="8" w:space="0" w:color="auto"/>
              <w:bottom w:val="nil"/>
              <w:right w:val="nil"/>
            </w:tcBorders>
            <w:shd w:val="clear" w:color="auto" w:fill="auto"/>
            <w:noWrap/>
            <w:vAlign w:val="center"/>
          </w:tcPr>
          <w:p w14:paraId="6ED6A6A8" w14:textId="77777777" w:rsidR="0071281F" w:rsidRPr="00C86459" w:rsidRDefault="0071281F" w:rsidP="00D2109C">
            <w:pPr>
              <w:spacing w:after="0"/>
              <w:jc w:val="center"/>
              <w:rPr>
                <w:rFonts w:eastAsia="Times New Roman" w:cs="Times New Roman"/>
                <w:sz w:val="18"/>
                <w:szCs w:val="18"/>
                <w:lang w:val="sr-Cyrl-RS" w:eastAsia="en-GB"/>
              </w:rPr>
            </w:pPr>
            <w:r>
              <w:rPr>
                <w:rFonts w:eastAsia="Times New Roman" w:cs="Times New Roman"/>
                <w:sz w:val="18"/>
                <w:szCs w:val="18"/>
                <w:lang w:val="sr-Cyrl-RS" w:eastAsia="en-GB"/>
              </w:rPr>
              <w:t>2,7</w:t>
            </w:r>
          </w:p>
        </w:tc>
        <w:tc>
          <w:tcPr>
            <w:tcW w:w="851" w:type="dxa"/>
            <w:tcBorders>
              <w:top w:val="nil"/>
              <w:left w:val="nil"/>
              <w:bottom w:val="nil"/>
            </w:tcBorders>
            <w:shd w:val="clear" w:color="auto" w:fill="auto"/>
            <w:vAlign w:val="center"/>
          </w:tcPr>
          <w:p w14:paraId="3BC47949" w14:textId="77777777" w:rsidR="0071281F" w:rsidRPr="00C86459" w:rsidRDefault="0071281F" w:rsidP="00D2109C">
            <w:pPr>
              <w:spacing w:after="0"/>
              <w:jc w:val="center"/>
              <w:rPr>
                <w:rFonts w:eastAsia="Times New Roman" w:cs="Times New Roman"/>
                <w:sz w:val="18"/>
                <w:szCs w:val="18"/>
                <w:lang w:val="sr-Cyrl-RS" w:eastAsia="en-GB"/>
              </w:rPr>
            </w:pPr>
            <w:r>
              <w:rPr>
                <w:rFonts w:eastAsia="Times New Roman" w:cs="Times New Roman"/>
                <w:sz w:val="18"/>
                <w:szCs w:val="18"/>
                <w:lang w:val="sr-Cyrl-RS" w:eastAsia="en-GB"/>
              </w:rPr>
              <w:t>2,2</w:t>
            </w:r>
          </w:p>
        </w:tc>
      </w:tr>
      <w:tr w:rsidR="0071281F" w:rsidRPr="00076D43" w14:paraId="1F66415A" w14:textId="77777777" w:rsidTr="0071281F">
        <w:trPr>
          <w:trHeight w:val="284"/>
          <w:jc w:val="center"/>
        </w:trPr>
        <w:tc>
          <w:tcPr>
            <w:tcW w:w="3686" w:type="dxa"/>
            <w:tcBorders>
              <w:top w:val="nil"/>
              <w:left w:val="nil"/>
              <w:bottom w:val="nil"/>
              <w:right w:val="nil"/>
            </w:tcBorders>
            <w:shd w:val="clear" w:color="auto" w:fill="auto"/>
            <w:noWrap/>
            <w:vAlign w:val="center"/>
            <w:hideMark/>
          </w:tcPr>
          <w:p w14:paraId="3CB4B9B2" w14:textId="77777777" w:rsidR="0071281F" w:rsidRPr="00076D43" w:rsidRDefault="0071281F" w:rsidP="00D2109C">
            <w:pPr>
              <w:spacing w:after="0"/>
              <w:rPr>
                <w:rFonts w:eastAsia="Times New Roman" w:cs="Times New Roman"/>
                <w:sz w:val="18"/>
                <w:szCs w:val="18"/>
                <w:lang w:val="sr-Cyrl-RS" w:eastAsia="en-GB"/>
              </w:rPr>
            </w:pPr>
            <w:r w:rsidRPr="00076D43">
              <w:rPr>
                <w:rFonts w:eastAsia="Times New Roman" w:cs="Times New Roman"/>
                <w:sz w:val="18"/>
                <w:szCs w:val="18"/>
                <w:lang w:val="sr-Cyrl-RS" w:eastAsia="en-GB"/>
              </w:rPr>
              <w:t>Јединични трошкови рада</w:t>
            </w:r>
          </w:p>
        </w:tc>
        <w:tc>
          <w:tcPr>
            <w:tcW w:w="850" w:type="dxa"/>
            <w:tcBorders>
              <w:top w:val="nil"/>
              <w:left w:val="nil"/>
              <w:bottom w:val="nil"/>
              <w:right w:val="nil"/>
            </w:tcBorders>
            <w:shd w:val="clear" w:color="auto" w:fill="auto"/>
            <w:noWrap/>
            <w:vAlign w:val="center"/>
          </w:tcPr>
          <w:p w14:paraId="7C44C863" w14:textId="77777777" w:rsidR="0071281F" w:rsidRPr="00C86459" w:rsidRDefault="0071281F" w:rsidP="00D2109C">
            <w:pPr>
              <w:spacing w:after="0"/>
              <w:jc w:val="center"/>
              <w:rPr>
                <w:rFonts w:eastAsia="Times New Roman" w:cs="Times New Roman"/>
                <w:sz w:val="18"/>
                <w:szCs w:val="18"/>
                <w:lang w:val="sr-Cyrl-RS" w:eastAsia="en-GB"/>
              </w:rPr>
            </w:pPr>
            <w:r>
              <w:rPr>
                <w:rFonts w:eastAsia="Times New Roman" w:cs="Times New Roman"/>
                <w:sz w:val="18"/>
                <w:szCs w:val="18"/>
                <w:lang w:val="sr-Cyrl-RS" w:eastAsia="en-GB"/>
              </w:rPr>
              <w:t>6,8</w:t>
            </w:r>
          </w:p>
        </w:tc>
        <w:tc>
          <w:tcPr>
            <w:tcW w:w="1134" w:type="dxa"/>
            <w:tcBorders>
              <w:top w:val="nil"/>
              <w:left w:val="nil"/>
              <w:bottom w:val="nil"/>
              <w:right w:val="nil"/>
            </w:tcBorders>
            <w:shd w:val="clear" w:color="auto" w:fill="auto"/>
            <w:noWrap/>
            <w:vAlign w:val="center"/>
          </w:tcPr>
          <w:p w14:paraId="75C87F4A" w14:textId="77777777" w:rsidR="0071281F" w:rsidRPr="00C86459" w:rsidRDefault="0071281F" w:rsidP="00D2109C">
            <w:pPr>
              <w:spacing w:after="0"/>
              <w:jc w:val="center"/>
              <w:rPr>
                <w:rFonts w:eastAsia="Times New Roman" w:cs="Times New Roman"/>
                <w:sz w:val="18"/>
                <w:szCs w:val="18"/>
                <w:lang w:val="sr-Cyrl-RS" w:eastAsia="en-GB"/>
              </w:rPr>
            </w:pPr>
            <w:r>
              <w:rPr>
                <w:rFonts w:eastAsia="Times New Roman" w:cs="Times New Roman"/>
                <w:sz w:val="18"/>
                <w:szCs w:val="18"/>
                <w:lang w:val="sr-Cyrl-RS" w:eastAsia="en-GB"/>
              </w:rPr>
              <w:t>4,8</w:t>
            </w:r>
          </w:p>
        </w:tc>
        <w:tc>
          <w:tcPr>
            <w:tcW w:w="851" w:type="dxa"/>
            <w:tcBorders>
              <w:top w:val="nil"/>
              <w:left w:val="nil"/>
              <w:bottom w:val="nil"/>
            </w:tcBorders>
            <w:shd w:val="clear" w:color="auto" w:fill="auto"/>
            <w:noWrap/>
            <w:vAlign w:val="center"/>
          </w:tcPr>
          <w:p w14:paraId="27C82781" w14:textId="77777777" w:rsidR="0071281F" w:rsidRPr="00C86459" w:rsidRDefault="0071281F" w:rsidP="00D2109C">
            <w:pPr>
              <w:spacing w:after="0"/>
              <w:jc w:val="center"/>
              <w:rPr>
                <w:rFonts w:eastAsia="Times New Roman" w:cs="Times New Roman"/>
                <w:sz w:val="18"/>
                <w:szCs w:val="18"/>
                <w:lang w:val="sr-Cyrl-RS" w:eastAsia="en-GB"/>
              </w:rPr>
            </w:pPr>
            <w:r>
              <w:rPr>
                <w:rFonts w:eastAsia="Times New Roman" w:cs="Times New Roman"/>
                <w:sz w:val="18"/>
                <w:szCs w:val="18"/>
                <w:lang w:val="sr-Cyrl-RS" w:eastAsia="en-GB"/>
              </w:rPr>
              <w:t>2,5</w:t>
            </w:r>
          </w:p>
        </w:tc>
        <w:tc>
          <w:tcPr>
            <w:tcW w:w="850" w:type="dxa"/>
            <w:tcBorders>
              <w:top w:val="nil"/>
              <w:left w:val="nil"/>
              <w:bottom w:val="nil"/>
              <w:right w:val="single" w:sz="8" w:space="0" w:color="auto"/>
            </w:tcBorders>
            <w:vAlign w:val="center"/>
          </w:tcPr>
          <w:p w14:paraId="44A04FD0" w14:textId="77777777" w:rsidR="0071281F" w:rsidRPr="00C86459" w:rsidRDefault="0071281F" w:rsidP="00D2109C">
            <w:pPr>
              <w:spacing w:after="0"/>
              <w:jc w:val="center"/>
              <w:rPr>
                <w:rFonts w:eastAsia="Times New Roman" w:cs="Times New Roman"/>
                <w:sz w:val="18"/>
                <w:szCs w:val="18"/>
                <w:lang w:val="sr-Cyrl-RS" w:eastAsia="en-GB"/>
              </w:rPr>
            </w:pPr>
            <w:r>
              <w:rPr>
                <w:rFonts w:eastAsia="Times New Roman" w:cs="Times New Roman"/>
                <w:sz w:val="18"/>
                <w:szCs w:val="18"/>
                <w:lang w:val="sr-Cyrl-RS" w:eastAsia="en-GB"/>
              </w:rPr>
              <w:t>1,8</w:t>
            </w:r>
          </w:p>
        </w:tc>
        <w:tc>
          <w:tcPr>
            <w:tcW w:w="1134" w:type="dxa"/>
            <w:tcBorders>
              <w:top w:val="nil"/>
              <w:left w:val="single" w:sz="8" w:space="0" w:color="auto"/>
              <w:bottom w:val="nil"/>
              <w:right w:val="nil"/>
            </w:tcBorders>
            <w:shd w:val="clear" w:color="auto" w:fill="auto"/>
            <w:noWrap/>
            <w:vAlign w:val="center"/>
          </w:tcPr>
          <w:p w14:paraId="5522B122" w14:textId="77777777" w:rsidR="0071281F" w:rsidRPr="00C86459" w:rsidRDefault="0071281F" w:rsidP="00D2109C">
            <w:pPr>
              <w:spacing w:after="0"/>
              <w:jc w:val="center"/>
              <w:rPr>
                <w:rFonts w:eastAsia="Times New Roman" w:cs="Times New Roman"/>
                <w:sz w:val="18"/>
                <w:szCs w:val="18"/>
                <w:lang w:val="sr-Cyrl-RS" w:eastAsia="en-GB"/>
              </w:rPr>
            </w:pPr>
            <w:r>
              <w:rPr>
                <w:rFonts w:eastAsia="Times New Roman" w:cs="Times New Roman"/>
                <w:sz w:val="18"/>
                <w:szCs w:val="18"/>
                <w:lang w:val="sr-Cyrl-RS" w:eastAsia="en-GB"/>
              </w:rPr>
              <w:t>4,3</w:t>
            </w:r>
          </w:p>
        </w:tc>
        <w:tc>
          <w:tcPr>
            <w:tcW w:w="851" w:type="dxa"/>
            <w:tcBorders>
              <w:top w:val="nil"/>
              <w:left w:val="nil"/>
              <w:bottom w:val="nil"/>
            </w:tcBorders>
            <w:shd w:val="clear" w:color="auto" w:fill="auto"/>
            <w:vAlign w:val="center"/>
          </w:tcPr>
          <w:p w14:paraId="2EF245A3" w14:textId="77777777" w:rsidR="0071281F" w:rsidRPr="00C86459" w:rsidRDefault="0071281F" w:rsidP="00D2109C">
            <w:pPr>
              <w:spacing w:after="0"/>
              <w:jc w:val="center"/>
              <w:rPr>
                <w:rFonts w:eastAsia="Times New Roman" w:cs="Times New Roman"/>
                <w:sz w:val="18"/>
                <w:szCs w:val="18"/>
                <w:lang w:val="sr-Cyrl-RS" w:eastAsia="en-GB"/>
              </w:rPr>
            </w:pPr>
            <w:r>
              <w:rPr>
                <w:rFonts w:eastAsia="Times New Roman" w:cs="Times New Roman"/>
                <w:sz w:val="18"/>
                <w:szCs w:val="18"/>
                <w:lang w:val="sr-Cyrl-RS" w:eastAsia="en-GB"/>
              </w:rPr>
              <w:t>2,3</w:t>
            </w:r>
          </w:p>
        </w:tc>
      </w:tr>
      <w:tr w:rsidR="0071281F" w:rsidRPr="00076D43" w14:paraId="073ECFDC" w14:textId="77777777" w:rsidTr="0071281F">
        <w:trPr>
          <w:trHeight w:val="284"/>
          <w:jc w:val="center"/>
        </w:trPr>
        <w:tc>
          <w:tcPr>
            <w:tcW w:w="3686" w:type="dxa"/>
            <w:tcBorders>
              <w:top w:val="nil"/>
              <w:left w:val="nil"/>
              <w:bottom w:val="nil"/>
              <w:right w:val="nil"/>
            </w:tcBorders>
            <w:shd w:val="clear" w:color="auto" w:fill="auto"/>
            <w:noWrap/>
            <w:vAlign w:val="center"/>
            <w:hideMark/>
          </w:tcPr>
          <w:p w14:paraId="30E5E9F2" w14:textId="77777777" w:rsidR="0071281F" w:rsidRPr="00076D43" w:rsidRDefault="0071281F" w:rsidP="00D2109C">
            <w:pPr>
              <w:spacing w:after="0"/>
              <w:rPr>
                <w:rFonts w:eastAsia="Times New Roman" w:cs="Times New Roman"/>
                <w:sz w:val="18"/>
                <w:szCs w:val="18"/>
                <w:lang w:val="sr-Cyrl-RS" w:eastAsia="en-GB"/>
              </w:rPr>
            </w:pPr>
            <w:r w:rsidRPr="00076D43">
              <w:rPr>
                <w:rFonts w:eastAsia="Times New Roman" w:cs="Times New Roman"/>
                <w:sz w:val="18"/>
                <w:szCs w:val="18"/>
                <w:lang w:val="sr-Cyrl-RS" w:eastAsia="en-GB"/>
              </w:rPr>
              <w:t>Фискални резултат сектора државе, % БДП</w:t>
            </w:r>
          </w:p>
        </w:tc>
        <w:tc>
          <w:tcPr>
            <w:tcW w:w="850" w:type="dxa"/>
            <w:tcBorders>
              <w:top w:val="nil"/>
              <w:left w:val="nil"/>
              <w:bottom w:val="nil"/>
              <w:right w:val="nil"/>
            </w:tcBorders>
            <w:shd w:val="clear" w:color="auto" w:fill="auto"/>
            <w:noWrap/>
            <w:vAlign w:val="center"/>
          </w:tcPr>
          <w:p w14:paraId="7F4CB0FE" w14:textId="77777777" w:rsidR="0071281F" w:rsidRPr="00C86459" w:rsidRDefault="0071281F" w:rsidP="00D2109C">
            <w:pPr>
              <w:spacing w:after="0"/>
              <w:jc w:val="center"/>
              <w:rPr>
                <w:rFonts w:eastAsia="Times New Roman" w:cs="Times New Roman"/>
                <w:sz w:val="18"/>
                <w:szCs w:val="18"/>
                <w:lang w:val="sr-Cyrl-RS" w:eastAsia="en-GB"/>
              </w:rPr>
            </w:pPr>
            <w:r>
              <w:rPr>
                <w:rFonts w:eastAsia="Times New Roman" w:cs="Times New Roman"/>
                <w:sz w:val="18"/>
                <w:szCs w:val="18"/>
                <w:lang w:val="sr-Cyrl-RS" w:eastAsia="en-GB"/>
              </w:rPr>
              <w:t>-3,5</w:t>
            </w:r>
          </w:p>
        </w:tc>
        <w:tc>
          <w:tcPr>
            <w:tcW w:w="1134" w:type="dxa"/>
            <w:tcBorders>
              <w:top w:val="nil"/>
              <w:left w:val="nil"/>
              <w:bottom w:val="nil"/>
              <w:right w:val="nil"/>
            </w:tcBorders>
            <w:shd w:val="clear" w:color="auto" w:fill="auto"/>
            <w:noWrap/>
            <w:vAlign w:val="center"/>
          </w:tcPr>
          <w:p w14:paraId="3C2EF670" w14:textId="77777777" w:rsidR="0071281F" w:rsidRPr="00C86459" w:rsidRDefault="0071281F" w:rsidP="00D2109C">
            <w:pPr>
              <w:spacing w:after="0"/>
              <w:jc w:val="center"/>
              <w:rPr>
                <w:rFonts w:eastAsia="Times New Roman" w:cs="Times New Roman"/>
                <w:sz w:val="18"/>
                <w:szCs w:val="18"/>
                <w:lang w:val="sr-Cyrl-RS" w:eastAsia="en-GB"/>
              </w:rPr>
            </w:pPr>
            <w:r>
              <w:rPr>
                <w:rFonts w:eastAsia="Times New Roman" w:cs="Times New Roman"/>
                <w:sz w:val="18"/>
                <w:szCs w:val="18"/>
                <w:lang w:val="sr-Cyrl-RS" w:eastAsia="en-GB"/>
              </w:rPr>
              <w:t>-3,1</w:t>
            </w:r>
          </w:p>
        </w:tc>
        <w:tc>
          <w:tcPr>
            <w:tcW w:w="851" w:type="dxa"/>
            <w:tcBorders>
              <w:top w:val="nil"/>
              <w:left w:val="nil"/>
              <w:bottom w:val="nil"/>
            </w:tcBorders>
            <w:shd w:val="clear" w:color="auto" w:fill="auto"/>
            <w:noWrap/>
            <w:vAlign w:val="center"/>
          </w:tcPr>
          <w:p w14:paraId="70B0EB65" w14:textId="77777777" w:rsidR="0071281F" w:rsidRPr="00C86459" w:rsidRDefault="0071281F" w:rsidP="00D2109C">
            <w:pPr>
              <w:spacing w:after="0"/>
              <w:jc w:val="center"/>
              <w:rPr>
                <w:rFonts w:eastAsia="Times New Roman" w:cs="Times New Roman"/>
                <w:sz w:val="18"/>
                <w:szCs w:val="18"/>
                <w:lang w:val="sr-Cyrl-RS" w:eastAsia="en-GB"/>
              </w:rPr>
            </w:pPr>
            <w:r>
              <w:rPr>
                <w:rFonts w:eastAsia="Times New Roman" w:cs="Times New Roman"/>
                <w:sz w:val="18"/>
                <w:szCs w:val="18"/>
                <w:lang w:val="sr-Cyrl-RS" w:eastAsia="en-GB"/>
              </w:rPr>
              <w:t>-3,0</w:t>
            </w:r>
          </w:p>
        </w:tc>
        <w:tc>
          <w:tcPr>
            <w:tcW w:w="850" w:type="dxa"/>
            <w:tcBorders>
              <w:top w:val="nil"/>
              <w:left w:val="nil"/>
              <w:bottom w:val="nil"/>
              <w:right w:val="single" w:sz="8" w:space="0" w:color="auto"/>
            </w:tcBorders>
            <w:vAlign w:val="center"/>
          </w:tcPr>
          <w:p w14:paraId="4E43712F" w14:textId="77777777" w:rsidR="0071281F" w:rsidRPr="00C86459" w:rsidRDefault="0071281F" w:rsidP="00D2109C">
            <w:pPr>
              <w:spacing w:after="0"/>
              <w:jc w:val="center"/>
              <w:rPr>
                <w:rFonts w:eastAsia="Times New Roman" w:cs="Times New Roman"/>
                <w:sz w:val="18"/>
                <w:szCs w:val="18"/>
                <w:lang w:val="sr-Cyrl-RS" w:eastAsia="en-GB"/>
              </w:rPr>
            </w:pPr>
            <w:r>
              <w:rPr>
                <w:rFonts w:eastAsia="Times New Roman" w:cs="Times New Roman"/>
                <w:sz w:val="18"/>
                <w:szCs w:val="18"/>
                <w:lang w:val="sr-Cyrl-RS" w:eastAsia="en-GB"/>
              </w:rPr>
              <w:t>-2,9</w:t>
            </w:r>
          </w:p>
        </w:tc>
        <w:tc>
          <w:tcPr>
            <w:tcW w:w="1134" w:type="dxa"/>
            <w:tcBorders>
              <w:top w:val="nil"/>
              <w:left w:val="single" w:sz="8" w:space="0" w:color="auto"/>
              <w:bottom w:val="nil"/>
              <w:right w:val="nil"/>
            </w:tcBorders>
            <w:shd w:val="clear" w:color="auto" w:fill="auto"/>
            <w:noWrap/>
            <w:vAlign w:val="center"/>
          </w:tcPr>
          <w:p w14:paraId="0C59FCB5" w14:textId="77777777" w:rsidR="0071281F" w:rsidRPr="00C86459" w:rsidRDefault="0071281F" w:rsidP="00D2109C">
            <w:pPr>
              <w:spacing w:after="0"/>
              <w:jc w:val="center"/>
              <w:rPr>
                <w:rFonts w:eastAsia="Times New Roman" w:cs="Times New Roman"/>
                <w:sz w:val="18"/>
                <w:szCs w:val="18"/>
                <w:lang w:val="sr-Cyrl-RS" w:eastAsia="en-GB"/>
              </w:rPr>
            </w:pPr>
            <w:r>
              <w:rPr>
                <w:rFonts w:eastAsia="Times New Roman" w:cs="Times New Roman"/>
                <w:sz w:val="18"/>
                <w:szCs w:val="18"/>
                <w:lang w:val="sr-Cyrl-RS" w:eastAsia="en-GB"/>
              </w:rPr>
              <w:t>-3,0</w:t>
            </w:r>
          </w:p>
        </w:tc>
        <w:tc>
          <w:tcPr>
            <w:tcW w:w="851" w:type="dxa"/>
            <w:tcBorders>
              <w:top w:val="nil"/>
              <w:left w:val="nil"/>
              <w:bottom w:val="nil"/>
            </w:tcBorders>
            <w:shd w:val="clear" w:color="auto" w:fill="auto"/>
            <w:vAlign w:val="center"/>
          </w:tcPr>
          <w:p w14:paraId="73405D0E" w14:textId="77777777" w:rsidR="0071281F" w:rsidRPr="00C86459" w:rsidRDefault="0071281F" w:rsidP="00D2109C">
            <w:pPr>
              <w:spacing w:after="0"/>
              <w:jc w:val="center"/>
              <w:rPr>
                <w:rFonts w:eastAsia="Times New Roman" w:cs="Times New Roman"/>
                <w:sz w:val="18"/>
                <w:szCs w:val="18"/>
                <w:lang w:val="sr-Cyrl-RS" w:eastAsia="en-GB"/>
              </w:rPr>
            </w:pPr>
            <w:r>
              <w:rPr>
                <w:rFonts w:eastAsia="Times New Roman" w:cs="Times New Roman"/>
                <w:sz w:val="18"/>
                <w:szCs w:val="18"/>
                <w:lang w:val="sr-Cyrl-RS" w:eastAsia="en-GB"/>
              </w:rPr>
              <w:t>-2,9</w:t>
            </w:r>
          </w:p>
        </w:tc>
      </w:tr>
      <w:tr w:rsidR="0071281F" w:rsidRPr="00076D43" w14:paraId="0F0A5FA0" w14:textId="77777777" w:rsidTr="0071281F">
        <w:trPr>
          <w:trHeight w:val="284"/>
          <w:jc w:val="center"/>
        </w:trPr>
        <w:tc>
          <w:tcPr>
            <w:tcW w:w="3686" w:type="dxa"/>
            <w:tcBorders>
              <w:top w:val="nil"/>
              <w:left w:val="nil"/>
              <w:bottom w:val="nil"/>
              <w:right w:val="nil"/>
            </w:tcBorders>
            <w:shd w:val="clear" w:color="auto" w:fill="auto"/>
            <w:noWrap/>
            <w:vAlign w:val="center"/>
            <w:hideMark/>
          </w:tcPr>
          <w:p w14:paraId="0FB8E272" w14:textId="77777777" w:rsidR="0071281F" w:rsidRPr="00076D43" w:rsidRDefault="0071281F" w:rsidP="00D2109C">
            <w:pPr>
              <w:spacing w:after="0"/>
              <w:rPr>
                <w:rFonts w:eastAsia="Times New Roman" w:cs="Times New Roman"/>
                <w:sz w:val="18"/>
                <w:szCs w:val="18"/>
                <w:lang w:val="sr-Cyrl-RS" w:eastAsia="en-GB"/>
              </w:rPr>
            </w:pPr>
            <w:r w:rsidRPr="00076D43">
              <w:rPr>
                <w:rFonts w:eastAsia="Times New Roman" w:cs="Times New Roman"/>
                <w:sz w:val="18"/>
                <w:szCs w:val="18"/>
                <w:lang w:val="sr-Cyrl-RS" w:eastAsia="en-GB"/>
              </w:rPr>
              <w:t>Бруто дуг сектора државе, % БДП</w:t>
            </w:r>
          </w:p>
        </w:tc>
        <w:tc>
          <w:tcPr>
            <w:tcW w:w="850" w:type="dxa"/>
            <w:tcBorders>
              <w:top w:val="nil"/>
              <w:left w:val="nil"/>
              <w:bottom w:val="nil"/>
              <w:right w:val="nil"/>
            </w:tcBorders>
            <w:shd w:val="clear" w:color="auto" w:fill="auto"/>
            <w:noWrap/>
            <w:vAlign w:val="center"/>
          </w:tcPr>
          <w:p w14:paraId="42D3F9BE" w14:textId="77777777" w:rsidR="0071281F" w:rsidRPr="00C86459" w:rsidRDefault="0071281F" w:rsidP="00D2109C">
            <w:pPr>
              <w:spacing w:after="0"/>
              <w:jc w:val="center"/>
              <w:rPr>
                <w:rFonts w:eastAsia="Times New Roman" w:cs="Times New Roman"/>
                <w:sz w:val="18"/>
                <w:szCs w:val="18"/>
                <w:lang w:val="sr-Cyrl-RS" w:eastAsia="en-GB"/>
              </w:rPr>
            </w:pPr>
            <w:r>
              <w:rPr>
                <w:rFonts w:eastAsia="Times New Roman" w:cs="Times New Roman"/>
                <w:sz w:val="18"/>
                <w:szCs w:val="18"/>
                <w:lang w:val="sr-Cyrl-RS" w:eastAsia="en-GB"/>
              </w:rPr>
              <w:t>82,1</w:t>
            </w:r>
          </w:p>
        </w:tc>
        <w:tc>
          <w:tcPr>
            <w:tcW w:w="1134" w:type="dxa"/>
            <w:tcBorders>
              <w:top w:val="nil"/>
              <w:left w:val="nil"/>
              <w:bottom w:val="nil"/>
              <w:right w:val="nil"/>
            </w:tcBorders>
            <w:shd w:val="clear" w:color="auto" w:fill="auto"/>
            <w:noWrap/>
            <w:vAlign w:val="center"/>
          </w:tcPr>
          <w:p w14:paraId="5920CF0E" w14:textId="77777777" w:rsidR="0071281F" w:rsidRPr="00C86459" w:rsidRDefault="0071281F" w:rsidP="00D2109C">
            <w:pPr>
              <w:spacing w:after="0"/>
              <w:jc w:val="center"/>
              <w:rPr>
                <w:rFonts w:eastAsia="Times New Roman" w:cs="Times New Roman"/>
                <w:sz w:val="18"/>
                <w:szCs w:val="18"/>
                <w:lang w:val="sr-Cyrl-RS" w:eastAsia="en-GB"/>
              </w:rPr>
            </w:pPr>
            <w:r>
              <w:rPr>
                <w:rFonts w:eastAsia="Times New Roman" w:cs="Times New Roman"/>
                <w:sz w:val="18"/>
                <w:szCs w:val="18"/>
                <w:lang w:val="sr-Cyrl-RS" w:eastAsia="en-GB"/>
              </w:rPr>
              <w:t>82,4</w:t>
            </w:r>
          </w:p>
        </w:tc>
        <w:tc>
          <w:tcPr>
            <w:tcW w:w="851" w:type="dxa"/>
            <w:tcBorders>
              <w:top w:val="nil"/>
              <w:left w:val="nil"/>
              <w:bottom w:val="nil"/>
            </w:tcBorders>
            <w:shd w:val="clear" w:color="auto" w:fill="auto"/>
            <w:noWrap/>
            <w:vAlign w:val="center"/>
          </w:tcPr>
          <w:p w14:paraId="5AB42E8A" w14:textId="77777777" w:rsidR="0071281F" w:rsidRPr="00C86459" w:rsidRDefault="0071281F" w:rsidP="00D2109C">
            <w:pPr>
              <w:spacing w:after="0"/>
              <w:jc w:val="center"/>
              <w:rPr>
                <w:rFonts w:eastAsia="Times New Roman" w:cs="Times New Roman"/>
                <w:sz w:val="18"/>
                <w:szCs w:val="18"/>
                <w:lang w:val="sr-Cyrl-RS" w:eastAsia="en-GB"/>
              </w:rPr>
            </w:pPr>
            <w:r>
              <w:rPr>
                <w:rFonts w:eastAsia="Times New Roman" w:cs="Times New Roman"/>
                <w:sz w:val="18"/>
                <w:szCs w:val="18"/>
                <w:lang w:val="sr-Cyrl-RS" w:eastAsia="en-GB"/>
              </w:rPr>
              <w:t>83,0</w:t>
            </w:r>
          </w:p>
        </w:tc>
        <w:tc>
          <w:tcPr>
            <w:tcW w:w="850" w:type="dxa"/>
            <w:tcBorders>
              <w:top w:val="nil"/>
              <w:left w:val="nil"/>
              <w:bottom w:val="nil"/>
              <w:right w:val="single" w:sz="8" w:space="0" w:color="auto"/>
            </w:tcBorders>
            <w:vAlign w:val="center"/>
          </w:tcPr>
          <w:p w14:paraId="4D6A57E6" w14:textId="77777777" w:rsidR="0071281F" w:rsidRPr="00C86459" w:rsidRDefault="0071281F" w:rsidP="00D2109C">
            <w:pPr>
              <w:spacing w:after="0"/>
              <w:jc w:val="center"/>
              <w:rPr>
                <w:rFonts w:eastAsia="Times New Roman" w:cs="Times New Roman"/>
                <w:sz w:val="18"/>
                <w:szCs w:val="18"/>
                <w:lang w:val="sr-Cyrl-RS" w:eastAsia="en-GB"/>
              </w:rPr>
            </w:pPr>
            <w:r>
              <w:rPr>
                <w:rFonts w:eastAsia="Times New Roman" w:cs="Times New Roman"/>
                <w:sz w:val="18"/>
                <w:szCs w:val="18"/>
                <w:lang w:val="sr-Cyrl-RS" w:eastAsia="en-GB"/>
              </w:rPr>
              <w:t>83,4</w:t>
            </w:r>
          </w:p>
        </w:tc>
        <w:tc>
          <w:tcPr>
            <w:tcW w:w="1134" w:type="dxa"/>
            <w:tcBorders>
              <w:top w:val="nil"/>
              <w:left w:val="single" w:sz="8" w:space="0" w:color="auto"/>
              <w:bottom w:val="nil"/>
              <w:right w:val="nil"/>
            </w:tcBorders>
            <w:shd w:val="clear" w:color="auto" w:fill="auto"/>
            <w:noWrap/>
            <w:vAlign w:val="center"/>
          </w:tcPr>
          <w:p w14:paraId="03BADE63" w14:textId="77777777" w:rsidR="0071281F" w:rsidRPr="00C86459" w:rsidRDefault="0071281F" w:rsidP="00D2109C">
            <w:pPr>
              <w:spacing w:after="0"/>
              <w:jc w:val="center"/>
              <w:rPr>
                <w:rFonts w:eastAsia="Times New Roman" w:cs="Times New Roman"/>
                <w:sz w:val="18"/>
                <w:szCs w:val="18"/>
                <w:lang w:val="sr-Cyrl-RS" w:eastAsia="en-GB"/>
              </w:rPr>
            </w:pPr>
            <w:r>
              <w:rPr>
                <w:rFonts w:eastAsia="Times New Roman" w:cs="Times New Roman"/>
                <w:sz w:val="18"/>
                <w:szCs w:val="18"/>
                <w:lang w:val="sr-Cyrl-RS" w:eastAsia="en-GB"/>
              </w:rPr>
              <w:t>82,9</w:t>
            </w:r>
          </w:p>
        </w:tc>
        <w:tc>
          <w:tcPr>
            <w:tcW w:w="851" w:type="dxa"/>
            <w:tcBorders>
              <w:top w:val="nil"/>
              <w:left w:val="nil"/>
              <w:bottom w:val="nil"/>
            </w:tcBorders>
            <w:shd w:val="clear" w:color="auto" w:fill="auto"/>
            <w:vAlign w:val="center"/>
          </w:tcPr>
          <w:p w14:paraId="32F2288C" w14:textId="77777777" w:rsidR="0071281F" w:rsidRPr="00C86459" w:rsidRDefault="0071281F" w:rsidP="00D2109C">
            <w:pPr>
              <w:spacing w:after="0"/>
              <w:jc w:val="center"/>
              <w:rPr>
                <w:rFonts w:eastAsia="Times New Roman" w:cs="Times New Roman"/>
                <w:sz w:val="18"/>
                <w:szCs w:val="18"/>
                <w:lang w:val="sr-Cyrl-RS" w:eastAsia="en-GB"/>
              </w:rPr>
            </w:pPr>
            <w:r>
              <w:rPr>
                <w:rFonts w:eastAsia="Times New Roman" w:cs="Times New Roman"/>
                <w:sz w:val="18"/>
                <w:szCs w:val="18"/>
                <w:lang w:val="sr-Cyrl-RS" w:eastAsia="en-GB"/>
              </w:rPr>
              <w:t>83,4</w:t>
            </w:r>
          </w:p>
        </w:tc>
      </w:tr>
      <w:tr w:rsidR="0071281F" w:rsidRPr="00076D43" w14:paraId="3F281B1D" w14:textId="77777777" w:rsidTr="0071281F">
        <w:trPr>
          <w:trHeight w:val="284"/>
          <w:jc w:val="center"/>
        </w:trPr>
        <w:tc>
          <w:tcPr>
            <w:tcW w:w="3686" w:type="dxa"/>
            <w:tcBorders>
              <w:top w:val="nil"/>
              <w:left w:val="nil"/>
              <w:bottom w:val="single" w:sz="8" w:space="0" w:color="002060"/>
              <w:right w:val="nil"/>
            </w:tcBorders>
            <w:shd w:val="clear" w:color="auto" w:fill="auto"/>
            <w:noWrap/>
            <w:vAlign w:val="center"/>
            <w:hideMark/>
          </w:tcPr>
          <w:p w14:paraId="1C032BA8" w14:textId="77777777" w:rsidR="0071281F" w:rsidRPr="00076D43" w:rsidRDefault="0071281F" w:rsidP="00D2109C">
            <w:pPr>
              <w:spacing w:after="0"/>
              <w:rPr>
                <w:rFonts w:eastAsia="Times New Roman" w:cs="Times New Roman"/>
                <w:sz w:val="18"/>
                <w:szCs w:val="18"/>
                <w:lang w:val="sr-Cyrl-RS" w:eastAsia="en-GB"/>
              </w:rPr>
            </w:pPr>
            <w:r w:rsidRPr="00076D43">
              <w:rPr>
                <w:rFonts w:eastAsia="Times New Roman" w:cs="Times New Roman"/>
                <w:sz w:val="18"/>
                <w:szCs w:val="18"/>
                <w:lang w:val="sr-Cyrl-RS" w:eastAsia="en-GB"/>
              </w:rPr>
              <w:t>Салдо текућег рачуна, % БДП</w:t>
            </w:r>
          </w:p>
        </w:tc>
        <w:tc>
          <w:tcPr>
            <w:tcW w:w="850" w:type="dxa"/>
            <w:tcBorders>
              <w:top w:val="nil"/>
              <w:left w:val="nil"/>
              <w:bottom w:val="single" w:sz="8" w:space="0" w:color="002060"/>
              <w:right w:val="nil"/>
            </w:tcBorders>
            <w:shd w:val="clear" w:color="auto" w:fill="auto"/>
            <w:noWrap/>
            <w:vAlign w:val="center"/>
          </w:tcPr>
          <w:p w14:paraId="40AE9E27" w14:textId="77777777" w:rsidR="0071281F" w:rsidRPr="00076D43" w:rsidRDefault="0071281F" w:rsidP="00D2109C">
            <w:pPr>
              <w:spacing w:after="0"/>
              <w:jc w:val="center"/>
              <w:rPr>
                <w:rFonts w:eastAsia="Times New Roman" w:cs="Times New Roman"/>
                <w:sz w:val="18"/>
                <w:szCs w:val="18"/>
                <w:lang w:val="sr-Latn-RS" w:eastAsia="en-GB"/>
              </w:rPr>
            </w:pPr>
            <w:r>
              <w:rPr>
                <w:rFonts w:eastAsia="Times New Roman" w:cs="Times New Roman"/>
                <w:sz w:val="18"/>
                <w:szCs w:val="18"/>
                <w:lang w:val="sr-Cyrl-RS" w:eastAsia="en-GB"/>
              </w:rPr>
              <w:t>2,6</w:t>
            </w:r>
          </w:p>
        </w:tc>
        <w:tc>
          <w:tcPr>
            <w:tcW w:w="1134" w:type="dxa"/>
            <w:tcBorders>
              <w:top w:val="nil"/>
              <w:left w:val="nil"/>
              <w:bottom w:val="single" w:sz="8" w:space="0" w:color="002060"/>
              <w:right w:val="nil"/>
            </w:tcBorders>
            <w:shd w:val="clear" w:color="auto" w:fill="auto"/>
            <w:noWrap/>
            <w:vAlign w:val="center"/>
          </w:tcPr>
          <w:p w14:paraId="05F61B02" w14:textId="77777777" w:rsidR="0071281F" w:rsidRPr="00076D43" w:rsidRDefault="0071281F" w:rsidP="00D2109C">
            <w:pPr>
              <w:spacing w:after="0"/>
              <w:jc w:val="center"/>
              <w:rPr>
                <w:rFonts w:eastAsia="Times New Roman" w:cs="Times New Roman"/>
                <w:sz w:val="18"/>
                <w:szCs w:val="18"/>
                <w:lang w:val="sr-Latn-RS" w:eastAsia="en-GB"/>
              </w:rPr>
            </w:pPr>
            <w:r>
              <w:rPr>
                <w:rFonts w:eastAsia="Times New Roman" w:cs="Times New Roman"/>
                <w:sz w:val="18"/>
                <w:szCs w:val="18"/>
                <w:lang w:val="sr-Cyrl-RS" w:eastAsia="en-GB"/>
              </w:rPr>
              <w:t>3,6</w:t>
            </w:r>
          </w:p>
        </w:tc>
        <w:tc>
          <w:tcPr>
            <w:tcW w:w="851" w:type="dxa"/>
            <w:tcBorders>
              <w:top w:val="nil"/>
              <w:left w:val="nil"/>
              <w:bottom w:val="single" w:sz="8" w:space="0" w:color="002060"/>
            </w:tcBorders>
            <w:shd w:val="clear" w:color="auto" w:fill="auto"/>
            <w:noWrap/>
            <w:vAlign w:val="center"/>
          </w:tcPr>
          <w:p w14:paraId="4D76D13A" w14:textId="77777777" w:rsidR="0071281F" w:rsidRPr="00076D43" w:rsidRDefault="0071281F" w:rsidP="00D2109C">
            <w:pPr>
              <w:spacing w:after="0"/>
              <w:jc w:val="center"/>
              <w:rPr>
                <w:rFonts w:eastAsia="Times New Roman" w:cs="Times New Roman"/>
                <w:sz w:val="18"/>
                <w:szCs w:val="18"/>
                <w:lang w:val="sr-Latn-RS" w:eastAsia="en-GB"/>
              </w:rPr>
            </w:pPr>
            <w:r>
              <w:rPr>
                <w:rFonts w:eastAsia="Times New Roman" w:cs="Times New Roman"/>
                <w:sz w:val="18"/>
                <w:szCs w:val="18"/>
                <w:lang w:val="sr-Cyrl-RS" w:eastAsia="en-GB"/>
              </w:rPr>
              <w:t>3,4</w:t>
            </w:r>
          </w:p>
        </w:tc>
        <w:tc>
          <w:tcPr>
            <w:tcW w:w="850" w:type="dxa"/>
            <w:tcBorders>
              <w:top w:val="nil"/>
              <w:left w:val="nil"/>
              <w:bottom w:val="single" w:sz="8" w:space="0" w:color="auto"/>
              <w:right w:val="single" w:sz="8" w:space="0" w:color="auto"/>
            </w:tcBorders>
            <w:vAlign w:val="center"/>
          </w:tcPr>
          <w:p w14:paraId="62456C12" w14:textId="77777777" w:rsidR="0071281F" w:rsidRPr="00076D43" w:rsidRDefault="0071281F" w:rsidP="00D2109C">
            <w:pPr>
              <w:spacing w:after="0"/>
              <w:jc w:val="center"/>
              <w:rPr>
                <w:rFonts w:eastAsia="Times New Roman" w:cs="Times New Roman"/>
                <w:sz w:val="18"/>
                <w:szCs w:val="18"/>
                <w:lang w:val="sr-Latn-RS" w:eastAsia="en-GB"/>
              </w:rPr>
            </w:pPr>
            <w:r>
              <w:rPr>
                <w:rFonts w:eastAsia="Times New Roman" w:cs="Times New Roman"/>
                <w:sz w:val="18"/>
                <w:szCs w:val="18"/>
                <w:lang w:val="sr-Cyrl-RS" w:eastAsia="en-GB"/>
              </w:rPr>
              <w:t>3,3</w:t>
            </w:r>
          </w:p>
        </w:tc>
        <w:tc>
          <w:tcPr>
            <w:tcW w:w="1134" w:type="dxa"/>
            <w:tcBorders>
              <w:top w:val="nil"/>
              <w:left w:val="single" w:sz="8" w:space="0" w:color="auto"/>
              <w:bottom w:val="single" w:sz="8" w:space="0" w:color="auto"/>
              <w:right w:val="nil"/>
            </w:tcBorders>
            <w:shd w:val="clear" w:color="auto" w:fill="auto"/>
            <w:noWrap/>
            <w:vAlign w:val="center"/>
          </w:tcPr>
          <w:p w14:paraId="1C4FCBC1" w14:textId="77777777" w:rsidR="0071281F" w:rsidRPr="00076D43" w:rsidRDefault="0071281F" w:rsidP="00D2109C">
            <w:pPr>
              <w:spacing w:after="0"/>
              <w:jc w:val="center"/>
              <w:rPr>
                <w:rFonts w:eastAsia="Times New Roman" w:cs="Times New Roman"/>
                <w:sz w:val="18"/>
                <w:szCs w:val="18"/>
                <w:lang w:val="sr-Latn-RS" w:eastAsia="en-GB"/>
              </w:rPr>
            </w:pPr>
            <w:r>
              <w:rPr>
                <w:rFonts w:eastAsia="Times New Roman" w:cs="Times New Roman"/>
                <w:sz w:val="18"/>
                <w:szCs w:val="18"/>
                <w:lang w:val="sr-Cyrl-RS" w:eastAsia="en-GB"/>
              </w:rPr>
              <w:t>3,1</w:t>
            </w:r>
          </w:p>
        </w:tc>
        <w:tc>
          <w:tcPr>
            <w:tcW w:w="851" w:type="dxa"/>
            <w:tcBorders>
              <w:top w:val="nil"/>
              <w:left w:val="nil"/>
              <w:bottom w:val="single" w:sz="8" w:space="0" w:color="auto"/>
            </w:tcBorders>
            <w:shd w:val="clear" w:color="auto" w:fill="auto"/>
            <w:vAlign w:val="center"/>
          </w:tcPr>
          <w:p w14:paraId="3C485D17" w14:textId="77777777" w:rsidR="0071281F" w:rsidRPr="00076D43" w:rsidRDefault="0071281F" w:rsidP="00D2109C">
            <w:pPr>
              <w:spacing w:after="0"/>
              <w:jc w:val="center"/>
              <w:rPr>
                <w:rFonts w:eastAsia="Times New Roman" w:cs="Times New Roman"/>
                <w:sz w:val="18"/>
                <w:szCs w:val="18"/>
                <w:lang w:val="sr-Latn-RS" w:eastAsia="en-GB"/>
              </w:rPr>
            </w:pPr>
            <w:r>
              <w:rPr>
                <w:rFonts w:eastAsia="Times New Roman" w:cs="Times New Roman"/>
                <w:sz w:val="18"/>
                <w:szCs w:val="18"/>
                <w:lang w:val="sr-Cyrl-RS" w:eastAsia="en-GB"/>
              </w:rPr>
              <w:t>3,1</w:t>
            </w:r>
          </w:p>
        </w:tc>
      </w:tr>
    </w:tbl>
    <w:p w14:paraId="38CE40E1" w14:textId="0E2DB1D2" w:rsidR="007D5C1A" w:rsidRPr="00AD5E21" w:rsidRDefault="007D5C1A" w:rsidP="007D5C1A">
      <w:pPr>
        <w:spacing w:before="40" w:after="0"/>
        <w:rPr>
          <w:rFonts w:eastAsiaTheme="minorEastAsia" w:cs="Times New Roman"/>
          <w:sz w:val="16"/>
          <w:szCs w:val="16"/>
          <w:lang w:val="sr-Cyrl-RS" w:eastAsia="ja-JP"/>
        </w:rPr>
      </w:pPr>
      <w:r w:rsidRPr="00AD5E21">
        <w:rPr>
          <w:rFonts w:eastAsiaTheme="minorEastAsia" w:cs="Times New Roman"/>
          <w:sz w:val="16"/>
          <w:szCs w:val="16"/>
          <w:lang w:val="sr-Cyrl-RS" w:eastAsia="ja-JP"/>
        </w:rPr>
        <w:t xml:space="preserve">Извор: ЕК, </w:t>
      </w:r>
      <w:r w:rsidR="00AD5E21" w:rsidRPr="00AD5E21">
        <w:rPr>
          <w:rFonts w:eastAsiaTheme="minorEastAsia" w:cs="Times New Roman"/>
          <w:sz w:val="16"/>
          <w:szCs w:val="16"/>
          <w:lang w:val="sr-Cyrl-RS" w:eastAsia="ja-JP"/>
        </w:rPr>
        <w:t>Јесење пројекције, новембар 2024</w:t>
      </w:r>
      <w:r w:rsidRPr="00AD5E21">
        <w:rPr>
          <w:rFonts w:eastAsiaTheme="minorEastAsia" w:cs="Times New Roman"/>
          <w:sz w:val="16"/>
          <w:szCs w:val="16"/>
          <w:lang w:val="sr-Cyrl-RS" w:eastAsia="ja-JP"/>
        </w:rPr>
        <w:t>. године.</w:t>
      </w:r>
    </w:p>
    <w:p w14:paraId="1BCEDD29" w14:textId="77777777" w:rsidR="007D5C1A" w:rsidRPr="000F7989" w:rsidRDefault="007D5C1A" w:rsidP="00766476">
      <w:pPr>
        <w:spacing w:after="0"/>
        <w:ind w:firstLine="720"/>
        <w:rPr>
          <w:rFonts w:eastAsia="MS PGothic" w:cs="Times New Roman"/>
          <w:bCs/>
          <w:iCs/>
          <w:szCs w:val="24"/>
          <w:highlight w:val="lightGray"/>
          <w:lang w:val="sr-Cyrl-RS" w:eastAsia="ja-JP"/>
        </w:rPr>
      </w:pPr>
    </w:p>
    <w:p w14:paraId="3F4B011D" w14:textId="33F734F7" w:rsidR="0073236A" w:rsidRDefault="0073236A" w:rsidP="008B5BFB">
      <w:pPr>
        <w:rPr>
          <w:rFonts w:eastAsiaTheme="minorEastAsia" w:cs="Times New Roman"/>
          <w:bCs/>
          <w:szCs w:val="24"/>
          <w:lang w:val="sr-Cyrl-RS" w:eastAsia="ja-JP"/>
        </w:rPr>
      </w:pPr>
      <w:bookmarkStart w:id="2" w:name="_Toc373932747"/>
      <w:bookmarkStart w:id="3" w:name="_Toc444605529"/>
      <w:r w:rsidRPr="0073236A">
        <w:rPr>
          <w:rFonts w:eastAsiaTheme="minorEastAsia" w:cs="Times New Roman"/>
          <w:bCs/>
          <w:szCs w:val="24"/>
          <w:lang w:val="sr-Cyrl-RS" w:eastAsia="ja-JP"/>
        </w:rPr>
        <w:t>Процењује се да ће тржиште рада</w:t>
      </w:r>
      <w:r>
        <w:rPr>
          <w:rFonts w:eastAsiaTheme="minorEastAsia" w:cs="Times New Roman"/>
          <w:bCs/>
          <w:szCs w:val="24"/>
          <w:lang w:val="sr-Cyrl-RS" w:eastAsia="ja-JP"/>
        </w:rPr>
        <w:t xml:space="preserve"> земаља ЕУ</w:t>
      </w:r>
      <w:r w:rsidRPr="0073236A">
        <w:rPr>
          <w:rFonts w:eastAsiaTheme="minorEastAsia" w:cs="Times New Roman"/>
          <w:bCs/>
          <w:szCs w:val="24"/>
          <w:lang w:val="sr-Cyrl-RS" w:eastAsia="ja-JP"/>
        </w:rPr>
        <w:t xml:space="preserve"> остати отпорно и снажно, иако ће раст запослености</w:t>
      </w:r>
      <w:r>
        <w:rPr>
          <w:rFonts w:eastAsiaTheme="minorEastAsia" w:cs="Times New Roman"/>
          <w:bCs/>
          <w:szCs w:val="24"/>
          <w:lang w:val="sr-Cyrl-RS" w:eastAsia="ja-JP"/>
        </w:rPr>
        <w:t xml:space="preserve"> и плата</w:t>
      </w:r>
      <w:r w:rsidRPr="0073236A">
        <w:rPr>
          <w:rFonts w:eastAsiaTheme="minorEastAsia" w:cs="Times New Roman"/>
          <w:bCs/>
          <w:szCs w:val="24"/>
          <w:lang w:val="sr-Cyrl-RS" w:eastAsia="ja-JP"/>
        </w:rPr>
        <w:t xml:space="preserve"> успорити у поређењу са претходним годинама. </w:t>
      </w:r>
      <w:r w:rsidRPr="00BB7B9B">
        <w:rPr>
          <w:rFonts w:eastAsiaTheme="minorEastAsia" w:cs="Times New Roman"/>
          <w:bCs/>
          <w:szCs w:val="24"/>
          <w:lang w:val="sr-Cyrl-RS" w:eastAsia="ja-JP"/>
        </w:rPr>
        <w:t>У 2024. години, п</w:t>
      </w:r>
      <w:r w:rsidRPr="00BB7B9B">
        <w:rPr>
          <w:lang w:val="sr-Cyrl-RS"/>
        </w:rPr>
        <w:t xml:space="preserve">редвиђа се раст </w:t>
      </w:r>
      <w:r>
        <w:rPr>
          <w:lang w:val="sr-Cyrl-RS"/>
        </w:rPr>
        <w:t>запослености од 0,8%</w:t>
      </w:r>
      <w:r w:rsidRPr="007F48A2">
        <w:rPr>
          <w:lang w:val="sr-Cyrl-RS"/>
        </w:rPr>
        <w:t xml:space="preserve">, </w:t>
      </w:r>
      <w:r>
        <w:rPr>
          <w:lang w:val="sr-Cyrl-RS"/>
        </w:rPr>
        <w:t>а потом успоравање на 0,6% и 0,5% у 2025. и 2026. години, респективно.</w:t>
      </w:r>
      <w:r w:rsidRPr="007F48A2">
        <w:rPr>
          <w:rFonts w:eastAsiaTheme="minorEastAsia" w:cs="Times New Roman"/>
          <w:bCs/>
          <w:szCs w:val="24"/>
          <w:lang w:val="sr-Cyrl-RS" w:eastAsia="ja-JP"/>
        </w:rPr>
        <w:t xml:space="preserve"> </w:t>
      </w:r>
      <w:r w:rsidRPr="0073236A">
        <w:rPr>
          <w:rFonts w:eastAsiaTheme="minorEastAsia" w:cs="Times New Roman"/>
          <w:bCs/>
          <w:szCs w:val="24"/>
          <w:lang w:val="sr-Cyrl-RS" w:eastAsia="ja-JP"/>
        </w:rPr>
        <w:t xml:space="preserve">Раст номиналних плата ће </w:t>
      </w:r>
      <w:r w:rsidR="00325EAB">
        <w:rPr>
          <w:rFonts w:eastAsiaTheme="minorEastAsia" w:cs="Times New Roman"/>
          <w:bCs/>
          <w:szCs w:val="24"/>
          <w:lang w:val="sr-Cyrl-RS" w:eastAsia="ja-JP"/>
        </w:rPr>
        <w:t xml:space="preserve">такође </w:t>
      </w:r>
      <w:r w:rsidRPr="0073236A">
        <w:rPr>
          <w:rFonts w:eastAsiaTheme="minorEastAsia" w:cs="Times New Roman"/>
          <w:bCs/>
          <w:szCs w:val="24"/>
          <w:lang w:val="sr-Cyrl-RS" w:eastAsia="ja-JP"/>
        </w:rPr>
        <w:t xml:space="preserve">постепено успоравати, али ће и даље бити висок, због чега ће реалне зараде </w:t>
      </w:r>
      <w:r>
        <w:rPr>
          <w:rFonts w:eastAsiaTheme="minorEastAsia" w:cs="Times New Roman"/>
          <w:bCs/>
          <w:szCs w:val="24"/>
          <w:lang w:val="sr-Cyrl-RS" w:eastAsia="ja-JP"/>
        </w:rPr>
        <w:t xml:space="preserve">постепено </w:t>
      </w:r>
      <w:r w:rsidRPr="0073236A">
        <w:rPr>
          <w:rFonts w:eastAsiaTheme="minorEastAsia" w:cs="Times New Roman"/>
          <w:bCs/>
          <w:szCs w:val="24"/>
          <w:lang w:val="sr-Cyrl-RS" w:eastAsia="ja-JP"/>
        </w:rPr>
        <w:t>досегнути нивое који су били уобичајени пре снажног повећања инфлације. Очекује се да ће раст продуктивности рада ојачати током хоризонта пројекције, али ће ниво продуктивности и даље остати испод дугорочног линеарног тренда.</w:t>
      </w:r>
    </w:p>
    <w:p w14:paraId="196A0923" w14:textId="45904DE1" w:rsidR="00CD6D3A" w:rsidRDefault="00EB4239" w:rsidP="008B5BFB">
      <w:pPr>
        <w:rPr>
          <w:rStyle w:val="rynqvb"/>
          <w:lang w:val="sr-Cyrl-RS"/>
        </w:rPr>
      </w:pPr>
      <w:r w:rsidRPr="009F4405">
        <w:rPr>
          <w:rStyle w:val="rynqvb"/>
          <w:lang w:val="sr-Cyrl-RS"/>
        </w:rPr>
        <w:t xml:space="preserve">Према јесењим пројекцијама ЕК, очекује се наставак опадајућег тренда инфлације у пројекцијском периоду. </w:t>
      </w:r>
      <w:r w:rsidR="002927F6" w:rsidRPr="009F4405">
        <w:rPr>
          <w:rStyle w:val="rynqvb"/>
          <w:lang w:val="sr-Cyrl-RS"/>
        </w:rPr>
        <w:t xml:space="preserve">Предвиђа се да ће инфлација у ЕУ </w:t>
      </w:r>
      <w:r w:rsidR="002927F6">
        <w:rPr>
          <w:rStyle w:val="rynqvb"/>
          <w:lang w:val="sr-Cyrl-RS"/>
        </w:rPr>
        <w:t>успорити</w:t>
      </w:r>
      <w:r w:rsidR="002927F6" w:rsidRPr="009F4405">
        <w:rPr>
          <w:rStyle w:val="rynqvb"/>
          <w:lang w:val="sr-Cyrl-RS"/>
        </w:rPr>
        <w:t xml:space="preserve"> са 6,4% у 2023. години на 2,6% у 2024. и 2,4% у 2025. години, док ће </w:t>
      </w:r>
      <w:r w:rsidR="002927F6">
        <w:rPr>
          <w:rStyle w:val="rynqvb"/>
          <w:lang w:val="sr-Cyrl-RS"/>
        </w:rPr>
        <w:t xml:space="preserve">се </w:t>
      </w:r>
      <w:r w:rsidR="002927F6" w:rsidRPr="009F4405">
        <w:rPr>
          <w:rStyle w:val="rynqvb"/>
          <w:lang w:val="sr-Cyrl-RS"/>
        </w:rPr>
        <w:t>у</w:t>
      </w:r>
      <w:r w:rsidR="002927F6">
        <w:rPr>
          <w:rStyle w:val="rynqvb"/>
          <w:lang w:val="sr-Cyrl-RS"/>
        </w:rPr>
        <w:t xml:space="preserve"> 2026. години стопа инфлација изједначити са дугорочним циљем од 2,0%. </w:t>
      </w:r>
      <w:r w:rsidR="00CD6D3A" w:rsidRPr="00CD6D3A">
        <w:rPr>
          <w:rStyle w:val="rynqvb"/>
          <w:lang w:val="sr-Cyrl-RS"/>
        </w:rPr>
        <w:t>Главни фактори који доприносе успоравању инфлације обухватају</w:t>
      </w:r>
      <w:r w:rsidR="00CD6D3A">
        <w:rPr>
          <w:rStyle w:val="rynqvb"/>
          <w:lang w:val="sr-Cyrl-RS"/>
        </w:rPr>
        <w:t xml:space="preserve"> смањење цена енергената, </w:t>
      </w:r>
      <w:r w:rsidR="00CD6D3A" w:rsidRPr="00CD6D3A">
        <w:rPr>
          <w:rStyle w:val="rynqvb"/>
          <w:lang w:val="sr-Cyrl-RS"/>
        </w:rPr>
        <w:t>ефекте пооштрене монетарне</w:t>
      </w:r>
      <w:r w:rsidR="00CD6D3A">
        <w:rPr>
          <w:rStyle w:val="rynqvb"/>
          <w:lang w:val="sr-Cyrl-RS"/>
        </w:rPr>
        <w:t xml:space="preserve"> политике из претходног периода, као и постепено успоравање раста номиналних пла</w:t>
      </w:r>
      <w:r w:rsidR="00D07CDC">
        <w:rPr>
          <w:rStyle w:val="rynqvb"/>
          <w:lang w:val="sr-Cyrl-RS"/>
        </w:rPr>
        <w:t>та.</w:t>
      </w:r>
      <w:r w:rsidR="002927F6" w:rsidRPr="002927F6">
        <w:rPr>
          <w:rStyle w:val="rynqvb"/>
          <w:lang w:val="sr-Cyrl-RS"/>
        </w:rPr>
        <w:t xml:space="preserve"> Цене хране ће се стабилизовати око историјских просека од средине 2025</w:t>
      </w:r>
      <w:r w:rsidR="00D07CDC">
        <w:rPr>
          <w:rStyle w:val="rynqvb"/>
          <w:lang w:val="sr-Cyrl-RS"/>
        </w:rPr>
        <w:t>. године, док ће</w:t>
      </w:r>
      <w:r w:rsidR="002927F6">
        <w:rPr>
          <w:rStyle w:val="rynqvb"/>
          <w:lang w:val="sr-Cyrl-RS"/>
        </w:rPr>
        <w:t xml:space="preserve"> инфлаторни</w:t>
      </w:r>
      <w:r w:rsidR="002927F6" w:rsidRPr="002927F6">
        <w:rPr>
          <w:rStyle w:val="rynqvb"/>
          <w:lang w:val="sr-Cyrl-RS"/>
        </w:rPr>
        <w:t xml:space="preserve"> притисци у </w:t>
      </w:r>
      <w:r w:rsidR="00324F32" w:rsidRPr="002927F6">
        <w:rPr>
          <w:rStyle w:val="rynqvb"/>
          <w:lang w:val="sr-Cyrl-RS"/>
        </w:rPr>
        <w:t>услу</w:t>
      </w:r>
      <w:r w:rsidR="00324F32">
        <w:rPr>
          <w:rStyle w:val="rynqvb"/>
          <w:lang w:val="sr-Cyrl-RS"/>
        </w:rPr>
        <w:t>жном сектору</w:t>
      </w:r>
      <w:r w:rsidR="00324F32" w:rsidRPr="002927F6">
        <w:rPr>
          <w:rStyle w:val="rynqvb"/>
          <w:lang w:val="sr-Cyrl-RS"/>
        </w:rPr>
        <w:t xml:space="preserve"> </w:t>
      </w:r>
      <w:r w:rsidR="002927F6" w:rsidRPr="002927F6">
        <w:rPr>
          <w:rStyle w:val="rynqvb"/>
          <w:lang w:val="sr-Cyrl-RS"/>
        </w:rPr>
        <w:t xml:space="preserve">остати </w:t>
      </w:r>
      <w:r w:rsidR="002927F6">
        <w:rPr>
          <w:rStyle w:val="rynqvb"/>
          <w:lang w:val="sr-Cyrl-RS"/>
        </w:rPr>
        <w:t>високи</w:t>
      </w:r>
      <w:r w:rsidR="002927F6" w:rsidRPr="002927F6">
        <w:rPr>
          <w:rStyle w:val="rynqvb"/>
          <w:lang w:val="sr-Cyrl-RS"/>
        </w:rPr>
        <w:t xml:space="preserve"> до почетка 2025. године, а затим поче</w:t>
      </w:r>
      <w:r w:rsidR="002927F6">
        <w:rPr>
          <w:rStyle w:val="rynqvb"/>
          <w:lang w:val="sr-Cyrl-RS"/>
        </w:rPr>
        <w:t xml:space="preserve">ти </w:t>
      </w:r>
      <w:r w:rsidR="00D07CDC">
        <w:rPr>
          <w:rStyle w:val="rynqvb"/>
          <w:lang w:val="sr-Cyrl-RS"/>
        </w:rPr>
        <w:t xml:space="preserve">постепено </w:t>
      </w:r>
      <w:r w:rsidR="002927F6">
        <w:rPr>
          <w:rStyle w:val="rynqvb"/>
          <w:lang w:val="sr-Cyrl-RS"/>
        </w:rPr>
        <w:t xml:space="preserve">да се смањују услед успоравања раста плата, очекиваног пораста </w:t>
      </w:r>
      <w:r w:rsidR="002927F6" w:rsidRPr="002927F6">
        <w:rPr>
          <w:rStyle w:val="rynqvb"/>
          <w:lang w:val="sr-Cyrl-RS"/>
        </w:rPr>
        <w:t>продуктивност</w:t>
      </w:r>
      <w:r w:rsidR="002927F6">
        <w:rPr>
          <w:rStyle w:val="rynqvb"/>
          <w:lang w:val="sr-Cyrl-RS"/>
        </w:rPr>
        <w:t>и и базног ефекта</w:t>
      </w:r>
      <w:r w:rsidR="002927F6" w:rsidRPr="002927F6">
        <w:rPr>
          <w:rStyle w:val="rynqvb"/>
          <w:lang w:val="sr-Cyrl-RS"/>
        </w:rPr>
        <w:t>.</w:t>
      </w:r>
      <w:r w:rsidR="002927F6">
        <w:rPr>
          <w:rStyle w:val="rynqvb"/>
          <w:lang w:val="sr-Cyrl-RS"/>
        </w:rPr>
        <w:t xml:space="preserve"> </w:t>
      </w:r>
    </w:p>
    <w:p w14:paraId="65854F78" w14:textId="73FFD64E" w:rsidR="008B5BFB" w:rsidRPr="00CD6D3A" w:rsidRDefault="008B5BFB" w:rsidP="008B5BFB">
      <w:pPr>
        <w:rPr>
          <w:lang w:val="sr-Cyrl-RS"/>
        </w:rPr>
      </w:pPr>
      <w:r w:rsidRPr="00FF7626">
        <w:rPr>
          <w:rFonts w:eastAsiaTheme="minorEastAsia" w:cs="Times New Roman"/>
          <w:bCs/>
          <w:szCs w:val="24"/>
          <w:lang w:val="sr-Cyrl-RS" w:eastAsia="ja-JP"/>
        </w:rPr>
        <w:t>Након претходног заоштравања монетарне политике,</w:t>
      </w:r>
      <w:r w:rsidRPr="00FF7626">
        <w:rPr>
          <w:rFonts w:eastAsiaTheme="minorEastAsia" w:cs="Times New Roman"/>
          <w:bCs/>
          <w:szCs w:val="24"/>
          <w:lang w:val="sr-Latn-RS" w:eastAsia="ja-JP"/>
        </w:rPr>
        <w:t xml:space="preserve"> </w:t>
      </w:r>
      <w:r w:rsidRPr="00FF7626">
        <w:rPr>
          <w:rFonts w:eastAsiaTheme="minorEastAsia" w:cs="Times New Roman"/>
          <w:bCs/>
          <w:szCs w:val="24"/>
          <w:lang w:val="sr-Cyrl-RS" w:eastAsia="ja-JP"/>
        </w:rPr>
        <w:t>услови на финансијском тржишту постају све повољнији имајући у виду попуштање инфлације и даље слабљење инфлаторних притисака. Европска централна банка (у даљем тексту: ЕЦБ) је од почетка године у три наврата смањивала референтну каматну стопу, укупно за 110 б.п., достигавши тренутни ниво од 3,40% у октобру.</w:t>
      </w:r>
      <w:r w:rsidRPr="00FF7626">
        <w:t xml:space="preserve"> </w:t>
      </w:r>
      <w:r w:rsidRPr="00FF7626">
        <w:rPr>
          <w:rFonts w:eastAsiaTheme="minorEastAsia" w:cs="Times New Roman"/>
          <w:bCs/>
          <w:szCs w:val="24"/>
          <w:lang w:val="sr-Cyrl-RS" w:eastAsia="ja-JP"/>
        </w:rPr>
        <w:t xml:space="preserve">Смањење референтне каматне стопе ЕЦБ довело је и до смањења стопа код других централних банака ван еврозоне, што се прелива и на банкарске и тржишне каматне стопе и заузврат, подстиче потражњу за </w:t>
      </w:r>
      <w:r w:rsidRPr="00FF7626">
        <w:rPr>
          <w:rFonts w:eastAsiaTheme="minorEastAsia" w:cs="Times New Roman"/>
          <w:bCs/>
          <w:szCs w:val="24"/>
          <w:lang w:val="sr-Cyrl-RS" w:eastAsia="ja-JP"/>
        </w:rPr>
        <w:lastRenderedPageBreak/>
        <w:t xml:space="preserve">кредитима. ЕЦБ ће у наредном периоду наставити пажљиво да прати економска дешавања и у складу са тим доноси будуће одлуке о повећању рестриктивности монетарне политике, како би се инфлација благовремено </w:t>
      </w:r>
      <w:r w:rsidR="00F46218">
        <w:rPr>
          <w:rFonts w:eastAsiaTheme="minorEastAsia" w:cs="Times New Roman"/>
          <w:bCs/>
          <w:szCs w:val="24"/>
          <w:lang w:val="sr-Cyrl-RS" w:eastAsia="ja-JP"/>
        </w:rPr>
        <w:t>приближила</w:t>
      </w:r>
      <w:r w:rsidRPr="00FF7626">
        <w:rPr>
          <w:rFonts w:eastAsiaTheme="minorEastAsia" w:cs="Times New Roman"/>
          <w:bCs/>
          <w:szCs w:val="24"/>
          <w:lang w:val="sr-Cyrl-RS" w:eastAsia="ja-JP"/>
        </w:rPr>
        <w:t xml:space="preserve"> циљан</w:t>
      </w:r>
      <w:r w:rsidR="00F46218">
        <w:rPr>
          <w:rFonts w:eastAsiaTheme="minorEastAsia" w:cs="Times New Roman"/>
          <w:bCs/>
          <w:szCs w:val="24"/>
          <w:lang w:val="sr-Cyrl-RS" w:eastAsia="ja-JP"/>
        </w:rPr>
        <w:t>ом нивоу од</w:t>
      </w:r>
      <w:r w:rsidRPr="00FF7626">
        <w:rPr>
          <w:rFonts w:eastAsiaTheme="minorEastAsia" w:cs="Times New Roman"/>
          <w:bCs/>
          <w:szCs w:val="24"/>
          <w:lang w:val="sr-Cyrl-RS" w:eastAsia="ja-JP"/>
        </w:rPr>
        <w:t xml:space="preserve"> 2,0% у средњорочном периоду.</w:t>
      </w:r>
    </w:p>
    <w:p w14:paraId="2E8FA20D" w14:textId="5AC2745F" w:rsidR="00610A75" w:rsidRPr="000E5602" w:rsidRDefault="00333CD8" w:rsidP="008B5BFB">
      <w:pPr>
        <w:rPr>
          <w:rFonts w:eastAsiaTheme="minorEastAsia" w:cs="Times New Roman"/>
          <w:bCs/>
          <w:szCs w:val="24"/>
          <w:lang w:val="sr-Cyrl-RS" w:eastAsia="ja-JP"/>
        </w:rPr>
      </w:pPr>
      <w:r w:rsidRPr="00525F7A">
        <w:rPr>
          <w:rFonts w:eastAsiaTheme="minorEastAsia" w:cs="Times New Roman"/>
          <w:bCs/>
          <w:szCs w:val="24"/>
          <w:lang w:val="sr-Cyrl-RS" w:eastAsia="ja-JP"/>
        </w:rPr>
        <w:t xml:space="preserve">Очекује се </w:t>
      </w:r>
      <w:r w:rsidR="00324F32">
        <w:rPr>
          <w:rFonts w:eastAsiaTheme="minorEastAsia" w:cs="Times New Roman"/>
          <w:bCs/>
          <w:szCs w:val="24"/>
          <w:lang w:val="sr-Cyrl-RS" w:eastAsia="ja-JP"/>
        </w:rPr>
        <w:t>благо рестриктивнија фискална политика у наредном периоду.</w:t>
      </w:r>
      <w:r w:rsidRPr="00525F7A">
        <w:rPr>
          <w:rFonts w:eastAsiaTheme="minorEastAsia" w:cs="Times New Roman"/>
          <w:bCs/>
          <w:szCs w:val="24"/>
          <w:lang w:val="sr-Cyrl-RS" w:eastAsia="ja-JP"/>
        </w:rPr>
        <w:t xml:space="preserve"> </w:t>
      </w:r>
      <w:r w:rsidR="00324F32">
        <w:rPr>
          <w:rFonts w:eastAsiaTheme="minorEastAsia" w:cs="Times New Roman"/>
          <w:bCs/>
          <w:szCs w:val="24"/>
          <w:lang w:val="sr-Cyrl-RS" w:eastAsia="ja-JP"/>
        </w:rPr>
        <w:t>Ф</w:t>
      </w:r>
      <w:r w:rsidRPr="00525F7A">
        <w:rPr>
          <w:rFonts w:eastAsiaTheme="minorEastAsia" w:cs="Times New Roman"/>
          <w:bCs/>
          <w:szCs w:val="24"/>
          <w:lang w:val="sr-Cyrl-RS" w:eastAsia="ja-JP"/>
        </w:rPr>
        <w:t xml:space="preserve">искални дефицит ЕУ у 2024. години </w:t>
      </w:r>
      <w:r w:rsidR="00324F32">
        <w:rPr>
          <w:rFonts w:eastAsiaTheme="minorEastAsia" w:cs="Times New Roman"/>
          <w:bCs/>
          <w:szCs w:val="24"/>
          <w:lang w:val="sr-Cyrl-RS" w:eastAsia="ja-JP"/>
        </w:rPr>
        <w:t xml:space="preserve">ће бити </w:t>
      </w:r>
      <w:r w:rsidRPr="00525F7A">
        <w:rPr>
          <w:rFonts w:eastAsiaTheme="minorEastAsia" w:cs="Times New Roman"/>
          <w:bCs/>
          <w:szCs w:val="24"/>
          <w:lang w:val="sr-Cyrl-RS" w:eastAsia="ja-JP"/>
        </w:rPr>
        <w:t>за око 0,4 п.п.</w:t>
      </w:r>
      <w:r w:rsidR="00324F32">
        <w:rPr>
          <w:rFonts w:eastAsiaTheme="minorEastAsia" w:cs="Times New Roman"/>
          <w:bCs/>
          <w:szCs w:val="24"/>
          <w:lang w:val="sr-Cyrl-RS" w:eastAsia="ja-JP"/>
        </w:rPr>
        <w:t xml:space="preserve"> мањи од претходне процене</w:t>
      </w:r>
      <w:r w:rsidRPr="00525F7A">
        <w:rPr>
          <w:rFonts w:eastAsiaTheme="minorEastAsia" w:cs="Times New Roman"/>
          <w:bCs/>
          <w:szCs w:val="24"/>
          <w:lang w:val="sr-Cyrl-RS" w:eastAsia="ja-JP"/>
        </w:rPr>
        <w:t xml:space="preserve">, </w:t>
      </w:r>
      <w:r w:rsidR="00324F32">
        <w:rPr>
          <w:rFonts w:eastAsiaTheme="minorEastAsia" w:cs="Times New Roman"/>
          <w:bCs/>
          <w:szCs w:val="24"/>
          <w:lang w:val="sr-Cyrl-RS" w:eastAsia="ja-JP"/>
        </w:rPr>
        <w:t>и износити</w:t>
      </w:r>
      <w:r w:rsidR="00324F32" w:rsidRPr="00525F7A">
        <w:rPr>
          <w:rFonts w:eastAsiaTheme="minorEastAsia" w:cs="Times New Roman"/>
          <w:bCs/>
          <w:szCs w:val="24"/>
          <w:lang w:val="sr-Cyrl-RS" w:eastAsia="ja-JP"/>
        </w:rPr>
        <w:t xml:space="preserve"> </w:t>
      </w:r>
      <w:r w:rsidRPr="00525F7A">
        <w:rPr>
          <w:rFonts w:eastAsiaTheme="minorEastAsia" w:cs="Times New Roman"/>
          <w:bCs/>
          <w:szCs w:val="24"/>
          <w:lang w:val="sr-Cyrl-RS" w:eastAsia="ja-JP"/>
        </w:rPr>
        <w:t>3,1% БДП</w:t>
      </w:r>
      <w:r w:rsidR="00CF6476">
        <w:rPr>
          <w:rFonts w:eastAsiaTheme="minorEastAsia" w:cs="Times New Roman"/>
          <w:bCs/>
          <w:szCs w:val="24"/>
          <w:lang w:val="sr-Cyrl-RS" w:eastAsia="ja-JP"/>
        </w:rPr>
        <w:t>,</w:t>
      </w:r>
      <w:r w:rsidR="00525F7A">
        <w:rPr>
          <w:rFonts w:eastAsiaTheme="minorEastAsia" w:cs="Times New Roman"/>
          <w:bCs/>
          <w:szCs w:val="24"/>
          <w:lang w:val="sr-Cyrl-RS" w:eastAsia="ja-JP"/>
        </w:rPr>
        <w:t xml:space="preserve"> пре свега</w:t>
      </w:r>
      <w:r w:rsidR="001F1E43">
        <w:rPr>
          <w:rFonts w:eastAsiaTheme="minorEastAsia" w:cs="Times New Roman"/>
          <w:bCs/>
          <w:szCs w:val="24"/>
          <w:lang w:val="sr-Cyrl-RS" w:eastAsia="ja-JP"/>
        </w:rPr>
        <w:t xml:space="preserve"> као резултат</w:t>
      </w:r>
      <w:r w:rsidR="00525F7A">
        <w:rPr>
          <w:rFonts w:eastAsiaTheme="minorEastAsia" w:cs="Times New Roman"/>
          <w:bCs/>
          <w:szCs w:val="24"/>
          <w:lang w:val="sr-Cyrl-RS" w:eastAsia="ja-JP"/>
        </w:rPr>
        <w:t xml:space="preserve"> </w:t>
      </w:r>
      <w:r w:rsidR="00525F7A" w:rsidRPr="00525F7A">
        <w:rPr>
          <w:rFonts w:eastAsiaTheme="minorEastAsia" w:cs="Times New Roman"/>
          <w:bCs/>
          <w:szCs w:val="24"/>
          <w:lang w:val="sr-Cyrl-RS" w:eastAsia="ja-JP"/>
        </w:rPr>
        <w:t>укидањ</w:t>
      </w:r>
      <w:r w:rsidR="00324F32">
        <w:rPr>
          <w:rFonts w:eastAsiaTheme="minorEastAsia" w:cs="Times New Roman"/>
          <w:bCs/>
          <w:szCs w:val="24"/>
          <w:lang w:val="sr-Cyrl-RS" w:eastAsia="ja-JP"/>
        </w:rPr>
        <w:t>а</w:t>
      </w:r>
      <w:r w:rsidR="00525F7A" w:rsidRPr="00525F7A">
        <w:rPr>
          <w:rFonts w:eastAsiaTheme="minorEastAsia" w:cs="Times New Roman"/>
          <w:bCs/>
          <w:szCs w:val="24"/>
          <w:lang w:val="sr-Cyrl-RS" w:eastAsia="ja-JP"/>
        </w:rPr>
        <w:t xml:space="preserve"> мера</w:t>
      </w:r>
      <w:r w:rsidR="001F1E43">
        <w:rPr>
          <w:rFonts w:eastAsiaTheme="minorEastAsia" w:cs="Times New Roman"/>
          <w:bCs/>
          <w:szCs w:val="24"/>
          <w:lang w:val="sr-Cyrl-RS" w:eastAsia="ja-JP"/>
        </w:rPr>
        <w:t xml:space="preserve"> подршке</w:t>
      </w:r>
      <w:r w:rsidR="00525F7A" w:rsidRPr="00525F7A">
        <w:rPr>
          <w:rFonts w:eastAsiaTheme="minorEastAsia" w:cs="Times New Roman"/>
          <w:bCs/>
          <w:szCs w:val="24"/>
          <w:lang w:val="sr-Cyrl-RS" w:eastAsia="ja-JP"/>
        </w:rPr>
        <w:t xml:space="preserve"> уведених током енергетске кризе</w:t>
      </w:r>
      <w:r w:rsidR="00525F7A">
        <w:rPr>
          <w:rFonts w:eastAsiaTheme="minorEastAsia" w:cs="Times New Roman"/>
          <w:bCs/>
          <w:szCs w:val="24"/>
          <w:lang w:val="sr-Cyrl-RS" w:eastAsia="ja-JP"/>
        </w:rPr>
        <w:t>.</w:t>
      </w:r>
      <w:r w:rsidR="006C198C" w:rsidRPr="00525F7A">
        <w:rPr>
          <w:rFonts w:eastAsiaTheme="minorEastAsia" w:cs="Times New Roman"/>
          <w:bCs/>
          <w:szCs w:val="24"/>
          <w:lang w:val="sr-Cyrl-RS" w:eastAsia="ja-JP"/>
        </w:rPr>
        <w:t xml:space="preserve"> У 2025. години </w:t>
      </w:r>
      <w:r w:rsidR="00525F7A" w:rsidRPr="00525F7A">
        <w:rPr>
          <w:rFonts w:eastAsiaTheme="minorEastAsia" w:cs="Times New Roman"/>
          <w:bCs/>
          <w:szCs w:val="24"/>
          <w:lang w:val="sr-Cyrl-RS" w:eastAsia="ja-JP"/>
        </w:rPr>
        <w:t xml:space="preserve">наставиће се са </w:t>
      </w:r>
      <w:r w:rsidR="0014590C" w:rsidRPr="00525F7A">
        <w:rPr>
          <w:rFonts w:eastAsiaTheme="minorEastAsia" w:cs="Times New Roman"/>
          <w:bCs/>
          <w:szCs w:val="24"/>
          <w:lang w:val="sr-Cyrl-RS" w:eastAsia="ja-JP"/>
        </w:rPr>
        <w:t xml:space="preserve">додатним фискалним ограничењима, што ће условити </w:t>
      </w:r>
      <w:r w:rsidR="006C198C" w:rsidRPr="00525F7A">
        <w:rPr>
          <w:rFonts w:eastAsiaTheme="minorEastAsia" w:cs="Times New Roman"/>
          <w:bCs/>
          <w:szCs w:val="24"/>
          <w:lang w:val="sr-Cyrl-RS" w:eastAsia="ja-JP"/>
        </w:rPr>
        <w:t>благо смањење фискалног дефицита на 3,0</w:t>
      </w:r>
      <w:r w:rsidR="0014590C" w:rsidRPr="00525F7A">
        <w:rPr>
          <w:rFonts w:eastAsiaTheme="minorEastAsia" w:cs="Times New Roman"/>
          <w:bCs/>
          <w:szCs w:val="24"/>
          <w:lang w:val="sr-Cyrl-RS" w:eastAsia="ja-JP"/>
        </w:rPr>
        <w:t xml:space="preserve">% БДП. </w:t>
      </w:r>
      <w:r w:rsidRPr="00525F7A">
        <w:rPr>
          <w:rFonts w:eastAsiaTheme="minorEastAsia" w:cs="Times New Roman"/>
          <w:bCs/>
          <w:szCs w:val="24"/>
          <w:lang w:val="sr-Cyrl-RS" w:eastAsia="ja-JP"/>
        </w:rPr>
        <w:t>Иако ће допринос ЕУ фондова бити значајан, процењује се да ће фискална политика имати благ</w:t>
      </w:r>
      <w:r w:rsidR="00324F32">
        <w:rPr>
          <w:rFonts w:eastAsiaTheme="minorEastAsia" w:cs="Times New Roman"/>
          <w:bCs/>
          <w:szCs w:val="24"/>
          <w:lang w:val="sr-Cyrl-RS" w:eastAsia="ja-JP"/>
        </w:rPr>
        <w:t>о</w:t>
      </w:r>
      <w:r w:rsidRPr="00525F7A">
        <w:rPr>
          <w:rFonts w:eastAsiaTheme="minorEastAsia" w:cs="Times New Roman"/>
          <w:bCs/>
          <w:szCs w:val="24"/>
          <w:lang w:val="sr-Cyrl-RS" w:eastAsia="ja-JP"/>
        </w:rPr>
        <w:t xml:space="preserve"> рестриктиван утицај на економију ЕУ у 2024. години, док ће у 2025. и 2026. години ефекат бити углавном неутралан. Рестриктивна фискална политика у 2024. години углавном је резултат привременог смањења расхода финансираних из ЕУ фондова и укидања пореских олакшица за становање у Италији. </w:t>
      </w:r>
      <w:r w:rsidR="0014590C" w:rsidRPr="00525F7A">
        <w:rPr>
          <w:rFonts w:eastAsiaTheme="minorEastAsia" w:cs="Times New Roman"/>
          <w:bCs/>
          <w:szCs w:val="24"/>
          <w:lang w:val="sr-Cyrl-RS" w:eastAsia="ja-JP"/>
        </w:rPr>
        <w:t xml:space="preserve">У 2025. години </w:t>
      </w:r>
      <w:r w:rsidR="00206C1B" w:rsidRPr="00525F7A">
        <w:rPr>
          <w:rFonts w:eastAsiaTheme="minorEastAsia" w:cs="Times New Roman"/>
          <w:bCs/>
          <w:szCs w:val="24"/>
          <w:lang w:val="sr-Cyrl-RS" w:eastAsia="ja-JP"/>
        </w:rPr>
        <w:t>очекује се да ће фискална политика имати неутрални карактер, јер ће пад</w:t>
      </w:r>
      <w:r w:rsidR="0014590C" w:rsidRPr="00525F7A">
        <w:rPr>
          <w:rFonts w:eastAsiaTheme="minorEastAsia" w:cs="Times New Roman"/>
          <w:bCs/>
          <w:szCs w:val="24"/>
          <w:lang w:val="sr-Cyrl-RS" w:eastAsia="ja-JP"/>
        </w:rPr>
        <w:t xml:space="preserve"> </w:t>
      </w:r>
      <w:r w:rsidR="00206C1B" w:rsidRPr="00950FDE">
        <w:rPr>
          <w:rFonts w:eastAsiaTheme="minorEastAsia" w:cs="Times New Roman"/>
          <w:bCs/>
          <w:szCs w:val="24"/>
          <w:lang w:val="sr-Cyrl-RS" w:eastAsia="ja-JP"/>
        </w:rPr>
        <w:t xml:space="preserve">примарних </w:t>
      </w:r>
      <w:r w:rsidR="0014590C" w:rsidRPr="00950FDE">
        <w:rPr>
          <w:rFonts w:eastAsiaTheme="minorEastAsia" w:cs="Times New Roman"/>
          <w:bCs/>
          <w:szCs w:val="24"/>
          <w:lang w:val="sr-Cyrl-RS" w:eastAsia="ja-JP"/>
        </w:rPr>
        <w:t xml:space="preserve">нето текућих расхода </w:t>
      </w:r>
      <w:r w:rsidR="00206C1B" w:rsidRPr="00950FDE">
        <w:rPr>
          <w:rFonts w:eastAsiaTheme="minorEastAsia" w:cs="Times New Roman"/>
          <w:bCs/>
          <w:szCs w:val="24"/>
          <w:lang w:val="sr-Cyrl-RS" w:eastAsia="ja-JP"/>
        </w:rPr>
        <w:t xml:space="preserve">бити у великој мери компензован растом јавних инвестиција, услед коришћења Фонда за опоравак и отпорност али и осталих фондова ЕУ. </w:t>
      </w:r>
      <w:r w:rsidR="00FB4C1D" w:rsidRPr="00950FDE">
        <w:rPr>
          <w:rFonts w:eastAsiaTheme="minorEastAsia" w:cs="Times New Roman"/>
          <w:bCs/>
          <w:szCs w:val="24"/>
          <w:lang w:val="sr-Cyrl-RS" w:eastAsia="ja-JP"/>
        </w:rPr>
        <w:t>Након смањења удела јавног дуга у БДП у ЕУ у</w:t>
      </w:r>
      <w:r w:rsidR="00AC4759">
        <w:rPr>
          <w:rFonts w:eastAsiaTheme="minorEastAsia" w:cs="Times New Roman"/>
          <w:bCs/>
          <w:szCs w:val="24"/>
          <w:lang w:val="sr-Cyrl-RS" w:eastAsia="ja-JP"/>
        </w:rPr>
        <w:t xml:space="preserve"> периоду од 2021</w:t>
      </w:r>
      <w:r w:rsidR="00FB4C1D" w:rsidRPr="00950FDE">
        <w:rPr>
          <w:rFonts w:eastAsiaTheme="minorEastAsia" w:cs="Times New Roman"/>
          <w:bCs/>
          <w:szCs w:val="24"/>
          <w:lang w:val="sr-Cyrl-RS" w:eastAsia="ja-JP"/>
        </w:rPr>
        <w:t>. до 2023. године од скоро 10 п.п., о</w:t>
      </w:r>
      <w:r w:rsidR="008B5BFB" w:rsidRPr="00950FDE">
        <w:rPr>
          <w:lang w:val="sr-Cyrl-RS"/>
        </w:rPr>
        <w:t xml:space="preserve">чекује се да ће </w:t>
      </w:r>
      <w:r w:rsidR="00FB4C1D" w:rsidRPr="00950FDE">
        <w:rPr>
          <w:lang w:val="sr-Cyrl-RS"/>
        </w:rPr>
        <w:t xml:space="preserve">он </w:t>
      </w:r>
      <w:r w:rsidR="008B5BFB" w:rsidRPr="00950FDE">
        <w:rPr>
          <w:lang w:val="sr-Cyrl-RS"/>
        </w:rPr>
        <w:t>бити незнатно повећан са 82,1% у 2023. години на 83,4% у 2026. години</w:t>
      </w:r>
      <w:r w:rsidR="00FB4C1D" w:rsidRPr="00950FDE">
        <w:rPr>
          <w:lang w:val="sr-Latn-RS"/>
        </w:rPr>
        <w:t>.</w:t>
      </w:r>
      <w:r w:rsidR="008B5BFB" w:rsidRPr="00950FDE">
        <w:rPr>
          <w:lang w:val="sr-Cyrl-RS"/>
        </w:rPr>
        <w:t xml:space="preserve"> </w:t>
      </w:r>
      <w:r w:rsidR="00FB4C1D" w:rsidRPr="000E5602">
        <w:rPr>
          <w:rFonts w:eastAsiaTheme="minorEastAsia" w:cs="Times New Roman"/>
          <w:bCs/>
          <w:szCs w:val="24"/>
          <w:lang w:val="sr-Cyrl-RS" w:eastAsia="ja-JP"/>
        </w:rPr>
        <w:t>Овај раст биће последица</w:t>
      </w:r>
      <w:r w:rsidR="00137637" w:rsidRPr="000E5602">
        <w:rPr>
          <w:rFonts w:eastAsiaTheme="minorEastAsia" w:cs="Times New Roman"/>
          <w:bCs/>
          <w:szCs w:val="24"/>
          <w:lang w:val="sr-Cyrl-RS" w:eastAsia="ja-JP"/>
        </w:rPr>
        <w:t xml:space="preserve"> благог повећања трошкова сервисирања дуга, али и </w:t>
      </w:r>
      <w:r w:rsidR="002E1FF2" w:rsidRPr="000E5602">
        <w:rPr>
          <w:rFonts w:eastAsiaTheme="minorEastAsia" w:cs="Times New Roman"/>
          <w:bCs/>
          <w:szCs w:val="24"/>
          <w:lang w:val="sr-Cyrl-RS" w:eastAsia="ja-JP"/>
        </w:rPr>
        <w:t xml:space="preserve">континуираних </w:t>
      </w:r>
      <w:r w:rsidR="00137637" w:rsidRPr="000E5602">
        <w:rPr>
          <w:rFonts w:eastAsiaTheme="minorEastAsia" w:cs="Times New Roman"/>
          <w:bCs/>
          <w:szCs w:val="24"/>
          <w:lang w:val="sr-Cyrl-RS" w:eastAsia="ja-JP"/>
        </w:rPr>
        <w:t>примарних дефицита</w:t>
      </w:r>
      <w:r w:rsidR="002E1FF2" w:rsidRPr="000E5602">
        <w:rPr>
          <w:rFonts w:eastAsiaTheme="minorEastAsia" w:cs="Times New Roman"/>
          <w:bCs/>
          <w:szCs w:val="24"/>
          <w:lang w:val="sr-Cyrl-RS" w:eastAsia="ja-JP"/>
        </w:rPr>
        <w:t xml:space="preserve"> </w:t>
      </w:r>
      <w:r w:rsidR="00137637" w:rsidRPr="000E5602">
        <w:rPr>
          <w:rFonts w:eastAsiaTheme="minorEastAsia" w:cs="Times New Roman"/>
          <w:bCs/>
          <w:szCs w:val="24"/>
          <w:lang w:val="sr-Cyrl-RS" w:eastAsia="ja-JP"/>
        </w:rPr>
        <w:t xml:space="preserve">у поменутом периоду, </w:t>
      </w:r>
      <w:r w:rsidR="002E1FF2" w:rsidRPr="000E5602">
        <w:rPr>
          <w:rFonts w:eastAsiaTheme="minorEastAsia" w:cs="Times New Roman"/>
          <w:bCs/>
          <w:szCs w:val="24"/>
          <w:lang w:val="sr-Cyrl-RS" w:eastAsia="ja-JP"/>
        </w:rPr>
        <w:t>који не могу бити компензовани</w:t>
      </w:r>
      <w:r w:rsidR="00137637" w:rsidRPr="000E5602">
        <w:rPr>
          <w:rFonts w:eastAsiaTheme="minorEastAsia" w:cs="Times New Roman"/>
          <w:bCs/>
          <w:szCs w:val="24"/>
          <w:lang w:val="sr-Cyrl-RS" w:eastAsia="ja-JP"/>
        </w:rPr>
        <w:t xml:space="preserve"> високим номиналним растом БДП услед успоравања инфлације.</w:t>
      </w:r>
    </w:p>
    <w:p w14:paraId="25E3EF9F" w14:textId="77777777" w:rsidR="004E0A88" w:rsidRPr="00652D12" w:rsidRDefault="004E0A88" w:rsidP="00506244">
      <w:pPr>
        <w:rPr>
          <w:lang w:val="sr-Cyrl-RS"/>
        </w:rPr>
      </w:pPr>
    </w:p>
    <w:p w14:paraId="23B7BD36" w14:textId="474420B1" w:rsidR="00AA1BAE" w:rsidRPr="00652D12" w:rsidRDefault="00AA1BAE" w:rsidP="00E8578D">
      <w:pPr>
        <w:keepNext/>
        <w:keepLines/>
        <w:spacing w:after="160"/>
        <w:outlineLvl w:val="1"/>
        <w:rPr>
          <w:rFonts w:eastAsia="Calibri" w:cs="Times New Roman"/>
          <w:szCs w:val="24"/>
          <w:lang w:val="sr-Cyrl-RS"/>
        </w:rPr>
      </w:pPr>
      <w:r w:rsidRPr="00652D12">
        <w:rPr>
          <w:rFonts w:eastAsia="Calibri" w:cs="Times New Roman"/>
          <w:szCs w:val="24"/>
          <w:lang w:val="sr-Cyrl-RS"/>
        </w:rPr>
        <w:t xml:space="preserve">2. </w:t>
      </w:r>
      <w:bookmarkEnd w:id="2"/>
      <w:bookmarkEnd w:id="3"/>
      <w:r w:rsidR="0047017C" w:rsidRPr="00652D12">
        <w:rPr>
          <w:rFonts w:eastAsia="Calibri" w:cs="Times New Roman"/>
          <w:szCs w:val="24"/>
          <w:lang w:val="sr-Cyrl-RS"/>
        </w:rPr>
        <w:t xml:space="preserve">ТЕКУЋА ЕКОНОМСКА КРЕТАЊА И ИЗГЛЕДИ ЗА </w:t>
      </w:r>
      <w:r w:rsidR="000F44A7" w:rsidRPr="00652D12">
        <w:rPr>
          <w:rFonts w:eastAsia="Calibri" w:cs="Times New Roman"/>
          <w:szCs w:val="24"/>
          <w:lang w:val="sr-Cyrl-RS"/>
        </w:rPr>
        <w:t>202</w:t>
      </w:r>
      <w:r w:rsidR="00447F5E">
        <w:rPr>
          <w:rFonts w:eastAsia="Calibri" w:cs="Times New Roman"/>
          <w:szCs w:val="24"/>
          <w:lang w:val="sr-Cyrl-RS"/>
        </w:rPr>
        <w:t>4</w:t>
      </w:r>
      <w:r w:rsidR="0047017C" w:rsidRPr="00652D12">
        <w:rPr>
          <w:rFonts w:eastAsia="Calibri" w:cs="Times New Roman"/>
          <w:szCs w:val="24"/>
          <w:lang w:val="sr-Cyrl-RS"/>
        </w:rPr>
        <w:t>. ГОДИНУ</w:t>
      </w:r>
    </w:p>
    <w:p w14:paraId="61C084BB" w14:textId="320BBAB4" w:rsidR="003816A6" w:rsidRPr="003816A6" w:rsidRDefault="009B0814" w:rsidP="003816A6">
      <w:pPr>
        <w:rPr>
          <w:rFonts w:eastAsia="Constantia" w:cs="Times New Roman"/>
          <w:szCs w:val="24"/>
          <w:lang w:val="sr-Cyrl-RS"/>
        </w:rPr>
      </w:pPr>
      <w:bookmarkStart w:id="4" w:name="_Toc373932748"/>
      <w:r w:rsidRPr="00652D12">
        <w:rPr>
          <w:rFonts w:eastAsia="Constantia" w:cs="Times New Roman"/>
          <w:b/>
          <w:szCs w:val="24"/>
          <w:lang w:val="sr-Cyrl-RS"/>
        </w:rPr>
        <w:t>Реални сектор</w:t>
      </w:r>
      <w:r w:rsidRPr="00652D12">
        <w:rPr>
          <w:rFonts w:eastAsia="Constantia" w:cs="Times New Roman"/>
          <w:szCs w:val="24"/>
          <w:lang w:val="sr-Cyrl-RS"/>
        </w:rPr>
        <w:t xml:space="preserve">. </w:t>
      </w:r>
      <w:r w:rsidR="003816A6" w:rsidRPr="003816A6">
        <w:rPr>
          <w:rFonts w:eastAsia="Constantia" w:cs="Times New Roman"/>
          <w:szCs w:val="24"/>
          <w:lang w:val="sr-Cyrl-RS"/>
        </w:rPr>
        <w:t>Према подацима РЗС, раст БДП у првом кварталу 2024. године износио је 4,6% мг., док је у другом тромесечју раст привреде био 4,0% мг., што је у складу са очекивањима Министарства финансија за овај период. Посматрано са производне стране, раст БДП у првој половини 2024. године од 4,3% био је вођен услужним сектором, који је остварио раст од 5,0%. Повећање економске активности забележено је код свих услужних делатности, а најзначајнији допринос дошао је од трговине, саобраћаја и туризма, као и од стручно-техничких услуга и ИКТ. Упркос и даље слабој спољној тражњи и ремонту капацитета у НИС, индустријска производња је забележила раст БДВ од 2,1% у првој половини године, захваљујући пре свега активирању нових производних капацитета као резултат ефектуирања СДИ из претходног периода. Грађевинарство је било веће за 9,9% услед наставка реализације инфраструктурних пројеката, као и раста приватних инвестиција, док је пољопривреда према првим проценама РЗС забележила пад од око 4% услед неповољних агрометеоролошких услова.</w:t>
      </w:r>
      <w:r w:rsidR="003816A6" w:rsidRPr="003816A6">
        <w:t xml:space="preserve"> </w:t>
      </w:r>
      <w:r w:rsidR="003816A6" w:rsidRPr="003816A6">
        <w:rPr>
          <w:rFonts w:eastAsia="Constantia" w:cs="Times New Roman"/>
          <w:szCs w:val="24"/>
          <w:lang w:val="sr-Cyrl-RS"/>
        </w:rPr>
        <w:t>Посматрано по агрегатима употребе, раст БДП у првој половини 2024. године у потпуности је био опредељен домаћом тражњом. Повећање реалног расположивог дохотка становништва, пре свега као резултат раста зарада и пензија уз раст запослености, одразио се на убрзање приватне потрошње која је била већа за 4,6%. Истовремено, инвестиције у основне фондове оствариле су раст од 8,0% захваљујући, пре свега већим грађевинским радовима, али и убрзању приватних инвестиција. Допринос нето извоза био је негативан услед бржег раста увозне активности (6,0%) од извозне (2,9%) као последица повећаног увоза опреме за инвестиционе потребе, као и потрошне робе услед раста приватне потрошње домаћинстава.</w:t>
      </w:r>
    </w:p>
    <w:p w14:paraId="245492F5" w14:textId="55D9FE45" w:rsidR="00EE6D19" w:rsidRPr="007E3D2B" w:rsidRDefault="00EE6D19" w:rsidP="00805B73">
      <w:pPr>
        <w:rPr>
          <w:rFonts w:eastAsia="Constantia" w:cs="Times New Roman"/>
          <w:szCs w:val="24"/>
          <w:lang w:val="sr-Cyrl-RS"/>
        </w:rPr>
      </w:pPr>
      <w:r w:rsidRPr="007E3D2B">
        <w:rPr>
          <w:rFonts w:eastAsia="Constantia" w:cs="Times New Roman"/>
          <w:szCs w:val="24"/>
          <w:lang w:val="sr-Cyrl-RS"/>
        </w:rPr>
        <w:t>Према флеш процени Републичког завода за статистику</w:t>
      </w:r>
      <w:r w:rsidR="007E3D2B">
        <w:rPr>
          <w:rFonts w:eastAsia="Constantia" w:cs="Times New Roman"/>
          <w:szCs w:val="24"/>
          <w:lang w:val="sr-Cyrl-RS"/>
        </w:rPr>
        <w:t>,</w:t>
      </w:r>
      <w:r w:rsidRPr="007E3D2B">
        <w:rPr>
          <w:rFonts w:eastAsia="Constantia" w:cs="Times New Roman"/>
          <w:szCs w:val="24"/>
          <w:lang w:val="sr-Cyrl-RS"/>
        </w:rPr>
        <w:t xml:space="preserve"> раст БДП у трећем кварталу</w:t>
      </w:r>
      <w:r w:rsidR="00800AF5">
        <w:rPr>
          <w:rFonts w:eastAsia="Constantia" w:cs="Times New Roman"/>
          <w:szCs w:val="24"/>
          <w:lang w:val="sr-Cyrl-RS"/>
        </w:rPr>
        <w:t xml:space="preserve"> 2024. године</w:t>
      </w:r>
      <w:r w:rsidRPr="007E3D2B">
        <w:rPr>
          <w:rFonts w:eastAsia="Constantia" w:cs="Times New Roman"/>
          <w:szCs w:val="24"/>
          <w:lang w:val="sr-Cyrl-RS"/>
        </w:rPr>
        <w:t xml:space="preserve"> </w:t>
      </w:r>
      <w:r w:rsidR="00EA05E1" w:rsidRPr="007E3D2B">
        <w:rPr>
          <w:rFonts w:eastAsia="Constantia" w:cs="Times New Roman"/>
          <w:szCs w:val="24"/>
          <w:lang w:val="sr-Cyrl-RS"/>
        </w:rPr>
        <w:t xml:space="preserve">је </w:t>
      </w:r>
      <w:r w:rsidR="007E3D2B">
        <w:rPr>
          <w:rFonts w:eastAsia="Constantia" w:cs="Times New Roman"/>
          <w:szCs w:val="24"/>
          <w:lang w:val="sr-Cyrl-RS"/>
        </w:rPr>
        <w:t xml:space="preserve">износио </w:t>
      </w:r>
      <w:r w:rsidR="00BF75D8">
        <w:rPr>
          <w:rFonts w:eastAsia="Constantia" w:cs="Times New Roman"/>
          <w:szCs w:val="24"/>
          <w:lang w:val="sr-Cyrl-RS"/>
        </w:rPr>
        <w:t>је</w:t>
      </w:r>
      <w:r w:rsidR="007E3D2B">
        <w:rPr>
          <w:rFonts w:eastAsia="Constantia" w:cs="Times New Roman"/>
          <w:szCs w:val="24"/>
          <w:lang w:val="sr-Cyrl-RS"/>
        </w:rPr>
        <w:t xml:space="preserve"> 3,1% мг. вођен растом у сектору услуга и индустрији, који су </w:t>
      </w:r>
      <w:r w:rsidR="007E3D2B">
        <w:rPr>
          <w:rFonts w:eastAsia="Constantia" w:cs="Times New Roman"/>
          <w:szCs w:val="24"/>
          <w:lang w:val="sr-Cyrl-RS"/>
        </w:rPr>
        <w:lastRenderedPageBreak/>
        <w:t xml:space="preserve">према процени </w:t>
      </w:r>
      <w:r w:rsidR="00447F5E">
        <w:rPr>
          <w:rFonts w:eastAsia="Constantia" w:cs="Times New Roman"/>
          <w:szCs w:val="24"/>
          <w:lang w:val="sr-Cyrl-RS"/>
        </w:rPr>
        <w:t>Министарства</w:t>
      </w:r>
      <w:r w:rsidR="007E3D2B">
        <w:rPr>
          <w:rFonts w:eastAsia="Constantia" w:cs="Times New Roman"/>
          <w:szCs w:val="24"/>
          <w:lang w:val="sr-Cyrl-RS"/>
        </w:rPr>
        <w:t xml:space="preserve"> финансија </w:t>
      </w:r>
      <w:r w:rsidR="00BF75D8">
        <w:rPr>
          <w:rFonts w:eastAsia="Constantia" w:cs="Times New Roman"/>
          <w:szCs w:val="24"/>
          <w:lang w:val="sr-Cyrl-RS"/>
        </w:rPr>
        <w:t>забележили повећање од</w:t>
      </w:r>
      <w:r w:rsidR="007E3D2B">
        <w:rPr>
          <w:rFonts w:eastAsia="Constantia" w:cs="Times New Roman"/>
          <w:szCs w:val="24"/>
          <w:lang w:val="sr-Cyrl-RS"/>
        </w:rPr>
        <w:t xml:space="preserve"> </w:t>
      </w:r>
      <w:r w:rsidR="00BF75D8">
        <w:rPr>
          <w:rFonts w:eastAsia="Constantia" w:cs="Times New Roman"/>
          <w:szCs w:val="24"/>
          <w:lang w:val="sr-Cyrl-RS"/>
        </w:rPr>
        <w:t>4,5</w:t>
      </w:r>
      <w:r w:rsidR="007E3D2B">
        <w:rPr>
          <w:rFonts w:eastAsia="Constantia" w:cs="Times New Roman"/>
          <w:szCs w:val="24"/>
          <w:lang w:val="sr-Cyrl-RS"/>
        </w:rPr>
        <w:t xml:space="preserve"> и 3,7%, респективно, док је негативан допринос потекао од пољопривреде.</w:t>
      </w:r>
    </w:p>
    <w:p w14:paraId="345C05E8" w14:textId="24B36F8E" w:rsidR="003816A6" w:rsidRPr="004D230C" w:rsidRDefault="003816A6" w:rsidP="003816A6">
      <w:pPr>
        <w:rPr>
          <w:rFonts w:cstheme="minorHAnsi"/>
          <w:bCs/>
          <w:szCs w:val="72"/>
        </w:rPr>
      </w:pPr>
      <w:r w:rsidRPr="003816A6">
        <w:rPr>
          <w:rFonts w:cstheme="minorHAnsi"/>
          <w:bCs/>
          <w:szCs w:val="72"/>
          <w:lang w:val="sr-Cyrl-RS"/>
        </w:rPr>
        <w:t xml:space="preserve">Високофреквентни индикатори такође указују на стабилна привредна кретања током 2024. године у свим привредним </w:t>
      </w:r>
      <w:r w:rsidR="00EC0647">
        <w:rPr>
          <w:rFonts w:cstheme="minorHAnsi"/>
          <w:bCs/>
          <w:szCs w:val="72"/>
          <w:lang w:val="sr-Cyrl-RS"/>
        </w:rPr>
        <w:t>секторима, осим у пољопривреди</w:t>
      </w:r>
      <w:r w:rsidR="004D230C">
        <w:rPr>
          <w:rFonts w:cstheme="minorHAnsi"/>
          <w:bCs/>
          <w:szCs w:val="72"/>
          <w:lang w:val="sr-Cyrl-RS"/>
        </w:rPr>
        <w:t xml:space="preserve"> где су се н</w:t>
      </w:r>
      <w:r w:rsidRPr="003816A6">
        <w:rPr>
          <w:rFonts w:cstheme="minorHAnsi"/>
          <w:bCs/>
          <w:szCs w:val="72"/>
          <w:lang w:val="sr-Cyrl-RS"/>
        </w:rPr>
        <w:t>еповољни агрометеоролошки услови током летњих ме</w:t>
      </w:r>
      <w:r w:rsidR="004D230C">
        <w:rPr>
          <w:rFonts w:cstheme="minorHAnsi"/>
          <w:bCs/>
          <w:szCs w:val="72"/>
          <w:lang w:val="sr-Cyrl-RS"/>
        </w:rPr>
        <w:t>сеци</w:t>
      </w:r>
      <w:r w:rsidRPr="003816A6">
        <w:rPr>
          <w:rFonts w:cstheme="minorHAnsi"/>
          <w:bCs/>
          <w:szCs w:val="72"/>
          <w:lang w:val="sr-Cyrl-RS"/>
        </w:rPr>
        <w:t xml:space="preserve">, у великој мери су се одразили на род кукуруза и индустријског биља. </w:t>
      </w:r>
    </w:p>
    <w:p w14:paraId="4615BA24" w14:textId="62E3D464" w:rsidR="00DE769B" w:rsidRDefault="00DE769B" w:rsidP="00DE769B">
      <w:pPr>
        <w:rPr>
          <w:rFonts w:cstheme="minorHAnsi"/>
          <w:bCs/>
          <w:szCs w:val="72"/>
        </w:rPr>
      </w:pPr>
      <w:r w:rsidRPr="00DE769B">
        <w:rPr>
          <w:rFonts w:eastAsia="Calibri" w:cs="Calibri"/>
          <w:bCs/>
          <w:szCs w:val="72"/>
          <w:lang w:val="sr-Cyrl-RS"/>
        </w:rPr>
        <w:t>У првих девет месеци 2024. године индустријска производњa je забележила повећање физичког обима од 2,8% мг. У овом периоду, раст индустријске производње је вођен већим обимом производње прерађивачке индустрије, додатно подржана већим обимом производње рударства, док је утицај енергетског сектора био негативан услед мање производње електричне енергије.</w:t>
      </w:r>
      <w:r w:rsidRPr="00DE769B">
        <w:rPr>
          <w:rFonts w:eastAsia="Calibri" w:cs="Times New Roman"/>
          <w:color w:val="FF0000"/>
        </w:rPr>
        <w:t xml:space="preserve"> </w:t>
      </w:r>
      <w:r w:rsidRPr="00DE769B">
        <w:rPr>
          <w:rFonts w:eastAsia="Calibri" w:cs="Calibri"/>
          <w:bCs/>
          <w:szCs w:val="72"/>
          <w:lang w:val="sr-Cyrl-RS"/>
        </w:rPr>
        <w:t>Прерађивачка индустрија је у првих девет месеци остварила повећање од 4,4%. Раст је био диверсификован и остварен у 14 од 24 делатности. Најзначајнији позитиван допринос расту прерађивачке индустрије у овом периоду потиче од производње основних метала и електронске индустрије које су забележиле повећање од 38,5% и 80,5% мг., респективно. У претходних девет месеци, производња прехрамбених производа, као једне од најзначајнијих делатности прерађивачке индустрије, забележила је раст од 5,8% мг.</w:t>
      </w:r>
      <w:r w:rsidR="00CC6181">
        <w:rPr>
          <w:rFonts w:eastAsia="Calibri" w:cs="Calibri"/>
          <w:bCs/>
          <w:szCs w:val="72"/>
          <w:lang w:val="sr-Cyrl-RS"/>
        </w:rPr>
        <w:t>,</w:t>
      </w:r>
      <w:r w:rsidRPr="00DE769B">
        <w:rPr>
          <w:rFonts w:eastAsia="Calibri" w:cs="Calibri"/>
          <w:bCs/>
          <w:szCs w:val="72"/>
          <w:lang w:val="sr-Cyrl-RS"/>
        </w:rPr>
        <w:t xml:space="preserve"> уз такође позитиван допринос гумарске индустрије која остварује повећање физичког обима од 11,5% мг. Након пада производње металних производа у претходној години од 9,6%, активност ове делатности се опоравила током 2024. године, забележивши раст од 10,0% у првих девет месеци. Упркос и даље слабој спољној тражњи, аутомобилска индустрија и производња електричне опреме остварују повећање физичког обима од 6,3% и 5,0%, респективно, захваљујући пре свега ефектуирању СДИ из претходног периода. С друге стране, делатности које су оствариле пад производње збирно су имале негативан утицај на кретањ</w:t>
      </w:r>
      <w:r w:rsidR="00B83279">
        <w:rPr>
          <w:rFonts w:eastAsia="Calibri" w:cs="Calibri"/>
          <w:bCs/>
          <w:szCs w:val="72"/>
          <w:lang w:val="sr-Cyrl-RS"/>
        </w:rPr>
        <w:t>е прерађивачке индустрије од 1,9</w:t>
      </w:r>
      <w:r w:rsidRPr="00DE769B">
        <w:rPr>
          <w:rFonts w:eastAsia="Calibri" w:cs="Calibri"/>
          <w:bCs/>
          <w:szCs w:val="72"/>
          <w:lang w:val="sr-Cyrl-RS"/>
        </w:rPr>
        <w:t xml:space="preserve"> п.п. Најзначајнији негативан допринос у првих девет месеци 2024. године потекао је од нафтне индустрије са смањењем производње од 15,5% мг., као последица планског ремонта у прерађивачком комплексу НИС током априла и маја када је производња нафтних деривата била готово потпуно обустављена. У истом периоду, обим производње фармацеутске и машинске индустрије је био нижи за 5,6% и 7,1% мг. респективно.</w:t>
      </w:r>
      <w:r w:rsidRPr="00DE769B">
        <w:rPr>
          <w:rFonts w:eastAsia="Calibri" w:cs="Calibri"/>
          <w:bCs/>
          <w:szCs w:val="72"/>
        </w:rPr>
        <w:t xml:space="preserve"> </w:t>
      </w:r>
      <w:r w:rsidRPr="00DE769B">
        <w:rPr>
          <w:rFonts w:eastAsia="Calibri" w:cs="Calibri"/>
          <w:bCs/>
          <w:szCs w:val="72"/>
          <w:lang w:val="sr-Cyrl-RS"/>
        </w:rPr>
        <w:t>Производњу енергетског сектора у првих девет месеци 2024. године карактеришу дивергентна кретања. У рударству је забележен раст од 8,4% пре свега као резултат веће експлоатације руде метала за 19,6%, док је најзначајнији негативан допринос потекао од експлоатације угља која је била мања за 3,7%. Истовремено, обим производње електричне енергије био је мањи за 7,4% пре свега услед лоше хидролошке ситуације, као и ремонта производних капацитета ЕПС током летњих месеци.</w:t>
      </w:r>
      <w:r w:rsidRPr="00DE769B">
        <w:rPr>
          <w:rFonts w:cstheme="minorHAnsi"/>
          <w:bCs/>
          <w:szCs w:val="72"/>
        </w:rPr>
        <w:t xml:space="preserve"> </w:t>
      </w:r>
    </w:p>
    <w:p w14:paraId="5957DB84" w14:textId="7B110C3F" w:rsidR="00CF4522" w:rsidRPr="0092412B" w:rsidRDefault="00CF4522" w:rsidP="00DE769B">
      <w:pPr>
        <w:rPr>
          <w:rFonts w:eastAsia="Calibri" w:cs="Calibri"/>
          <w:bCs/>
          <w:szCs w:val="72"/>
          <w:lang w:val="sr-Cyrl-RS"/>
        </w:rPr>
      </w:pPr>
      <w:r w:rsidRPr="0092412B">
        <w:rPr>
          <w:rFonts w:eastAsia="Calibri" w:cs="Calibri"/>
          <w:bCs/>
          <w:szCs w:val="72"/>
          <w:lang w:val="sr-Cyrl-RS"/>
        </w:rPr>
        <w:t xml:space="preserve">Наставак позитивних кретања забележен је и у грађевинарству. У </w:t>
      </w:r>
      <w:r w:rsidR="0092412B" w:rsidRPr="0092412B">
        <w:rPr>
          <w:rFonts w:eastAsia="Calibri" w:cs="Calibri"/>
          <w:bCs/>
          <w:szCs w:val="72"/>
          <w:lang w:val="sr-Cyrl-RS"/>
        </w:rPr>
        <w:t xml:space="preserve">првих девет месеци </w:t>
      </w:r>
      <w:r w:rsidRPr="0092412B">
        <w:rPr>
          <w:rFonts w:eastAsia="Calibri" w:cs="Calibri"/>
          <w:bCs/>
          <w:szCs w:val="72"/>
          <w:lang w:val="sr-Cyrl-RS"/>
        </w:rPr>
        <w:t>2024. године вредност изведених грађевинских радова</w:t>
      </w:r>
      <w:r w:rsidR="0092412B" w:rsidRPr="0092412B">
        <w:rPr>
          <w:rFonts w:eastAsia="Calibri" w:cs="Calibri"/>
          <w:bCs/>
          <w:szCs w:val="72"/>
          <w:lang w:val="sr-Cyrl-RS"/>
        </w:rPr>
        <w:t xml:space="preserve"> у Републици Србија</w:t>
      </w:r>
      <w:r w:rsidRPr="0092412B">
        <w:rPr>
          <w:rFonts w:eastAsia="Calibri" w:cs="Calibri"/>
          <w:bCs/>
          <w:szCs w:val="72"/>
          <w:lang w:val="sr-Cyrl-RS"/>
        </w:rPr>
        <w:t xml:space="preserve"> била је реално већа за </w:t>
      </w:r>
      <w:r w:rsidR="0092412B" w:rsidRPr="0092412B">
        <w:rPr>
          <w:rFonts w:eastAsia="Calibri" w:cs="Calibri"/>
          <w:bCs/>
          <w:szCs w:val="72"/>
          <w:lang w:val="sr-Cyrl-RS"/>
        </w:rPr>
        <w:t>9,4</w:t>
      </w:r>
      <w:r w:rsidRPr="0092412B">
        <w:rPr>
          <w:rFonts w:eastAsia="Calibri" w:cs="Calibri"/>
          <w:bCs/>
          <w:szCs w:val="72"/>
          <w:lang w:val="sr-Cyrl-RS"/>
        </w:rPr>
        <w:t xml:space="preserve">% мг., подржана растом вредности изведених радова у нискоградњи од </w:t>
      </w:r>
      <w:r w:rsidR="0092412B" w:rsidRPr="0092412B">
        <w:rPr>
          <w:rFonts w:eastAsia="Calibri" w:cs="Calibri"/>
          <w:bCs/>
          <w:szCs w:val="72"/>
          <w:lang w:val="sr-Cyrl-RS"/>
        </w:rPr>
        <w:t>10,6</w:t>
      </w:r>
      <w:r w:rsidRPr="0092412B">
        <w:rPr>
          <w:rFonts w:eastAsia="Calibri" w:cs="Calibri"/>
          <w:bCs/>
          <w:szCs w:val="72"/>
          <w:lang w:val="sr-Cyrl-RS"/>
        </w:rPr>
        <w:t xml:space="preserve">% мг. и високоградњи од </w:t>
      </w:r>
      <w:r w:rsidR="0092412B" w:rsidRPr="0092412B">
        <w:rPr>
          <w:rFonts w:eastAsia="Calibri" w:cs="Calibri"/>
          <w:bCs/>
          <w:szCs w:val="72"/>
          <w:lang w:val="sr-Cyrl-RS"/>
        </w:rPr>
        <w:t>7,1</w:t>
      </w:r>
      <w:r w:rsidRPr="0092412B">
        <w:rPr>
          <w:rFonts w:eastAsia="Calibri" w:cs="Calibri"/>
          <w:bCs/>
          <w:szCs w:val="72"/>
          <w:lang w:val="sr-Cyrl-RS"/>
        </w:rPr>
        <w:t>% мг.</w:t>
      </w:r>
    </w:p>
    <w:p w14:paraId="2FB91EC9" w14:textId="7DF95C73" w:rsidR="00F94BD2" w:rsidRDefault="00DE769B" w:rsidP="00DE769B">
      <w:pPr>
        <w:rPr>
          <w:rFonts w:cstheme="minorHAnsi"/>
          <w:bCs/>
          <w:szCs w:val="72"/>
          <w:lang w:val="sr-Cyrl-RS"/>
        </w:rPr>
      </w:pPr>
      <w:r w:rsidRPr="00DE769B">
        <w:rPr>
          <w:rFonts w:cstheme="minorHAnsi"/>
          <w:bCs/>
          <w:szCs w:val="72"/>
          <w:lang w:val="sr-Cyrl-RS"/>
        </w:rPr>
        <w:t>Са успоравањем инфлације и растом реалног расположивог дохотка становништва од средине претходне године дошло је до убрзања активности реалног промета у трговини на мало. Такви трендови настављени су и током 2024. године, при чему је раст промета у сталним ценама у првих девет месеци био већи за 6,7%. У овом периоду, повећање промета у трговини на мало праћено је реалним растом промета све три категорије производа - прехрамбених производа за 6,9% мг., непрехрамбених производа за 8,6% мг. и моторних горива за 2,4% мг.</w:t>
      </w:r>
      <w:r w:rsidRPr="00DE769B">
        <w:rPr>
          <w:rFonts w:cstheme="minorHAnsi"/>
          <w:bCs/>
          <w:szCs w:val="72"/>
        </w:rPr>
        <w:t xml:space="preserve"> </w:t>
      </w:r>
      <w:r w:rsidRPr="00DE769B">
        <w:rPr>
          <w:rFonts w:cstheme="minorHAnsi"/>
          <w:bCs/>
          <w:szCs w:val="72"/>
          <w:lang w:val="sr-Cyrl-RS"/>
        </w:rPr>
        <w:t xml:space="preserve">Током 2024. године настављена су добра кретања у туризму и угоститељству, при чему је у првих девет месеци број долазака и ноћења </w:t>
      </w:r>
      <w:r w:rsidRPr="00DE769B">
        <w:rPr>
          <w:rFonts w:cstheme="minorHAnsi"/>
          <w:bCs/>
          <w:szCs w:val="72"/>
          <w:lang w:val="sr-Cyrl-RS"/>
        </w:rPr>
        <w:lastRenderedPageBreak/>
        <w:t>туриста међугодишње увећан за 5,7% и 1,5%, респективно, праћен растом активности страних туриста. У првих осам месеци, девизни прилив од туризма је међугодишње увећан за 13</w:t>
      </w:r>
      <w:r w:rsidR="00B83279">
        <w:rPr>
          <w:rFonts w:cstheme="minorHAnsi"/>
          <w:bCs/>
          <w:szCs w:val="72"/>
          <w:lang w:val="sr-Cyrl-RS"/>
        </w:rPr>
        <w:t>,0</w:t>
      </w:r>
      <w:r w:rsidRPr="00DE769B">
        <w:rPr>
          <w:rFonts w:cstheme="minorHAnsi"/>
          <w:bCs/>
          <w:szCs w:val="72"/>
          <w:lang w:val="sr-Cyrl-RS"/>
        </w:rPr>
        <w:t xml:space="preserve">%. </w:t>
      </w:r>
      <w:r w:rsidRPr="00397D0C">
        <w:rPr>
          <w:rFonts w:cstheme="minorHAnsi"/>
          <w:bCs/>
          <w:szCs w:val="72"/>
          <w:lang w:val="sr-Cyrl-RS"/>
        </w:rPr>
        <w:t>Поред тога, настављен је раст промета у угостите</w:t>
      </w:r>
      <w:r w:rsidR="00397D0C" w:rsidRPr="00397D0C">
        <w:rPr>
          <w:rFonts w:cstheme="minorHAnsi"/>
          <w:bCs/>
          <w:szCs w:val="72"/>
          <w:lang w:val="sr-Cyrl-RS"/>
        </w:rPr>
        <w:t>љству, при чему је у првих осам месеци реално већи за 9,4</w:t>
      </w:r>
      <w:r w:rsidRPr="00397D0C">
        <w:rPr>
          <w:rFonts w:cstheme="minorHAnsi"/>
          <w:bCs/>
          <w:szCs w:val="72"/>
          <w:lang w:val="sr-Cyrl-RS"/>
        </w:rPr>
        <w:t>% мг.</w:t>
      </w:r>
      <w:r w:rsidRPr="00DE769B">
        <w:rPr>
          <w:rFonts w:cstheme="minorHAnsi"/>
          <w:bCs/>
          <w:color w:val="FF0000"/>
          <w:szCs w:val="72"/>
        </w:rPr>
        <w:t xml:space="preserve"> </w:t>
      </w:r>
      <w:r w:rsidRPr="00DE769B">
        <w:rPr>
          <w:rFonts w:cstheme="minorHAnsi"/>
          <w:bCs/>
          <w:szCs w:val="72"/>
          <w:lang w:val="sr-Cyrl-RS"/>
        </w:rPr>
        <w:t>Сектор информационо комуникационих технологија континуирано расте уз све значајнију улогу овог сектора, при чему је у првих шест месеци 2024. године остварен снажан реални раст БДВ овог сектора од 6,1% мг. Ово је праћено и повећањем извозне активности ИКТ сектора током 2024. године, при чему је у првих осам месеци извоз овог сектора вредео 2,6 млрд евра, односно међугодишње је повећан за 18,6%, чиме је опредељено нешто више од две петине укупног извоза услужних делатности.</w:t>
      </w:r>
    </w:p>
    <w:p w14:paraId="3460BB07" w14:textId="6E9C22A6" w:rsidR="00BD4500" w:rsidRDefault="00BD4500" w:rsidP="009C0A23">
      <w:pPr>
        <w:rPr>
          <w:rFonts w:cstheme="minorHAnsi"/>
          <w:bCs/>
          <w:szCs w:val="72"/>
          <w:lang w:val="sr-Cyrl-RS"/>
        </w:rPr>
      </w:pPr>
      <w:r w:rsidRPr="00BD4500">
        <w:rPr>
          <w:rFonts w:cstheme="minorHAnsi"/>
          <w:bCs/>
          <w:szCs w:val="72"/>
          <w:lang w:val="sr-Cyrl-RS"/>
        </w:rPr>
        <w:t>Полазећи од текућих трендова у погледу кретања привредне активности, узимајући у обзир донете мере економске политике, ефекте наставка реализације инфраструктурних пројеката додатно подржаних новим инвестиционим циклусом у оквиру програма „Скок у будућност – Србија 2027”, уз уважавање економских изгледа најважнијих спољнотрговинских партнера, Министарство финансија очекује раст БДП у 2024. години од 3,8%</w:t>
      </w:r>
      <w:r w:rsidR="000A518D">
        <w:rPr>
          <w:rFonts w:cstheme="minorHAnsi"/>
          <w:bCs/>
          <w:szCs w:val="72"/>
          <w:lang w:val="sr-Cyrl-RS"/>
        </w:rPr>
        <w:t>, што је непромењено у односу на претходна очекивања.</w:t>
      </w:r>
    </w:p>
    <w:p w14:paraId="04690142" w14:textId="39BA730E" w:rsidR="00C21260" w:rsidRPr="00EC3436" w:rsidRDefault="0015261E" w:rsidP="00EC3436">
      <w:pPr>
        <w:rPr>
          <w:rFonts w:cs="Times New Roman"/>
          <w:color w:val="FF0000"/>
          <w:szCs w:val="24"/>
          <w:lang w:val="sr-Cyrl-RS"/>
        </w:rPr>
      </w:pPr>
      <w:r w:rsidRPr="00652D12">
        <w:rPr>
          <w:b/>
          <w:lang w:val="sr-Cyrl-RS"/>
        </w:rPr>
        <w:t>Тржиште рада.</w:t>
      </w:r>
      <w:r w:rsidR="00C21260">
        <w:rPr>
          <w:lang w:val="sr-Cyrl-RS"/>
        </w:rPr>
        <w:t xml:space="preserve"> </w:t>
      </w:r>
      <w:r w:rsidR="00C21260" w:rsidRPr="00C21260">
        <w:rPr>
          <w:lang w:val="sr-Cyrl-RS"/>
        </w:rPr>
        <w:t>Тржиште рада у Србији бележи позитивне промене, које су резултат континуираних напора на унапређењу економских политика и стварању повољног пословног окружења. У последњих неколико година, стопа запослености је у сталном порасту, док се стопа незапослености смањује, што указује на све веће могућности за запошљавање и професионални развој становништва.</w:t>
      </w:r>
      <w:r w:rsidR="00C21260">
        <w:rPr>
          <w:lang w:val="sr-Cyrl-RS"/>
        </w:rPr>
        <w:t xml:space="preserve"> </w:t>
      </w:r>
      <w:r w:rsidR="00C21260" w:rsidRPr="00C21260">
        <w:rPr>
          <w:lang w:val="sr-Cyrl-RS"/>
        </w:rPr>
        <w:t>Према подацима Централног регистра обавезног социјалног осигурања (ЦРОСО), у периоду јануар-</w:t>
      </w:r>
      <w:r w:rsidR="00521287">
        <w:rPr>
          <w:lang w:val="sr-Cyrl-RS"/>
        </w:rPr>
        <w:t>септембар</w:t>
      </w:r>
      <w:r w:rsidR="00C21260" w:rsidRPr="00C21260">
        <w:rPr>
          <w:lang w:val="sr-Cyrl-RS"/>
        </w:rPr>
        <w:t xml:space="preserve"> 2024. године просечан број запослених био је већи за 0,</w:t>
      </w:r>
      <w:r w:rsidR="00521287">
        <w:rPr>
          <w:lang w:val="sr-Cyrl-RS"/>
        </w:rPr>
        <w:t>5</w:t>
      </w:r>
      <w:r w:rsidR="00C21260" w:rsidRPr="00C21260">
        <w:rPr>
          <w:lang w:val="sr-Cyrl-RS"/>
        </w:rPr>
        <w:t xml:space="preserve">% у поређењу са истим периодом претходне године, чему је пре свега допринео раст запослености у приватном сектору од </w:t>
      </w:r>
      <w:r w:rsidR="00521287">
        <w:rPr>
          <w:lang w:val="sr-Cyrl-RS"/>
        </w:rPr>
        <w:t>9,5</w:t>
      </w:r>
      <w:r w:rsidR="00C21260" w:rsidRPr="00C21260">
        <w:rPr>
          <w:lang w:val="sr-Cyrl-RS"/>
        </w:rPr>
        <w:t xml:space="preserve"> хиљада лица, док је у јавном сектору раст износио 2,</w:t>
      </w:r>
      <w:r w:rsidR="00521287">
        <w:rPr>
          <w:lang w:val="sr-Cyrl-RS"/>
        </w:rPr>
        <w:t>4</w:t>
      </w:r>
      <w:r w:rsidR="00C21260" w:rsidRPr="00C21260">
        <w:rPr>
          <w:lang w:val="sr-Cyrl-RS"/>
        </w:rPr>
        <w:t xml:space="preserve"> хиљада лица. У овом периоду, најснажнији секторски допринос расту запослености долази од здравства и научно-техничких делатности, а позитиван допринос дали су и сектори ИКТ</w:t>
      </w:r>
      <w:r w:rsidR="00521287">
        <w:rPr>
          <w:lang w:val="sr-Cyrl-RS"/>
        </w:rPr>
        <w:t>, туризма,</w:t>
      </w:r>
      <w:r w:rsidR="00C21260" w:rsidRPr="00C21260">
        <w:rPr>
          <w:lang w:val="sr-Cyrl-RS"/>
        </w:rPr>
        <w:t xml:space="preserve"> грађевинарства</w:t>
      </w:r>
      <w:r w:rsidR="00521287">
        <w:rPr>
          <w:lang w:val="sr-Cyrl-RS"/>
        </w:rPr>
        <w:t xml:space="preserve"> и забаве и рекреације</w:t>
      </w:r>
      <w:r w:rsidR="00C21260" w:rsidRPr="00C21260">
        <w:rPr>
          <w:lang w:val="sr-Cyrl-RS"/>
        </w:rPr>
        <w:t>. Према подацима Националне службе за запошљавање, у истом периоду, број лица која активно траже запослење смањен је за 8,4%.</w:t>
      </w:r>
      <w:r w:rsidR="00C21260">
        <w:rPr>
          <w:lang w:val="sr-Cyrl-RS"/>
        </w:rPr>
        <w:t xml:space="preserve"> </w:t>
      </w:r>
      <w:r w:rsidR="00C21260" w:rsidRPr="00C21260">
        <w:rPr>
          <w:lang w:val="sr-Cyrl-RS"/>
        </w:rPr>
        <w:t xml:space="preserve">Према подацима Анкете о радној снази, у првом кварталу 2024. године, повећана је стопа запослености за 1,4 п.п, на 50,9% у поређењу са истим периодом претходне године, док је стопа незапослености смањена за 0,6 п.п. на 9,4%. Истовремено, повећан је број запосленог становништва (15 и више година) за 2,1%, уз смањење незапосленог дела становништва за 4,8%. Добра кретања настављена су и у другом кварталу 2024. године, будући да је број запослених лица био повећан за 48.400, мг, и износио је 2.899.700, док је број незапослених смањен за 44.800 на 257.800. Стопа запослености износила је 51,4%, што представља пораст од 1,1 процентних поена у односу на исти период претходне године. Овај раст запослености указује на позитивне трендове у запошљавању, што је резултат континуираних напора на унапређењу пословног окружења и привлачењу инвестиција. Нарочито значајно је да се пораст запослености у целини заснива на расту формалне запослености, која је кључна за економски раст и стабилност, јер ствара радна места која доприносе пореским приходима и пружа социјалну сигурност. Стопа незапослености смањена је на 8,2%, што је пад од 1,4 процентних поена у односу на исти период претходне године. Овај пад стопе незапослености показује да се тржиште рада стабилизује и да се отварају нове могућности за запошљавање. Такође, број становника ван радне снаге смањен је за 30.300, што додатно потврђује позитивне промене на тржишту рада. Неформална запосленост, која је често индикатор несигурних радних места, такође бележи смањење од 8.100. Стопа неформалне запослености износила је 11,8%, што је смањење од 0,5 п.п. </w:t>
      </w:r>
      <w:r w:rsidR="00C21260" w:rsidRPr="00C21260">
        <w:rPr>
          <w:lang w:val="sr-Cyrl-RS"/>
        </w:rPr>
        <w:lastRenderedPageBreak/>
        <w:t xml:space="preserve">у односу на исти период претходне године. Посебно је значајно смањење неформалне запослености ван пољопривреде, која је пала на 5,9%. Стопа незапослености младог становништва је у овом периоду </w:t>
      </w:r>
      <w:r w:rsidR="00C21260" w:rsidRPr="008B38E4">
        <w:rPr>
          <w:lang w:val="sr-Cyrl-RS"/>
        </w:rPr>
        <w:t>смањена за 4,2 п.п, на 20,2%.</w:t>
      </w:r>
      <w:r w:rsidR="00C21260" w:rsidRPr="008B38E4">
        <w:t xml:space="preserve"> </w:t>
      </w:r>
      <w:r w:rsidR="00C21260" w:rsidRPr="008B38E4">
        <w:rPr>
          <w:lang w:val="sr-Cyrl-RS"/>
        </w:rPr>
        <w:t>На основу података Републичког завода за статистику у периоду јануар-</w:t>
      </w:r>
      <w:r w:rsidR="008B38E4" w:rsidRPr="008B38E4">
        <w:rPr>
          <w:lang w:val="sr-Cyrl-RS"/>
        </w:rPr>
        <w:t>септембар</w:t>
      </w:r>
      <w:r w:rsidR="00C21260" w:rsidRPr="008B38E4">
        <w:rPr>
          <w:lang w:val="sr-Cyrl-RS"/>
        </w:rPr>
        <w:t xml:space="preserve"> 2024. године, просечна нето зарада износила је 96.</w:t>
      </w:r>
      <w:r w:rsidR="008B38E4" w:rsidRPr="008B38E4">
        <w:rPr>
          <w:lang w:val="sr-Cyrl-RS"/>
        </w:rPr>
        <w:t>675</w:t>
      </w:r>
      <w:r w:rsidR="00C21260" w:rsidRPr="008B38E4">
        <w:rPr>
          <w:lang w:val="sr-Cyrl-RS"/>
        </w:rPr>
        <w:t xml:space="preserve"> динара. У поређењу са истим периодом претходне године, просечна нето зарада номинално је већа за 1</w:t>
      </w:r>
      <w:r w:rsidR="00EE3801" w:rsidRPr="008B38E4">
        <w:rPr>
          <w:lang w:val="sr-Cyrl-RS"/>
        </w:rPr>
        <w:t>4,</w:t>
      </w:r>
      <w:r w:rsidR="008B38E4" w:rsidRPr="008B38E4">
        <w:rPr>
          <w:lang w:val="sr-Cyrl-RS"/>
        </w:rPr>
        <w:t>5</w:t>
      </w:r>
      <w:r w:rsidR="00C21260" w:rsidRPr="008B38E4">
        <w:rPr>
          <w:lang w:val="sr-Cyrl-RS"/>
        </w:rPr>
        <w:t>%, док је реално повећање износило 9,</w:t>
      </w:r>
      <w:r w:rsidR="008B38E4" w:rsidRPr="008B38E4">
        <w:rPr>
          <w:lang w:val="sr-Cyrl-RS"/>
        </w:rPr>
        <w:t>3</w:t>
      </w:r>
      <w:r w:rsidR="00C21260" w:rsidRPr="008B38E4">
        <w:rPr>
          <w:lang w:val="sr-Cyrl-RS"/>
        </w:rPr>
        <w:t>%. Висок раст реалних зарада резултат је позитивних економских кретања и повећања продуктивности у различитим секторима привреде, као и значајног успоравања инфлације. Реални раст зарада у приватном сектору је износио 9,</w:t>
      </w:r>
      <w:r w:rsidR="00EE3801" w:rsidRPr="008B38E4">
        <w:rPr>
          <w:lang w:val="sr-Cyrl-RS"/>
        </w:rPr>
        <w:t>2</w:t>
      </w:r>
      <w:r w:rsidR="00C21260" w:rsidRPr="008B38E4">
        <w:rPr>
          <w:lang w:val="sr-Cyrl-RS"/>
        </w:rPr>
        <w:t>% и био је вођен, пре свега повећањем зарада у прерађивачкој индустрији и трговини. Истовремено, забележено је и реално повећање зарада у јавном сектору од 9,</w:t>
      </w:r>
      <w:r w:rsidR="008B38E4" w:rsidRPr="008B38E4">
        <w:rPr>
          <w:lang w:val="sr-Cyrl-RS"/>
        </w:rPr>
        <w:t>3</w:t>
      </w:r>
      <w:r w:rsidR="00C21260" w:rsidRPr="008B38E4">
        <w:rPr>
          <w:lang w:val="sr-Cyrl-RS"/>
        </w:rPr>
        <w:t xml:space="preserve">%, на шта је утицала одлука Владе о </w:t>
      </w:r>
      <w:r w:rsidR="00C21260" w:rsidRPr="00EC3436">
        <w:rPr>
          <w:rFonts w:cs="Times New Roman"/>
          <w:szCs w:val="24"/>
          <w:lang w:val="sr-Cyrl-RS"/>
        </w:rPr>
        <w:t>повећању зарада од 10% од јануара 2024. године, али и одлука о повећању зарада просветним и делу здравствених радника од 5,5% од октобра 2023. године.</w:t>
      </w:r>
    </w:p>
    <w:p w14:paraId="480F6213" w14:textId="77777777" w:rsidR="001D58B7" w:rsidRPr="00EC3436" w:rsidRDefault="001D58B7" w:rsidP="00EC3436">
      <w:pPr>
        <w:rPr>
          <w:rFonts w:cs="Times New Roman"/>
          <w:szCs w:val="24"/>
          <w:lang w:val="sr-Cyrl-RS"/>
        </w:rPr>
      </w:pPr>
      <w:r w:rsidRPr="00EC3436">
        <w:rPr>
          <w:rFonts w:cs="Times New Roman"/>
          <w:b/>
          <w:i/>
          <w:szCs w:val="24"/>
          <w:lang w:val="sr-Cyrl-RS"/>
        </w:rPr>
        <w:t xml:space="preserve">Екстерни сектор. </w:t>
      </w:r>
      <w:r w:rsidRPr="00EC3436">
        <w:rPr>
          <w:rFonts w:cs="Times New Roman"/>
          <w:bCs/>
          <w:iCs/>
          <w:szCs w:val="24"/>
          <w:lang w:val="sr-Cyrl-RS"/>
        </w:rPr>
        <w:t>Након готово рекордно ниског дефицита текућег рачуна, од 1,8 млрд евра у 2023. години (2,4% БДП-а), што је било резултат смањења робног дефицита по основу нижег увоза енергената и исказане отпорности извоза на</w:t>
      </w:r>
      <w:r w:rsidRPr="00EC3436">
        <w:rPr>
          <w:rFonts w:cs="Times New Roman"/>
          <w:b/>
          <w:i/>
          <w:szCs w:val="24"/>
          <w:lang w:val="sr-Cyrl-RS"/>
        </w:rPr>
        <w:t xml:space="preserve"> </w:t>
      </w:r>
      <w:r w:rsidRPr="00EC3436">
        <w:rPr>
          <w:rFonts w:cs="Times New Roman"/>
          <w:bCs/>
          <w:iCs/>
          <w:szCs w:val="24"/>
          <w:lang w:val="sr-Cyrl-RS"/>
        </w:rPr>
        <w:t>смањену екстерну тражњу, т</w:t>
      </w:r>
      <w:r w:rsidRPr="00EC3436">
        <w:rPr>
          <w:rFonts w:cs="Times New Roman"/>
          <w:szCs w:val="24"/>
          <w:lang w:val="sr-Cyrl-RS"/>
        </w:rPr>
        <w:t>оком девет месеци 202</w:t>
      </w:r>
      <w:r w:rsidRPr="00EC3436">
        <w:rPr>
          <w:rFonts w:cs="Times New Roman"/>
          <w:szCs w:val="24"/>
          <w:lang w:val="sr-Latn-RS"/>
        </w:rPr>
        <w:t>4</w:t>
      </w:r>
      <w:r w:rsidRPr="00EC3436">
        <w:rPr>
          <w:rFonts w:cs="Times New Roman"/>
          <w:szCs w:val="24"/>
          <w:lang w:val="sr-Cyrl-RS"/>
        </w:rPr>
        <w:t xml:space="preserve">, у условима раста инвестиција и личне потрошње, дефицит текућег рачуна платног биланса је очекивано повећан и износио је </w:t>
      </w:r>
      <w:r w:rsidRPr="00EC3436">
        <w:rPr>
          <w:rFonts w:cs="Times New Roman"/>
          <w:szCs w:val="24"/>
          <w:lang w:val="sr-Latn-RS"/>
        </w:rPr>
        <w:t>3,3</w:t>
      </w:r>
      <w:r w:rsidRPr="00EC3436">
        <w:rPr>
          <w:rFonts w:cs="Times New Roman"/>
          <w:szCs w:val="24"/>
          <w:lang w:val="sr-Cyrl-RS"/>
        </w:rPr>
        <w:t xml:space="preserve"> млрд евра. У поређењу са истим периодом претходне године, робни дефицит је повећан за 1.041,4 млн евра, а дефицит примарног дохотка за 665,5 млн евра, док су суфицит услуга и суфицит секундрног дохотка снижени за 426,3 млн евра и 401,5 млн евра, респективно. Дефицит текућег рачуна је готово у пуној мери (97,8%) био покривен нето приливима по основу страних директних инвестиција. </w:t>
      </w:r>
    </w:p>
    <w:p w14:paraId="1132579C" w14:textId="77777777" w:rsidR="001D58B7" w:rsidRPr="00EC3436" w:rsidRDefault="001D58B7" w:rsidP="00EC3436">
      <w:pPr>
        <w:rPr>
          <w:rFonts w:cs="Times New Roman"/>
          <w:szCs w:val="24"/>
          <w:lang w:val="sr-Cyrl-RS"/>
        </w:rPr>
      </w:pPr>
      <w:r w:rsidRPr="00EC3436">
        <w:rPr>
          <w:rFonts w:cs="Times New Roman"/>
          <w:szCs w:val="24"/>
          <w:lang w:val="sr-Cyrl-RS"/>
        </w:rPr>
        <w:t>Упркос успоравању екстерне тражње, извоз робе наставио је да остварује позитивне стопе раста у 2024. години, пре свега захваљујући инвестицијама у разменљиве секторе из претходног периода. Робни извоз је током девет месеци 2024. износио 21,3 млрд евра и забележио је раст од 1,5% мг.</w:t>
      </w:r>
      <w:r w:rsidRPr="00EC3436">
        <w:rPr>
          <w:rFonts w:cs="Times New Roman"/>
          <w:szCs w:val="24"/>
          <w:vertAlign w:val="superscript"/>
          <w:lang w:val="sr-Cyrl-RS"/>
        </w:rPr>
        <w:footnoteReference w:id="1"/>
      </w:r>
      <w:r w:rsidRPr="00EC3436">
        <w:rPr>
          <w:rFonts w:cs="Times New Roman"/>
          <w:szCs w:val="24"/>
          <w:lang w:val="sr-Cyrl-RS"/>
        </w:rPr>
        <w:t>, а највећи допринос је потекао од раста извоза прерађивачке индустрије (2,9% мг., допринос 2,5 п.п.), уз остварени раст извоза у половини грана, затим од пољопривредне производње, лова и услужних делатности (43,0% мг., допринос 1,3 п.п.) и рударства (6,6% мг, допринос 0,3 п.п.). Посматрано по тржиштима, н</w:t>
      </w:r>
      <w:r w:rsidRPr="00EC3436">
        <w:rPr>
          <w:rFonts w:cs="Times New Roman"/>
          <w:szCs w:val="24"/>
        </w:rPr>
        <w:t xml:space="preserve">ајвећи део </w:t>
      </w:r>
      <w:r w:rsidRPr="00EC3436">
        <w:rPr>
          <w:rFonts w:cs="Times New Roman"/>
          <w:szCs w:val="24"/>
          <w:lang w:val="sr-Cyrl-RS"/>
        </w:rPr>
        <w:t xml:space="preserve">робног </w:t>
      </w:r>
      <w:r w:rsidRPr="00EC3436">
        <w:rPr>
          <w:rFonts w:cs="Times New Roman"/>
          <w:szCs w:val="24"/>
        </w:rPr>
        <w:t xml:space="preserve">извоза у овом периоду пласиран је на тржиште ЕУ (61,6%), на тржиште ЦЕФТА </w:t>
      </w:r>
      <w:r w:rsidRPr="00EC3436">
        <w:rPr>
          <w:rFonts w:cs="Times New Roman"/>
          <w:szCs w:val="24"/>
          <w:lang w:val="sr-Cyrl-RS"/>
        </w:rPr>
        <w:t xml:space="preserve">односи се </w:t>
      </w:r>
      <w:r w:rsidRPr="00EC3436">
        <w:rPr>
          <w:rFonts w:cs="Times New Roman"/>
          <w:szCs w:val="24"/>
        </w:rPr>
        <w:t>15,3%</w:t>
      </w:r>
      <w:r w:rsidRPr="00EC3436">
        <w:rPr>
          <w:rFonts w:cs="Times New Roman"/>
          <w:szCs w:val="24"/>
          <w:lang w:val="sr-Cyrl-RS"/>
        </w:rPr>
        <w:t>, а на</w:t>
      </w:r>
      <w:r w:rsidRPr="00EC3436">
        <w:rPr>
          <w:rFonts w:cs="Times New Roman"/>
          <w:szCs w:val="24"/>
        </w:rPr>
        <w:t xml:space="preserve"> земљ</w:t>
      </w:r>
      <w:r w:rsidRPr="00EC3436">
        <w:rPr>
          <w:rFonts w:cs="Times New Roman"/>
          <w:szCs w:val="24"/>
          <w:lang w:val="sr-Cyrl-RS"/>
        </w:rPr>
        <w:t>е</w:t>
      </w:r>
      <w:r w:rsidRPr="00EC3436">
        <w:rPr>
          <w:rFonts w:cs="Times New Roman"/>
          <w:szCs w:val="24"/>
        </w:rPr>
        <w:t xml:space="preserve"> евроазијске уније</w:t>
      </w:r>
      <w:r w:rsidRPr="00EC3436">
        <w:rPr>
          <w:rFonts w:cs="Times New Roman"/>
          <w:szCs w:val="24"/>
          <w:lang w:val="sr-Cyrl-RS"/>
        </w:rPr>
        <w:t xml:space="preserve"> 4,2%.</w:t>
      </w:r>
      <w:r w:rsidRPr="00EC3436">
        <w:rPr>
          <w:rFonts w:cs="Times New Roman"/>
          <w:szCs w:val="24"/>
        </w:rPr>
        <w:t xml:space="preserve"> </w:t>
      </w:r>
      <w:r w:rsidRPr="00EC3436">
        <w:rPr>
          <w:rFonts w:cs="Times New Roman"/>
          <w:szCs w:val="24"/>
          <w:lang w:val="sr-Cyrl-RS"/>
        </w:rPr>
        <w:t>Носиоци извозне активности, посматрано по областима, биле су: производња основних метала (2,6 п.п.), пољопривредна производња, лов и услужне делатности (1,3 п.п.), произвоња осталих саобраћајних средстава (0,9 п.п.), производња рачунара, електронских и оптичких производа (0,5 п.п.), као и производња металних производа осим машина (0,4 п.п.). Пад извоза је забележен код снадбевања електричном енергијом, гасом и паром (–2,8 п.п.), делом као последица изузетно високе базе, а делом услед смањеног хидропотенцијала у условима суше, а затим код производње разних машина и опреме (–0,9 п.п.) и производње електричне опреме (–0,7 п.п.).</w:t>
      </w:r>
    </w:p>
    <w:p w14:paraId="5357B3F1" w14:textId="77777777" w:rsidR="001D58B7" w:rsidRPr="00EC3436" w:rsidRDefault="001D58B7" w:rsidP="00EC3436">
      <w:pPr>
        <w:rPr>
          <w:rFonts w:cs="Times New Roman"/>
          <w:szCs w:val="24"/>
          <w:lang w:val="sr-Cyrl-RS"/>
        </w:rPr>
      </w:pPr>
      <w:r w:rsidRPr="00EC3436">
        <w:rPr>
          <w:rFonts w:cs="Times New Roman"/>
          <w:szCs w:val="24"/>
          <w:lang w:val="sr-Cyrl-RS"/>
        </w:rPr>
        <w:t xml:space="preserve">Увоз робе је током девет месеци 2024. износио 26,8 млрд евра и повећан је за 5,3% мг. Највећи допринос расту увоза је, поред некласификоване робе, потекао од раста увоза металних производа осим машина (1,3 п.п.), осталих саобраћајних средстава (1,0 п.п.), кокса и деривата нафте (0,9 п.п.), руда метала (0,5 п.п.) и моторних возила и приколица </w:t>
      </w:r>
      <w:r w:rsidRPr="00EC3436">
        <w:rPr>
          <w:rFonts w:cs="Times New Roman"/>
          <w:szCs w:val="24"/>
          <w:lang w:val="sr-Cyrl-RS"/>
        </w:rPr>
        <w:lastRenderedPageBreak/>
        <w:t>(0,5 п.п.). Пад увоза је забележен код сирове нафте и природног гаса (–1,8 п.п.), електричне енергије (–0,7 п.п.) и експлоатације угља (–0,5 п.п.).</w:t>
      </w:r>
    </w:p>
    <w:p w14:paraId="669F0E33" w14:textId="77777777" w:rsidR="001D58B7" w:rsidRPr="00EC3436" w:rsidRDefault="001D58B7" w:rsidP="00EC3436">
      <w:pPr>
        <w:rPr>
          <w:rFonts w:cs="Times New Roman"/>
          <w:szCs w:val="24"/>
          <w:lang w:val="sr-Latn-RS"/>
        </w:rPr>
      </w:pPr>
      <w:r w:rsidRPr="00EC3436">
        <w:rPr>
          <w:rFonts w:cs="Times New Roman"/>
          <w:szCs w:val="24"/>
          <w:lang w:val="sr-Cyrl-RS"/>
        </w:rPr>
        <w:t>Извоз услуга је порастао за 10,4% у односу на исти период претходне године, углавном као резултат већег извоза ИКТ услуга (4,9 п.п.), осталих пословних услуга (2,7 п.п.) и туризма (2,2 п.п.). Истовремено, расту увоза услуга од 19,5% мг., највећи допринос је дао раст увоза туризма (7,5 п.п.) и осталих пословних услуга (3,6 п.п.) и права интелектуалне својине (3,0 п.п.).</w:t>
      </w:r>
      <w:r w:rsidRPr="00EC3436">
        <w:rPr>
          <w:rFonts w:cs="Times New Roman"/>
          <w:szCs w:val="24"/>
          <w:lang w:val="sr-Latn-RS"/>
        </w:rPr>
        <w:t xml:space="preserve"> </w:t>
      </w:r>
      <w:r w:rsidRPr="00EC3436">
        <w:rPr>
          <w:rFonts w:cs="Times New Roman"/>
          <w:szCs w:val="24"/>
          <w:lang w:val="sr-Cyrl-RS"/>
        </w:rPr>
        <w:t>Рачун услуга је традиционално у суфициту, који је у току девет месеци 2024. године смањен за 19,2% мг., а на то се највише одразио повећан нето увоз туризма, права интелектуалне својине и услуга саобраћаја, док су у супротном смеру деловале ИКТ услуге.</w:t>
      </w:r>
    </w:p>
    <w:p w14:paraId="7EF098B5" w14:textId="77777777" w:rsidR="001D58B7" w:rsidRPr="00EC3436" w:rsidRDefault="001D58B7" w:rsidP="00EC3436">
      <w:pPr>
        <w:rPr>
          <w:rFonts w:cs="Times New Roman"/>
          <w:szCs w:val="24"/>
          <w:lang w:val="sr-Cyrl-RS"/>
        </w:rPr>
      </w:pPr>
      <w:r w:rsidRPr="00EC3436">
        <w:rPr>
          <w:rFonts w:cs="Times New Roman"/>
          <w:szCs w:val="24"/>
          <w:lang w:val="sr-Cyrl-RS"/>
        </w:rPr>
        <w:t>Посматрано по појединим земљама, око 71% трговине услугама одвија се са 15 земаља, од којих су седам чланице ЕУ (Немачка, Холандија, Аустрија, Ирска, Хрватска, Словенија, Италија), две су чланице ЦЕФТА (Босна и Херцеговина и Црна Гора) и једна је чланица ЕФТА (Швајцарска). Значајна размена услуга одвија се још са САД, Уједињеним Краљевством, Руском Федерацијом, Уједињеним Арапским Емиратима и Турском.</w:t>
      </w:r>
    </w:p>
    <w:p w14:paraId="6F1F6451" w14:textId="77777777" w:rsidR="001D58B7" w:rsidRPr="00EC3436" w:rsidRDefault="001D58B7" w:rsidP="00EC3436">
      <w:pPr>
        <w:rPr>
          <w:rFonts w:cs="Times New Roman"/>
          <w:szCs w:val="24"/>
          <w:lang w:val="sr-Cyrl-RS"/>
        </w:rPr>
      </w:pPr>
      <w:r w:rsidRPr="00EC3436">
        <w:rPr>
          <w:rFonts w:cs="Times New Roman"/>
          <w:szCs w:val="24"/>
          <w:lang w:val="sr-Cyrl-RS"/>
        </w:rPr>
        <w:t xml:space="preserve">Дефицит на рачуну примарног дохотка је повећан за 23,7% мг., пре свега услед већих одлива по основу дохотка од директних инвестиција (за 29,3% мг.), а до смањења суфицита секундарног дохотка (9,2% мг.) дошло је због смањења прилива по основу званичне помоћи Влади (–29,8% мг.), а делом и мањих нето прилива по основу дознака (–4,8% мг). Током девет месеци 2024. прилив дознака је износио 3,8 млрд евра и био је мањи за 163,1 млн евра у односу на исти период 2023. године. Највећи приливи дознака забележени су из Немачке (26%), Швајцарске (13%), Аустрије (9%), Француске (6%), Хрватске (6%), односно из земаља из којих традиционално стиже највећи део дознака у Србију. </w:t>
      </w:r>
    </w:p>
    <w:p w14:paraId="22586E57" w14:textId="77777777" w:rsidR="001D58B7" w:rsidRPr="00EC3436" w:rsidRDefault="001D58B7" w:rsidP="00EC3436">
      <w:pPr>
        <w:pStyle w:val="Glavnitekst"/>
        <w:spacing w:after="120" w:line="240" w:lineRule="auto"/>
        <w:rPr>
          <w:rFonts w:eastAsia="Calibri"/>
          <w:sz w:val="24"/>
          <w:szCs w:val="24"/>
          <w:lang w:val="sr-Cyrl-RS"/>
        </w:rPr>
      </w:pPr>
      <w:r w:rsidRPr="00EC3436">
        <w:rPr>
          <w:rFonts w:eastAsia="Calibri"/>
          <w:sz w:val="24"/>
          <w:szCs w:val="24"/>
          <w:lang w:val="sr-Cyrl-RS"/>
        </w:rPr>
        <w:t>На рачуну финансијских трансакција (без промене девизних резерви) у периоду јануар–септембар 2024. забележен је нето прилив од 5,3 млрд евра. Нето прилив по основу страних директних инвестиција је у посматраном периоду износио 3,2 млрд евра. Прилив у Србију је износио 3,6 млрд евра, што је повећање од 399,5 млн евра у односу на девет месеци 2023. године. Прилив по овом основу је остао пројектно диверсификован, а посматрано по делатностима, највише је уложено у грађевинарство (28,9%), рударство (25,1%) и прерађивачку индустрију (11,8%). Посматрано по земљама, на основу података за П1 2024, највећи део прилива страних директних инвестиција наставља да долази из европских земаља (64,6%, из ЕУ 43,4% ) и азијских земаља (32,1%).</w:t>
      </w:r>
    </w:p>
    <w:p w14:paraId="358DBD46" w14:textId="77777777" w:rsidR="001D58B7" w:rsidRPr="00EC3436" w:rsidRDefault="001D58B7" w:rsidP="00EC3436">
      <w:pPr>
        <w:pStyle w:val="Glavnitekst"/>
        <w:spacing w:after="120" w:line="240" w:lineRule="auto"/>
        <w:rPr>
          <w:rFonts w:eastAsia="Calibri"/>
          <w:sz w:val="24"/>
          <w:szCs w:val="24"/>
          <w:lang w:val="sr-Cyrl-RS"/>
        </w:rPr>
      </w:pPr>
      <w:r w:rsidRPr="00EC3436">
        <w:rPr>
          <w:rFonts w:eastAsia="Calibri"/>
          <w:sz w:val="24"/>
          <w:szCs w:val="24"/>
          <w:lang w:val="sr-Cyrl-RS"/>
        </w:rPr>
        <w:t xml:space="preserve">По основу портфолио инвестиција у периоду јануар-септембар 2024. забележен је нето прилив од 91,3 млн евра. По основу улагања нерезидената у еврообвезнице забележен је нето прилив у износу од 824,1 млн евра. Само у јуну 2024. године остварен је нето прилив по основу портфолио инвестиција од 1,1 млрд евра, будући да је Србија успешно реализовала емисију одрживих еврообвезница деноминованих у америчким доларима на међународном финансијском тржишту. Издате су еврообвезнице рочности од десет година у укупном износу од 1,5 млрд долара, уз купонску стопу од 6,00% и тражњу инвеститора која је премашила 6,5 милијарди евра. Поред тога, на домаћем примарном тржишту нерезиденти су улагали у динарске државне обвезнице у вредности од 463,1 млн евра, док је по основу доспећа државних ХоВ и продаје на секундарном тржишту забележен нето одлив од 378,3 млн евра. С друге стране, по основу улагања резидената на међународном тржишту, остварен је одлив у износу од 815,4 млн евра, који се највише односи на улагање у иностране дужничке ХоВ. </w:t>
      </w:r>
    </w:p>
    <w:p w14:paraId="19A2ECB7" w14:textId="77777777" w:rsidR="001D58B7" w:rsidRPr="00EC3436" w:rsidRDefault="001D58B7" w:rsidP="00EC3436">
      <w:pPr>
        <w:pStyle w:val="Glavnitekst"/>
        <w:spacing w:after="120" w:line="240" w:lineRule="auto"/>
        <w:rPr>
          <w:rFonts w:eastAsia="Calibri"/>
          <w:sz w:val="24"/>
          <w:szCs w:val="24"/>
          <w:lang w:val="sr-Cyrl-RS"/>
        </w:rPr>
      </w:pPr>
      <w:r w:rsidRPr="00EC3436">
        <w:rPr>
          <w:rFonts w:eastAsia="Calibri"/>
          <w:sz w:val="24"/>
          <w:szCs w:val="24"/>
          <w:lang w:val="sr-Cyrl-RS"/>
        </w:rPr>
        <w:lastRenderedPageBreak/>
        <w:t>Девизне резерве Народне банке Србије (без међувалутних промена и промена цена активе) у овом периоду повећане су за 2,5 млрд евра и остале су значајно изнад нивоа који се процењује да обезбеђује адекватну заштиту од екстерних потреса. Стање девизних резерви на крају септембра износило је 28,3 млрд евра, што је највиши ниво до сада, чиме су покривале преко седам месеци увоза робе и услуга, 183,4% новчане масе М1 и око 347% дуга</w:t>
      </w:r>
      <w:r w:rsidRPr="00EC3436">
        <w:rPr>
          <w:rFonts w:eastAsia="Calibri"/>
          <w:sz w:val="24"/>
          <w:szCs w:val="24"/>
          <w:vertAlign w:val="superscript"/>
          <w:lang w:val="sr-Cyrl-RS"/>
        </w:rPr>
        <w:footnoteReference w:id="2"/>
      </w:r>
      <w:r w:rsidRPr="00EC3436">
        <w:rPr>
          <w:rFonts w:eastAsia="Calibri"/>
          <w:sz w:val="24"/>
          <w:szCs w:val="24"/>
          <w:lang w:val="sr-Cyrl-RS"/>
        </w:rPr>
        <w:t xml:space="preserve"> који доспева у наредној години дана. </w:t>
      </w:r>
    </w:p>
    <w:p w14:paraId="1A5FEA7F" w14:textId="77777777" w:rsidR="001D58B7" w:rsidRPr="00EC3436" w:rsidRDefault="001D58B7" w:rsidP="00EC3436">
      <w:pPr>
        <w:pStyle w:val="Glavnitekst"/>
        <w:spacing w:after="120" w:line="240" w:lineRule="auto"/>
        <w:rPr>
          <w:rFonts w:eastAsia="Calibri"/>
          <w:sz w:val="24"/>
          <w:szCs w:val="24"/>
          <w:lang w:val="sr-Cyrl-RS"/>
        </w:rPr>
      </w:pPr>
      <w:r w:rsidRPr="00EC3436">
        <w:rPr>
          <w:rFonts w:eastAsia="Calibri"/>
          <w:sz w:val="24"/>
          <w:szCs w:val="24"/>
          <w:lang w:val="sr-Cyrl-RS"/>
        </w:rPr>
        <w:t>На нивоу године пројектује са да ће дефицит текућег рачуна износити 3,9 млрд евра или 4,7% БДП-а, уз задржавање динамике бржег раста увоза робе и услуга (8,2%) од извоза (5,8%), услед убрзања фиксних инвестиција и последично већег увоза опреме и репроматеријала, уз наставак стабилног раста увоза потрошне робе, који прати и пројектовани раст приватне потрошње.</w:t>
      </w:r>
    </w:p>
    <w:p w14:paraId="6CB3BE96" w14:textId="77777777" w:rsidR="001D58B7" w:rsidRPr="00EC3436" w:rsidRDefault="001D58B7" w:rsidP="00EC3436">
      <w:pPr>
        <w:rPr>
          <w:rFonts w:cs="Times New Roman"/>
          <w:szCs w:val="24"/>
          <w:lang w:val="sr-Latn-RS"/>
        </w:rPr>
      </w:pPr>
      <w:r w:rsidRPr="00EC3436">
        <w:rPr>
          <w:rFonts w:cs="Times New Roman"/>
          <w:b/>
          <w:i/>
          <w:szCs w:val="24"/>
          <w:lang w:val="sr-Cyrl-RS"/>
        </w:rPr>
        <w:t>Девизни курс.</w:t>
      </w:r>
      <w:r w:rsidRPr="00EC3436">
        <w:rPr>
          <w:rFonts w:cs="Times New Roman"/>
          <w:szCs w:val="24"/>
          <w:lang w:val="sr-Cyrl-RS"/>
        </w:rPr>
        <w:t xml:space="preserve"> Током 2024. године и даље преовлађују апрецијацијски притисци на динар. Ради очувања релативне стабилности курса динара према евру, Народна банка Србије је на домаћем девизном тржишту током десет месеци нето купила 1,99 млрд евра, а динар је номинално ојачао према евру за 0,1%. Апрецијацијским притисцима допринели су приливи на финансијском рачуну платног биланса, који су више него у целости покрили дефицит текућег рачуна. Понуда девиза долазила је великим делом од домаћих компанија, али су и други фактори деловали на страни понуде, као што су нето откуп ефективног страног новца банака од овлашћених мењача и физичких лица, као и продужење девизне позиције банака по основу коришћења платних картица и раст</w:t>
      </w:r>
      <w:r w:rsidRPr="00EC3436">
        <w:rPr>
          <w:rFonts w:cs="Times New Roman"/>
          <w:szCs w:val="24"/>
          <w:lang w:val="sr-Latn-RS"/>
        </w:rPr>
        <w:t>a</w:t>
      </w:r>
      <w:r w:rsidRPr="00EC3436">
        <w:rPr>
          <w:rFonts w:cs="Times New Roman"/>
          <w:szCs w:val="24"/>
          <w:lang w:val="sr-Cyrl-RS"/>
        </w:rPr>
        <w:t xml:space="preserve"> нето индексиране имовине банака.</w:t>
      </w:r>
    </w:p>
    <w:p w14:paraId="46A36007" w14:textId="77777777" w:rsidR="001D58B7" w:rsidRPr="00EC3436" w:rsidRDefault="001D58B7" w:rsidP="00CF6476">
      <w:pPr>
        <w:rPr>
          <w:rFonts w:cs="Times New Roman"/>
          <w:szCs w:val="24"/>
          <w:lang w:val="sr-Cyrl-RS"/>
        </w:rPr>
      </w:pPr>
      <w:r w:rsidRPr="00EC3436">
        <w:rPr>
          <w:rFonts w:cs="Times New Roman"/>
          <w:szCs w:val="24"/>
          <w:lang w:val="sr-Cyrl-RS"/>
        </w:rPr>
        <w:t xml:space="preserve">Од почетка 2024. године </w:t>
      </w:r>
      <w:r w:rsidRPr="00EC3436">
        <w:rPr>
          <w:rFonts w:cs="Times New Roman"/>
          <w:b/>
          <w:bCs/>
          <w:i/>
          <w:iCs/>
          <w:szCs w:val="24"/>
          <w:lang w:val="sr-Cyrl-RS"/>
        </w:rPr>
        <w:t>инфлација</w:t>
      </w:r>
      <w:r w:rsidRPr="00EC3436">
        <w:rPr>
          <w:rFonts w:cs="Times New Roman"/>
          <w:szCs w:val="24"/>
          <w:lang w:val="sr-Cyrl-RS"/>
        </w:rPr>
        <w:t xml:space="preserve"> у Србији наставила је да успорава</w:t>
      </w:r>
      <w:r w:rsidRPr="00EC3436">
        <w:rPr>
          <w:rFonts w:cs="Times New Roman"/>
          <w:szCs w:val="24"/>
          <w:lang w:val="sr-Latn-RS"/>
        </w:rPr>
        <w:t xml:space="preserve"> </w:t>
      </w:r>
      <w:r w:rsidRPr="00EC3436">
        <w:rPr>
          <w:rFonts w:cs="Times New Roman"/>
          <w:szCs w:val="24"/>
          <w:lang w:val="sr-Cyrl-RS"/>
        </w:rPr>
        <w:t>и у мају се вратила у границе циља Народне банке Србије (3 ± 1,5%). Након тога, инфлација је наставила да се креће унутар тих граница и у октобру је износила 4,5%. У односу на врхунац из марта 2023. године, смањењу инфлације допринеле су све њене кључне компоненте, а највише цене хране, чији је међугодишњи раст од фебруара ове године константно нижи од укупне инфлације. Снажан пад у истом периоду бележила је и базна инфлација (индекс потрошачких цена по искључењу хране, енергије, алкохола и цигарета), која је у односу на врхунац у марту прошле године преполовљена, као резултат ефеката досадашњег заоштравања монетарних услова, успоравања увозне инфлације и пада инфлационих очекивања. Као и у другим земљама региона, укључујући и зону евра, базна инфлација је виша од укупне инфлације и последњих месеци се креће благо изнад нивоа од 5% међугодишње, вођена вишим ценама услуга.</w:t>
      </w:r>
    </w:p>
    <w:p w14:paraId="04A7B6CD" w14:textId="77777777" w:rsidR="001D58B7" w:rsidRPr="00EC3436" w:rsidRDefault="001D58B7" w:rsidP="00CF6476">
      <w:pPr>
        <w:rPr>
          <w:rFonts w:cs="Times New Roman"/>
          <w:bCs/>
          <w:iCs/>
          <w:szCs w:val="24"/>
          <w:lang w:val="sr-Cyrl-RS"/>
        </w:rPr>
      </w:pPr>
      <w:bookmarkStart w:id="5" w:name="_Hlk88465511"/>
      <w:r w:rsidRPr="00EC3436">
        <w:rPr>
          <w:rFonts w:cs="Times New Roman"/>
          <w:b/>
          <w:i/>
          <w:szCs w:val="24"/>
          <w:lang w:val="sr-Cyrl-RS"/>
        </w:rPr>
        <w:t>Кредитна активност и монетарна кретања.</w:t>
      </w:r>
      <w:r w:rsidRPr="00EC3436">
        <w:rPr>
          <w:rFonts w:cs="Times New Roman"/>
          <w:bCs/>
          <w:iCs/>
          <w:szCs w:val="24"/>
          <w:lang w:val="sr-Cyrl-RS"/>
        </w:rPr>
        <w:t xml:space="preserve"> Током 2024. године укупни домаћи кредити убрзали су мг. раст – на 6,6% у септембру (са 1,0% крајем 2023), захваљујући расту тражње привреде и становништва за кредитима у условима ублажених кредитних стандарда. Расту кредитне активности допринели су и нижи трошкови финансирања, при чему су каматне стопе на динарске кредите и кредите у евро знаку у паду од краја прошле године, услед очекивања тржишта да ће Народна банка Србије и ЕЦБ ускоро започети ублажавање монетарне политике, које је и започето у јуну ове године,</w:t>
      </w:r>
      <w:r w:rsidRPr="00EC3436">
        <w:rPr>
          <w:rFonts w:cs="Times New Roman"/>
          <w:bCs/>
          <w:iCs/>
          <w:szCs w:val="24"/>
          <w:lang w:val="sr-Latn-RS"/>
        </w:rPr>
        <w:t xml:space="preserve"> чиме је додатно подржан пад каматних стопа</w:t>
      </w:r>
      <w:r w:rsidRPr="00EC3436">
        <w:rPr>
          <w:rFonts w:cs="Times New Roman"/>
          <w:bCs/>
          <w:iCs/>
          <w:szCs w:val="24"/>
          <w:lang w:val="sr-Cyrl-RS"/>
        </w:rPr>
        <w:t>. Посматрано по секторима, кредити привреди убрзали су мг. раст на 5,0%, а кредити становништву на 7,8%. Код кредита привреди, негативан утицај на стање кредита, који је претходно потицао од доспећа кредита по гарантним шемама, био је знатно слабији него раније.</w:t>
      </w:r>
    </w:p>
    <w:p w14:paraId="311C8A2D" w14:textId="77777777" w:rsidR="001D58B7" w:rsidRPr="00EC3436" w:rsidRDefault="001D58B7" w:rsidP="00CF6476">
      <w:pPr>
        <w:rPr>
          <w:rFonts w:cs="Times New Roman"/>
          <w:bCs/>
          <w:iCs/>
          <w:szCs w:val="24"/>
          <w:lang w:val="sr-Cyrl-RS"/>
        </w:rPr>
      </w:pPr>
      <w:r w:rsidRPr="00EC3436">
        <w:rPr>
          <w:rFonts w:cs="Times New Roman"/>
          <w:szCs w:val="24"/>
          <w:lang w:val="sr-Cyrl-RS"/>
        </w:rPr>
        <w:t xml:space="preserve">Резултати анкета о кредитној активности коју спроводи Народна банка Србије показују да су банке у 2024. ублажиле стандарде за привреду и становништво, и то претежно за </w:t>
      </w:r>
      <w:r w:rsidRPr="00EC3436">
        <w:rPr>
          <w:rFonts w:cs="Times New Roman"/>
          <w:szCs w:val="24"/>
          <w:lang w:val="sr-Cyrl-RS"/>
        </w:rPr>
        <w:lastRenderedPageBreak/>
        <w:t xml:space="preserve">динарске кредите. Ублажавање је било пре свега опредељено нижим трошковима извора финансирања, а у истом смеру деловали су и конкуренција међу банкама и позитивна очекивања у погледу економске активности. </w:t>
      </w:r>
      <w:r w:rsidRPr="00EC3436">
        <w:rPr>
          <w:rFonts w:cs="Times New Roman"/>
          <w:bCs/>
          <w:iCs/>
          <w:szCs w:val="24"/>
          <w:lang w:val="sr-Cyrl-RS"/>
        </w:rPr>
        <w:t>Тражња становништва за кредитима расла је током целе године, на шта су пре свега утицале потребе за рефинансирањем постојећих кредита, куповином непокретности, набавком трајних потрошних добара, уз позитиван утицај виших зарада. Укупно посматрано, тражња привреде за кредитима повећана је само у Т2, док је тражња за динарским кредитима расла у Т1 и Т3. Расту тражње привреде доприносиле су потребе финансирања обртних средстава, за којим следе реструктурирање дугова и финансирање инвестиција, док су интерно финансирање предузећа и зајмови небанкарских институција деловали у супротном смеру.</w:t>
      </w:r>
      <w:r w:rsidRPr="00EC3436">
        <w:rPr>
          <w:rFonts w:cs="Times New Roman"/>
          <w:szCs w:val="24"/>
          <w:lang w:val="sr-Cyrl-RS"/>
        </w:rPr>
        <w:t xml:space="preserve"> </w:t>
      </w:r>
      <w:r w:rsidRPr="00EC3436">
        <w:rPr>
          <w:rFonts w:cs="Times New Roman"/>
          <w:bCs/>
          <w:iCs/>
          <w:szCs w:val="24"/>
          <w:lang w:val="sr-Cyrl-RS"/>
        </w:rPr>
        <w:t>Банке очекују ублажавање стандарда и раст тражње за кредитима у Т4 и код привреде и код становништва.</w:t>
      </w:r>
    </w:p>
    <w:p w14:paraId="2EEDA090" w14:textId="77777777" w:rsidR="001D58B7" w:rsidRPr="00EC3436" w:rsidRDefault="001D58B7" w:rsidP="00CF6476">
      <w:pPr>
        <w:rPr>
          <w:rFonts w:cs="Times New Roman"/>
          <w:szCs w:val="24"/>
          <w:lang w:val="sr-Cyrl-RS"/>
        </w:rPr>
      </w:pPr>
      <w:r w:rsidRPr="00EC3436">
        <w:rPr>
          <w:rFonts w:cs="Times New Roman"/>
          <w:szCs w:val="24"/>
          <w:lang w:val="sr-Cyrl-RS"/>
        </w:rPr>
        <w:t xml:space="preserve">Током 2024. предузећа највише користила кредите за ликвидност и обртна средства, за којима следе увозни и инвестициони кредити. Таква кретања утицала су на то да учешће кредита за ликвидност и обртна средства у укупним кредитима привреди буде повећано на 47,8% у септембру, док је учешће следећих по заступљености, инвестиционих кредита износило 40,6%. Повећано је задуживање предузећа из скоро свих делатности, а највише прерађивачке индустрије и трговине, док је једино смањено задуживање предузећа из пољопривреде. Посматрано по величини предузећа, кредити одобрени сегменту микро, малих и средњих предузећа чинили су 58,7% укупних кредита привреди у септембру, а њихово стање било је за 5,6% више него пре годину дана. Раст кредита становништву вођен је готовинским кредитима, чија је висока реализација подржана промотивним понудама банака, нижим каматним стопама и ублаженим кредитним стандардима. За њима следе стамбени кредити, за којима, према оцени банака, тражња расте од почетка 2024, што се може довести у везу са одлуком Народне банке Србије о привременом ограничавању каматних стопа на стамбене кредите, као и започетим ублажавањем монетарне политике ЕЦБ-а, али и растом зарада. </w:t>
      </w:r>
    </w:p>
    <w:p w14:paraId="6D358156" w14:textId="77777777" w:rsidR="001D58B7" w:rsidRPr="00EC3436" w:rsidRDefault="001D58B7" w:rsidP="00CF6476">
      <w:pPr>
        <w:rPr>
          <w:rFonts w:cs="Times New Roman"/>
          <w:szCs w:val="24"/>
          <w:lang w:val="sr-Cyrl-RS"/>
        </w:rPr>
      </w:pPr>
      <w:r w:rsidRPr="00EC3436">
        <w:rPr>
          <w:rFonts w:cs="Times New Roman"/>
          <w:szCs w:val="24"/>
          <w:lang w:val="sr-Cyrl-RS"/>
        </w:rPr>
        <w:t>Динаризација стања укупних пласмана привреди и становништву је током 2024. повећана за 2,3 п.п., на 36,8% у септембру, пре свега захваљујући повећаном динарском кредитирању. При томе, степен динаризације пласмана привреди повећан је за 2,7 п.п. на 20,0% у септембру, а пласмана становништву за 1,2 п.п. на 55,3%. На континуиран раст динарских кредита повољно утичу одредбе Одлуке о адекватности капитала банке, којима се приликом обрачуна показатеља адекватности капитала, почев од 2025. године, прописује обавеза банкама да умање капитал уколико учешће девизно индексираних и девизних кредита у укупним кредитима нефинансијском и недржавном сектору одобрених након 1. јула 2023. премаши одређени праг (71% у 2025).</w:t>
      </w:r>
      <w:r w:rsidRPr="00EC3436">
        <w:rPr>
          <w:rStyle w:val="FootnoteReference"/>
          <w:rFonts w:cs="Times New Roman"/>
          <w:szCs w:val="24"/>
          <w:lang w:val="sr-Cyrl-RS"/>
        </w:rPr>
        <w:footnoteReference w:id="3"/>
      </w:r>
    </w:p>
    <w:p w14:paraId="38AFB5F5" w14:textId="77777777" w:rsidR="001D58B7" w:rsidRPr="00EC3436" w:rsidRDefault="001D58B7" w:rsidP="00CF6476">
      <w:pPr>
        <w:rPr>
          <w:rFonts w:cs="Times New Roman"/>
          <w:szCs w:val="24"/>
          <w:lang w:val="sr-Cyrl-RS"/>
        </w:rPr>
      </w:pPr>
      <w:r w:rsidRPr="00EC3436">
        <w:rPr>
          <w:rFonts w:cs="Times New Roman"/>
          <w:szCs w:val="24"/>
          <w:lang w:val="sr-Cyrl-RS"/>
        </w:rPr>
        <w:t>У овој и у наредној години очекујемо раст кредитне активности од по 7%, захваљујући повољнијим условима финансирања и убрзању привредне активности. Даље постепено убрзање раста кредитне активности у складу са растом номиналног БДП-а, очекује се у средњем року.</w:t>
      </w:r>
      <w:r w:rsidRPr="00EC3436">
        <w:rPr>
          <w:rFonts w:cs="Times New Roman"/>
          <w:szCs w:val="24"/>
        </w:rPr>
        <w:t xml:space="preserve"> </w:t>
      </w:r>
    </w:p>
    <w:p w14:paraId="47E43944" w14:textId="77777777" w:rsidR="001D58B7" w:rsidRPr="00EC3436" w:rsidRDefault="001D58B7" w:rsidP="00CF6476">
      <w:pPr>
        <w:rPr>
          <w:rFonts w:cs="Times New Roman"/>
          <w:szCs w:val="24"/>
          <w:lang w:val="sr-Latn-RS"/>
        </w:rPr>
      </w:pPr>
      <w:r w:rsidRPr="00EC3436">
        <w:rPr>
          <w:rFonts w:cs="Times New Roman"/>
          <w:szCs w:val="24"/>
          <w:lang w:val="sr-Cyrl-RS"/>
        </w:rPr>
        <w:t xml:space="preserve">Монетарни агрегати М1 и М2 су у септембру забележили номинални мг. раст од по 15,5%, а М3 од 12,0%. Динарски депозити по виђењу и штедни и орочени депозити повећани су у сличној мери, при чему је раст у оба случаја вођен растом депозита становништва. Динарска штедња грађана је достигла нови највиши ниво од 171,4 млрд </w:t>
      </w:r>
      <w:r w:rsidRPr="00EC3436">
        <w:rPr>
          <w:rFonts w:cs="Times New Roman"/>
          <w:szCs w:val="24"/>
          <w:lang w:val="sr-Cyrl-RS"/>
        </w:rPr>
        <w:lastRenderedPageBreak/>
        <w:t>динара у септембру</w:t>
      </w:r>
      <w:r w:rsidRPr="00EC3436">
        <w:rPr>
          <w:rStyle w:val="FootnoteReference"/>
          <w:rFonts w:cs="Times New Roman"/>
          <w:szCs w:val="24"/>
          <w:lang w:val="sr-Cyrl-RS"/>
        </w:rPr>
        <w:footnoteReference w:id="4"/>
      </w:r>
      <w:r w:rsidRPr="00EC3436">
        <w:rPr>
          <w:rFonts w:cs="Times New Roman"/>
          <w:szCs w:val="24"/>
          <w:lang w:val="sr-Cyrl-RS"/>
        </w:rPr>
        <w:t xml:space="preserve">, чиме је њено учешће у укупној штедњи становништва повећано на 9,4% (наспрам 8,0% крајем 2023. и 1,9% крајем 2012). И девизни депозити наставили су раст, вођени растом депозита становништва (на које је утицао и прилив дознака) и привреде (захваљујући расту страних директних инвестиција, извоза и прекограничном задуживању). Динаризација депозита привреде и становништва у септембру износила је </w:t>
      </w:r>
      <w:r w:rsidRPr="00EC3436">
        <w:rPr>
          <w:rFonts w:cs="Times New Roman"/>
          <w:szCs w:val="24"/>
          <w:lang w:val="sr-Latn-RS"/>
        </w:rPr>
        <w:t>44,2%</w:t>
      </w:r>
      <w:r w:rsidRPr="00EC3436">
        <w:rPr>
          <w:rFonts w:cs="Times New Roman"/>
          <w:szCs w:val="24"/>
          <w:lang w:val="sr-Cyrl-RS"/>
        </w:rPr>
        <w:t>, што је готово на рекордном нивоу с краја 2023. (44,4%) и значајно више у односу на крај 2012. године (19,3%).</w:t>
      </w:r>
      <w:r w:rsidRPr="00EC3436">
        <w:rPr>
          <w:rFonts w:cs="Times New Roman"/>
          <w:szCs w:val="24"/>
          <w:lang w:val="sr-Latn-RS"/>
        </w:rPr>
        <w:t xml:space="preserve"> </w:t>
      </w:r>
    </w:p>
    <w:p w14:paraId="1975C790" w14:textId="77777777" w:rsidR="001D58B7" w:rsidRPr="00EC3436" w:rsidRDefault="001D58B7" w:rsidP="00CF6476">
      <w:pPr>
        <w:rPr>
          <w:rFonts w:cs="Times New Roman"/>
          <w:b/>
          <w:i/>
          <w:szCs w:val="24"/>
          <w:lang w:val="sr-Cyrl-RS"/>
        </w:rPr>
      </w:pPr>
      <w:r w:rsidRPr="00EC3436">
        <w:rPr>
          <w:rFonts w:cs="Times New Roman"/>
          <w:b/>
          <w:i/>
          <w:szCs w:val="24"/>
          <w:lang w:val="sr-Cyrl-RS"/>
        </w:rPr>
        <w:t xml:space="preserve">Финансијски сектор. </w:t>
      </w:r>
      <w:r w:rsidRPr="00EC3436">
        <w:rPr>
          <w:rFonts w:cs="Times New Roman"/>
          <w:szCs w:val="24"/>
          <w:lang w:val="sr-Cyrl-RS"/>
        </w:rPr>
        <w:t>У структури финансијског система Србије није било значајнијих измена током 2024. године – банкарски сектор је и даље доминантан са учешћем преко 90% у укупној активи финансијског сектора.</w:t>
      </w:r>
      <w:r w:rsidRPr="00EC3436">
        <w:rPr>
          <w:rFonts w:cs="Times New Roman"/>
          <w:b/>
          <w:i/>
          <w:szCs w:val="24"/>
          <w:lang w:val="sr-Cyrl-RS"/>
        </w:rPr>
        <w:t xml:space="preserve"> </w:t>
      </w:r>
      <w:r w:rsidRPr="00EC3436">
        <w:rPr>
          <w:rFonts w:cs="Times New Roman"/>
          <w:szCs w:val="24"/>
          <w:lang w:val="sr-Cyrl-RS"/>
        </w:rPr>
        <w:t xml:space="preserve">Закључно са 30. септембром 2024. године банкарски сектор Србије је чинило 20 банака, од којих је 15 у већинском власништву страних лица, две банке су у већинском власништву Републике Србије, док су три банке у већинском власништву домаћих правних лица. </w:t>
      </w:r>
      <w:bookmarkStart w:id="6" w:name="_Hlk57296010"/>
      <w:r w:rsidRPr="00EC3436">
        <w:rPr>
          <w:rFonts w:cs="Times New Roman"/>
          <w:szCs w:val="24"/>
          <w:lang w:val="sr-Cyrl-RS"/>
        </w:rPr>
        <w:t xml:space="preserve">На тржишту доминирају банке у већинском власништву страних лица, на које се односи </w:t>
      </w:r>
      <w:r w:rsidRPr="00EC3436">
        <w:rPr>
          <w:rFonts w:cs="Times New Roman"/>
          <w:szCs w:val="24"/>
          <w:lang w:val="sr-Latn-RS"/>
        </w:rPr>
        <w:t>77,5</w:t>
      </w:r>
      <w:r w:rsidRPr="00EC3436">
        <w:rPr>
          <w:rFonts w:cs="Times New Roman"/>
          <w:szCs w:val="24"/>
          <w:lang w:val="sr-Cyrl-RS"/>
        </w:rPr>
        <w:t xml:space="preserve">% укупне билансне активе, </w:t>
      </w:r>
      <w:r w:rsidRPr="00EC3436">
        <w:rPr>
          <w:rFonts w:cs="Times New Roman"/>
          <w:szCs w:val="24"/>
          <w:lang w:val="sr-Latn-RS"/>
        </w:rPr>
        <w:t>80,7</w:t>
      </w:r>
      <w:r w:rsidRPr="00EC3436">
        <w:rPr>
          <w:rFonts w:cs="Times New Roman"/>
          <w:szCs w:val="24"/>
          <w:lang w:val="sr-Cyrl-RS"/>
        </w:rPr>
        <w:t xml:space="preserve">% укупних бруто кредита и </w:t>
      </w:r>
      <w:r w:rsidRPr="00EC3436">
        <w:rPr>
          <w:rFonts w:cs="Times New Roman"/>
          <w:szCs w:val="24"/>
          <w:lang w:val="sr-Latn-RS"/>
        </w:rPr>
        <w:t>76,5</w:t>
      </w:r>
      <w:r w:rsidRPr="00EC3436">
        <w:rPr>
          <w:rFonts w:cs="Times New Roman"/>
          <w:szCs w:val="24"/>
          <w:lang w:val="sr-Cyrl-RS"/>
        </w:rPr>
        <w:t xml:space="preserve">% укупних депозита банкарског сектора. </w:t>
      </w:r>
    </w:p>
    <w:bookmarkEnd w:id="6"/>
    <w:p w14:paraId="56759B54" w14:textId="77777777" w:rsidR="001D58B7" w:rsidRPr="00EC3436" w:rsidRDefault="001D58B7" w:rsidP="00CF6476">
      <w:pPr>
        <w:rPr>
          <w:rFonts w:cs="Times New Roman"/>
          <w:szCs w:val="24"/>
          <w:lang w:val="sr-Cyrl-RS"/>
        </w:rPr>
      </w:pPr>
      <w:r w:rsidRPr="00EC3436">
        <w:rPr>
          <w:rFonts w:cs="Times New Roman"/>
          <w:szCs w:val="24"/>
          <w:lang w:val="sr-Cyrl-RS"/>
        </w:rPr>
        <w:t xml:space="preserve">Билансна сума и капитал банкарског сектора су на крају септембра 2024. године износили </w:t>
      </w:r>
      <w:r w:rsidRPr="00EC3436">
        <w:rPr>
          <w:rFonts w:cs="Times New Roman"/>
          <w:szCs w:val="24"/>
          <w:lang w:val="sr-Latn-RS"/>
        </w:rPr>
        <w:t>6.308</w:t>
      </w:r>
      <w:r w:rsidRPr="00EC3436">
        <w:rPr>
          <w:rFonts w:cs="Times New Roman"/>
          <w:szCs w:val="24"/>
          <w:lang w:val="sr-Cyrl-RS"/>
        </w:rPr>
        <w:t xml:space="preserve"> млрд динара и </w:t>
      </w:r>
      <w:r w:rsidRPr="00EC3436">
        <w:rPr>
          <w:rFonts w:cs="Times New Roman"/>
          <w:szCs w:val="24"/>
          <w:lang w:val="sr-Latn-RS"/>
        </w:rPr>
        <w:t>895</w:t>
      </w:r>
      <w:r w:rsidRPr="00EC3436">
        <w:rPr>
          <w:rFonts w:cs="Times New Roman"/>
          <w:szCs w:val="24"/>
          <w:lang w:val="sr-Cyrl-RS"/>
        </w:rPr>
        <w:t xml:space="preserve"> млрд динара, респективно. Солидне резерве капитала које су банке изградиле ранијих година су их учиниле отпорнијим на ризике у ситуацији и даље присутних неизвесности из међународног окружења. Показатељ адекватности капитала за банкарски сектор је износио </w:t>
      </w:r>
      <w:r w:rsidRPr="00EC3436">
        <w:rPr>
          <w:rFonts w:cs="Times New Roman"/>
          <w:szCs w:val="24"/>
          <w:lang w:val="sr-Latn-RS"/>
        </w:rPr>
        <w:t>21,85</w:t>
      </w:r>
      <w:r w:rsidRPr="00EC3436">
        <w:rPr>
          <w:rFonts w:cs="Times New Roman"/>
          <w:szCs w:val="24"/>
          <w:lang w:val="sr-Cyrl-RS"/>
        </w:rPr>
        <w:t>%, а показатељ левериџа (по „Базелу 3“) 10,</w:t>
      </w:r>
      <w:r w:rsidRPr="00EC3436">
        <w:rPr>
          <w:rFonts w:cs="Times New Roman"/>
          <w:szCs w:val="24"/>
          <w:lang w:val="sr-Latn-RS"/>
        </w:rPr>
        <w:t>57</w:t>
      </w:r>
      <w:r w:rsidRPr="00EC3436">
        <w:rPr>
          <w:rFonts w:cs="Times New Roman"/>
          <w:szCs w:val="24"/>
          <w:lang w:val="sr-Cyrl-RS"/>
        </w:rPr>
        <w:t>% на крају септембра 2024. године, што представља још једну потврду високе солвентности банкарског сектора.</w:t>
      </w:r>
    </w:p>
    <w:p w14:paraId="78D4D24F" w14:textId="2774A6BA" w:rsidR="001D58B7" w:rsidRPr="00EC3436" w:rsidRDefault="001D58B7" w:rsidP="00CF6476">
      <w:pPr>
        <w:rPr>
          <w:rFonts w:cs="Times New Roman"/>
          <w:szCs w:val="24"/>
          <w:lang w:val="sr-Cyrl-RS"/>
        </w:rPr>
      </w:pPr>
      <w:r w:rsidRPr="00EC3436">
        <w:rPr>
          <w:rFonts w:cs="Times New Roman"/>
          <w:szCs w:val="24"/>
          <w:lang w:val="sr-Cyrl-RS"/>
        </w:rPr>
        <w:t>Резерве ликвидности банкарског сектора су више него довољне за покриће потенцијалних потреба за ликвидним средствима, што потврђуј</w:t>
      </w:r>
      <w:r w:rsidRPr="00EC3436">
        <w:rPr>
          <w:rFonts w:cs="Times New Roman"/>
          <w:szCs w:val="24"/>
          <w:lang w:val="sr-Latn-RS"/>
        </w:rPr>
        <w:t>e</w:t>
      </w:r>
      <w:r w:rsidRPr="00EC3436">
        <w:rPr>
          <w:rFonts w:cs="Times New Roman"/>
          <w:szCs w:val="24"/>
          <w:lang w:val="sr-Cyrl-RS"/>
        </w:rPr>
        <w:t xml:space="preserve"> кретање свих кључних по</w:t>
      </w:r>
      <w:r w:rsidR="00CF6476">
        <w:rPr>
          <w:rFonts w:cs="Times New Roman"/>
          <w:szCs w:val="24"/>
          <w:lang w:val="sr-Cyrl-RS"/>
        </w:rPr>
        <w:t xml:space="preserve">казатеља ликвидности, при чему </w:t>
      </w:r>
      <w:r w:rsidRPr="00EC3436">
        <w:rPr>
          <w:rFonts w:cs="Times New Roman"/>
          <w:szCs w:val="24"/>
          <w:lang w:val="sr-Cyrl-RS"/>
        </w:rPr>
        <w:t xml:space="preserve">је показатељ покрића ликвидном активом износио </w:t>
      </w:r>
      <w:r w:rsidRPr="00EC3436">
        <w:rPr>
          <w:rFonts w:cs="Times New Roman"/>
          <w:szCs w:val="24"/>
          <w:lang w:val="sr-Latn-RS"/>
        </w:rPr>
        <w:t>195,30</w:t>
      </w:r>
      <w:r w:rsidRPr="00EC3436">
        <w:rPr>
          <w:rFonts w:cs="Times New Roman"/>
          <w:szCs w:val="24"/>
          <w:lang w:val="sr-Cyrl-RS"/>
        </w:rPr>
        <w:t xml:space="preserve">% а показатељ нето стабилних извора финансирања 182,21% на крају септембра 2024. године. </w:t>
      </w:r>
    </w:p>
    <w:p w14:paraId="17951704" w14:textId="77777777" w:rsidR="001D58B7" w:rsidRPr="00EC3436" w:rsidRDefault="001D58B7" w:rsidP="00CF6476">
      <w:pPr>
        <w:rPr>
          <w:rFonts w:cs="Times New Roman"/>
          <w:szCs w:val="24"/>
          <w:lang w:val="sr-Cyrl-RS"/>
        </w:rPr>
      </w:pPr>
      <w:r w:rsidRPr="00EC3436">
        <w:rPr>
          <w:rFonts w:cs="Times New Roman"/>
          <w:szCs w:val="24"/>
          <w:lang w:val="sr-Cyrl-RS"/>
        </w:rPr>
        <w:t>Банкарски сектор је задржао задовољавајућу профитабилност и у 2024. години. Укупан нето добитак пре опорезивања остварен од почетка године до краја септембра износио је 143</w:t>
      </w:r>
      <w:r w:rsidRPr="00EC3436">
        <w:rPr>
          <w:rFonts w:cs="Times New Roman"/>
          <w:szCs w:val="24"/>
          <w:lang w:val="sr-Latn-RS"/>
        </w:rPr>
        <w:t>,</w:t>
      </w:r>
      <w:r w:rsidRPr="00EC3436">
        <w:rPr>
          <w:rFonts w:cs="Times New Roman"/>
          <w:szCs w:val="24"/>
          <w:lang w:val="sr-Cyrl-RS"/>
        </w:rPr>
        <w:t>0</w:t>
      </w:r>
      <w:r w:rsidRPr="00EC3436">
        <w:rPr>
          <w:rFonts w:cs="Times New Roman"/>
          <w:szCs w:val="24"/>
          <w:lang w:val="sr-Latn-RS"/>
        </w:rPr>
        <w:t>1</w:t>
      </w:r>
      <w:r w:rsidRPr="00EC3436">
        <w:rPr>
          <w:rFonts w:cs="Times New Roman"/>
          <w:szCs w:val="24"/>
          <w:lang w:val="sr-Cyrl-RS"/>
        </w:rPr>
        <w:t xml:space="preserve"> млрд динара, уз показатеље профитабилности ROA од </w:t>
      </w:r>
      <w:r w:rsidRPr="00EC3436">
        <w:rPr>
          <w:rFonts w:cs="Times New Roman"/>
          <w:szCs w:val="24"/>
        </w:rPr>
        <w:t>3,11</w:t>
      </w:r>
      <w:r w:rsidRPr="00EC3436">
        <w:rPr>
          <w:rFonts w:cs="Times New Roman"/>
          <w:szCs w:val="24"/>
          <w:lang w:val="sr-Cyrl-RS"/>
        </w:rPr>
        <w:t xml:space="preserve">% и ROE </w:t>
      </w:r>
      <w:r w:rsidRPr="00EC3436">
        <w:rPr>
          <w:rFonts w:cs="Times New Roman"/>
          <w:szCs w:val="24"/>
        </w:rPr>
        <w:t>22,26</w:t>
      </w:r>
      <w:r w:rsidRPr="00EC3436">
        <w:rPr>
          <w:rFonts w:cs="Times New Roman"/>
          <w:szCs w:val="24"/>
          <w:lang w:val="sr-Cyrl-RS"/>
        </w:rPr>
        <w:t>%.</w:t>
      </w:r>
    </w:p>
    <w:p w14:paraId="4DA0A0BC" w14:textId="3E4A7CA2" w:rsidR="001D58B7" w:rsidRPr="00EC3436" w:rsidRDefault="001D58B7" w:rsidP="00CF6476">
      <w:pPr>
        <w:rPr>
          <w:rFonts w:cs="Times New Roman"/>
          <w:szCs w:val="24"/>
          <w:lang w:val="sr-Cyrl-RS"/>
        </w:rPr>
      </w:pPr>
      <w:r w:rsidRPr="00EC3436">
        <w:rPr>
          <w:rFonts w:cs="Times New Roman"/>
          <w:szCs w:val="24"/>
          <w:lang w:val="sr-Cyrl-RS"/>
        </w:rPr>
        <w:t>Девет година након усвајања Стратегије за решавање проблематичних кредита, учешће проблематичних кредита у укупним бруто кредитима банкарског сектора је смањено за 19,</w:t>
      </w:r>
      <w:r w:rsidRPr="00EC3436">
        <w:rPr>
          <w:rFonts w:cs="Times New Roman"/>
          <w:szCs w:val="24"/>
          <w:lang w:val="sr-Latn-RS"/>
        </w:rPr>
        <w:t>50</w:t>
      </w:r>
      <w:r w:rsidRPr="00EC3436">
        <w:rPr>
          <w:rFonts w:cs="Times New Roman"/>
          <w:szCs w:val="24"/>
          <w:lang w:val="sr-Cyrl-RS"/>
        </w:rPr>
        <w:t xml:space="preserve"> п.п. и на крају септембра 2024. године износи 2,75%. Стање бруто проблематичних кредита је у истом периоду смањено за 76</w:t>
      </w:r>
      <w:r w:rsidRPr="00EC3436">
        <w:rPr>
          <w:rFonts w:cs="Times New Roman"/>
          <w:szCs w:val="24"/>
          <w:lang w:val="sr-Latn-RS"/>
        </w:rPr>
        <w:t>,</w:t>
      </w:r>
      <w:r w:rsidRPr="00EC3436">
        <w:rPr>
          <w:rFonts w:cs="Times New Roman"/>
          <w:szCs w:val="24"/>
          <w:lang w:val="sr-Cyrl-RS"/>
        </w:rPr>
        <w:t xml:space="preserve">64% (са 427,3 млрд динара на </w:t>
      </w:r>
      <w:r w:rsidRPr="00EC3436">
        <w:rPr>
          <w:rFonts w:cs="Times New Roman"/>
          <w:szCs w:val="24"/>
          <w:lang w:val="sr-Latn-RS"/>
        </w:rPr>
        <w:t>99,8</w:t>
      </w:r>
      <w:r w:rsidRPr="00EC3436">
        <w:rPr>
          <w:rFonts w:cs="Times New Roman"/>
          <w:szCs w:val="24"/>
          <w:lang w:val="sr-Cyrl-RS"/>
        </w:rPr>
        <w:t xml:space="preserve"> млрд динара). Учешће проблематичних кредита у укупним кредитима привреди је на крају септембра 2024. године износило 2,</w:t>
      </w:r>
      <w:r w:rsidRPr="00EC3436">
        <w:rPr>
          <w:rFonts w:cs="Times New Roman"/>
          <w:szCs w:val="24"/>
          <w:lang w:val="sr-Latn-RS"/>
        </w:rPr>
        <w:t>28</w:t>
      </w:r>
      <w:r w:rsidRPr="00EC3436">
        <w:rPr>
          <w:rFonts w:cs="Times New Roman"/>
          <w:szCs w:val="24"/>
          <w:lang w:val="sr-Cyrl-RS"/>
        </w:rPr>
        <w:t xml:space="preserve">%, док је њихов удео у укупним кредитима физичким лицима био </w:t>
      </w:r>
      <w:r w:rsidRPr="00EC3436">
        <w:rPr>
          <w:rFonts w:cs="Times New Roman"/>
          <w:szCs w:val="24"/>
          <w:lang w:val="sr-Latn-RS"/>
        </w:rPr>
        <w:t>3,73</w:t>
      </w:r>
      <w:r w:rsidRPr="00EC3436">
        <w:rPr>
          <w:rFonts w:cs="Times New Roman"/>
          <w:szCs w:val="24"/>
          <w:lang w:val="sr-Cyrl-RS"/>
        </w:rPr>
        <w:t>%. На крају септембра 2024. године покриће проблематичних кредита исправкама вредности извршеним у складу са МСФИ је износило</w:t>
      </w:r>
      <w:r w:rsidR="00CF6476">
        <w:rPr>
          <w:rFonts w:cs="Times New Roman"/>
          <w:szCs w:val="24"/>
          <w:lang w:val="sr-Cyrl-RS"/>
        </w:rPr>
        <w:t xml:space="preserve"> </w:t>
      </w:r>
      <w:r w:rsidRPr="00EC3436">
        <w:rPr>
          <w:rFonts w:cs="Times New Roman"/>
          <w:szCs w:val="24"/>
          <w:lang w:val="sr-Cyrl-RS"/>
        </w:rPr>
        <w:t>61</w:t>
      </w:r>
      <w:r w:rsidRPr="00EC3436">
        <w:rPr>
          <w:rFonts w:cs="Times New Roman"/>
          <w:szCs w:val="24"/>
          <w:lang w:val="sr-Latn-RS"/>
        </w:rPr>
        <w:t>,</w:t>
      </w:r>
      <w:r w:rsidRPr="00EC3436">
        <w:rPr>
          <w:rFonts w:cs="Times New Roman"/>
          <w:szCs w:val="24"/>
          <w:lang w:val="sr-Cyrl-RS"/>
        </w:rPr>
        <w:t xml:space="preserve">78%. </w:t>
      </w:r>
      <w:bookmarkStart w:id="7" w:name="_Hlk88058820"/>
    </w:p>
    <w:bookmarkEnd w:id="7"/>
    <w:p w14:paraId="2643338D" w14:textId="77777777" w:rsidR="001D58B7" w:rsidRPr="00EC3436" w:rsidRDefault="001D58B7" w:rsidP="00CF6476">
      <w:pPr>
        <w:shd w:val="clear" w:color="auto" w:fill="FFFFFF" w:themeFill="background1"/>
        <w:rPr>
          <w:rFonts w:cs="Times New Roman"/>
          <w:szCs w:val="24"/>
          <w:lang w:val="sr-Latn-RS"/>
        </w:rPr>
      </w:pPr>
      <w:r w:rsidRPr="00EC3436">
        <w:rPr>
          <w:rFonts w:cs="Times New Roman"/>
          <w:szCs w:val="24"/>
          <w:lang w:val="sr-Cyrl-RS"/>
        </w:rPr>
        <w:t xml:space="preserve">Народна банка Србије редовно разматра обавезу одржавања </w:t>
      </w:r>
      <w:r w:rsidRPr="00EC3436">
        <w:rPr>
          <w:rFonts w:cs="Times New Roman"/>
          <w:b/>
          <w:bCs/>
          <w:i/>
          <w:iCs/>
          <w:szCs w:val="24"/>
          <w:lang w:val="sr-Cyrl-RS"/>
        </w:rPr>
        <w:t>заштитних слојева капитала</w:t>
      </w:r>
      <w:r w:rsidRPr="00EC3436">
        <w:rPr>
          <w:rFonts w:cs="Times New Roman"/>
          <w:szCs w:val="24"/>
          <w:lang w:val="sr-Cyrl-RS"/>
        </w:rPr>
        <w:t xml:space="preserve"> којима се ограничавају системски ризици у финансијском систему Републике Србије. Последње преиспитивање заштитног слоја капитала за структурни системски ризик било је у марту 2024. када је одлучено да се овај заштитни слој капитала задржи у висини од 3% укупних девизних и девизно индексираних пласмана банке одобрених привреди и становништву. Заштитни слој капитала за системски значајне банке преиспитује се најмање једном годишње, а девет банака које су идентификоване као </w:t>
      </w:r>
      <w:r w:rsidRPr="00EC3436">
        <w:rPr>
          <w:rFonts w:cs="Times New Roman"/>
          <w:szCs w:val="24"/>
          <w:lang w:val="sr-Cyrl-RS"/>
        </w:rPr>
        <w:lastRenderedPageBreak/>
        <w:t>системски значајне за Републику Србију, у обавези су да од 30. јуна 2024. године одржавају овај заштитни слој капитала (четири банке по стопи од 2%, а осталих пет банака по стопи од 1%)</w:t>
      </w:r>
      <w:r w:rsidRPr="00EC3436">
        <w:rPr>
          <w:rStyle w:val="FootnoteReference"/>
          <w:rFonts w:cs="Times New Roman"/>
          <w:szCs w:val="24"/>
          <w:lang w:val="sr-Cyrl-RS"/>
        </w:rPr>
        <w:footnoteReference w:id="5"/>
      </w:r>
      <w:r w:rsidRPr="00EC3436">
        <w:rPr>
          <w:rFonts w:cs="Times New Roman"/>
          <w:szCs w:val="24"/>
          <w:lang w:val="sr-Cyrl-RS"/>
        </w:rPr>
        <w:t>. Стопа контрацикличног заштитног слоја капитала (CCyB) за Републику Србију преиспитује се на тромесечном нивоу. Народнa банка Србије је 12. септембра 2024. године одлучила да стопу CCyB-а за Републику Србију задржи на нивоу од 0%, имајући у виду да се учешће укупних кредита у БДП-у у другом тромесечју 2024. креће око свог дугорочног тренда и да се одступање учешћа укупних кредита у БДП-у од свог дугорочног тренда налазило испод границе за увођење CCуB-а од 2 п.п. Задржавањем стопе CCyB-а на нивоу од 0% подржава се кредитно тржиште у и даље заоштреним глобалним финансијским условима. Банке су у септембру 2024. године за одржавање свих прописаних заштитних слојева капитала укупно издвојиле 199,3 млрд динара основног акцијског капитала, или 5,7% ризичне активе.</w:t>
      </w:r>
    </w:p>
    <w:p w14:paraId="7B1D673C" w14:textId="77777777" w:rsidR="001D58B7" w:rsidRPr="00EC3436" w:rsidRDefault="001D58B7" w:rsidP="00CF6476">
      <w:pPr>
        <w:rPr>
          <w:rFonts w:cs="Times New Roman"/>
          <w:szCs w:val="24"/>
          <w:lang w:val="sr-Cyrl-RS"/>
        </w:rPr>
      </w:pPr>
      <w:bookmarkStart w:id="8" w:name="_Hlk149722595"/>
      <w:bookmarkEnd w:id="5"/>
      <w:r w:rsidRPr="00EC3436">
        <w:rPr>
          <w:rFonts w:cs="Times New Roman"/>
          <w:szCs w:val="24"/>
          <w:lang w:val="sr-Cyrl-RS"/>
        </w:rPr>
        <w:t xml:space="preserve">Народна банка Србије је у новембру 2023. године донела нову </w:t>
      </w:r>
      <w:r w:rsidRPr="00EC3436">
        <w:rPr>
          <w:rFonts w:cs="Times New Roman"/>
          <w:b/>
          <w:bCs/>
          <w:szCs w:val="24"/>
          <w:lang w:val="sr-Cyrl-RS"/>
        </w:rPr>
        <w:t>„</w:t>
      </w:r>
      <w:r w:rsidRPr="00EC3436">
        <w:rPr>
          <w:rFonts w:cs="Times New Roman"/>
          <w:b/>
          <w:bCs/>
          <w:i/>
          <w:iCs/>
          <w:szCs w:val="24"/>
          <w:lang w:val="sr-Cyrl-RS"/>
        </w:rPr>
        <w:t>Одлуку о управљању ризиком ликвидности банке“</w:t>
      </w:r>
      <w:r w:rsidRPr="00EC3436">
        <w:rPr>
          <w:rFonts w:cs="Times New Roman"/>
          <w:szCs w:val="24"/>
          <w:lang w:val="sr-Cyrl-RS"/>
        </w:rPr>
        <w:t>, којом је уведен показатељ нето стабилног финансирања (НСФР), и усаглашена су правила за обрачун постојећег показатеља покрића ликвидном активом (ППЛА) са изменама у ЕУ. Поред тога, додатно су прилагођени постојећи показатељи - показатељ ликвидности и ужи показатељ ликвидности банке.</w:t>
      </w:r>
    </w:p>
    <w:p w14:paraId="320E5FC9" w14:textId="77777777" w:rsidR="001D58B7" w:rsidRPr="00EC3436" w:rsidRDefault="001D58B7" w:rsidP="00CF6476">
      <w:pPr>
        <w:rPr>
          <w:rFonts w:cs="Times New Roman"/>
          <w:szCs w:val="24"/>
          <w:lang w:val="sr-Cyrl-RS"/>
        </w:rPr>
      </w:pPr>
      <w:r w:rsidRPr="00EC3436">
        <w:rPr>
          <w:rFonts w:cs="Times New Roman"/>
          <w:szCs w:val="24"/>
          <w:lang w:val="sr-Cyrl-RS"/>
        </w:rPr>
        <w:t xml:space="preserve">С тим у вези, донета је </w:t>
      </w:r>
      <w:r w:rsidRPr="00EC3436">
        <w:rPr>
          <w:rFonts w:cs="Times New Roman"/>
          <w:b/>
          <w:bCs/>
          <w:szCs w:val="24"/>
          <w:lang w:val="sr-Latn-RS"/>
        </w:rPr>
        <w:t>„</w:t>
      </w:r>
      <w:r w:rsidRPr="00EC3436">
        <w:rPr>
          <w:rFonts w:cs="Times New Roman"/>
          <w:b/>
          <w:bCs/>
          <w:i/>
          <w:iCs/>
          <w:szCs w:val="24"/>
          <w:lang w:val="sr-Cyrl-RS"/>
        </w:rPr>
        <w:t>Одлука о изменама и допунама Одлуке о извештавању банака</w:t>
      </w:r>
      <w:r w:rsidRPr="00EC3436">
        <w:rPr>
          <w:rFonts w:cs="Times New Roman"/>
          <w:b/>
          <w:bCs/>
          <w:szCs w:val="24"/>
          <w:lang w:val="sr-Latn-RS"/>
        </w:rPr>
        <w:t>“</w:t>
      </w:r>
      <w:r w:rsidRPr="00EC3436">
        <w:rPr>
          <w:rFonts w:cs="Times New Roman"/>
          <w:szCs w:val="24"/>
          <w:lang w:val="sr-Cyrl-RS"/>
        </w:rPr>
        <w:t xml:space="preserve"> која има за циљ да кроз систем извештавања имплементира регулаторна решења из Одлуке о управљању ризиком ликвидности банака. Конкретно, уведени су нови извештаји за израчунавање НСФР показатеља, као и одговарајуће измене важећих извештаја за потребе обрачуна показатеља покрића ликвидном активом, као и дневног извештаја о показатељу ликвидности банке. Обе одлуке се примењују од 30. јуна 2024. године.</w:t>
      </w:r>
    </w:p>
    <w:p w14:paraId="6C7D6694" w14:textId="77777777" w:rsidR="001D58B7" w:rsidRPr="00EC3436" w:rsidRDefault="001D58B7" w:rsidP="00CF6476">
      <w:pPr>
        <w:rPr>
          <w:rFonts w:cs="Times New Roman"/>
          <w:szCs w:val="24"/>
          <w:lang w:val="sr-Cyrl-RS"/>
        </w:rPr>
      </w:pPr>
      <w:r w:rsidRPr="00EC3436">
        <w:rPr>
          <w:rFonts w:cs="Times New Roman"/>
          <w:szCs w:val="24"/>
          <w:lang w:val="sr-Cyrl-RS"/>
        </w:rPr>
        <w:t>На овај начин успостављен је свеобухватан и модеран правни оквир за управљање ризиком ликвидности у банкама – у складу са Базелским стандардима и европским прописима, али и узимајући у обзир локалне специфичности.</w:t>
      </w:r>
    </w:p>
    <w:p w14:paraId="21D51D53" w14:textId="77777777" w:rsidR="001D58B7" w:rsidRPr="00EC3436" w:rsidRDefault="001D58B7" w:rsidP="00CF6476">
      <w:pPr>
        <w:rPr>
          <w:rFonts w:cs="Times New Roman"/>
          <w:szCs w:val="24"/>
          <w:lang w:val="sr-Cyrl-RS"/>
        </w:rPr>
      </w:pPr>
      <w:r w:rsidRPr="00EC3436">
        <w:rPr>
          <w:rFonts w:cs="Times New Roman"/>
          <w:szCs w:val="24"/>
          <w:lang w:val="sr-Cyrl-RS"/>
        </w:rPr>
        <w:t xml:space="preserve">Народна банка Србије је припремила </w:t>
      </w:r>
      <w:r w:rsidRPr="00EC3436">
        <w:rPr>
          <w:rFonts w:cs="Times New Roman"/>
          <w:b/>
          <w:bCs/>
          <w:szCs w:val="24"/>
          <w:lang w:val="sr-Cyrl-RS"/>
        </w:rPr>
        <w:t>Нацрт закона о изменама и допунама Закона о банкама</w:t>
      </w:r>
      <w:r w:rsidRPr="00EC3436">
        <w:rPr>
          <w:rFonts w:cs="Times New Roman"/>
          <w:szCs w:val="24"/>
          <w:lang w:val="sr-Cyrl-RS"/>
        </w:rPr>
        <w:t xml:space="preserve">, ради даљег унапређења и модернизације законског оквира за пословање, супервизију и реструктурирање банака. </w:t>
      </w:r>
    </w:p>
    <w:p w14:paraId="07D2BFD0" w14:textId="77777777" w:rsidR="001D58B7" w:rsidRPr="00EC3436" w:rsidRDefault="001D58B7" w:rsidP="00CF6476">
      <w:pPr>
        <w:rPr>
          <w:rFonts w:cs="Times New Roman"/>
          <w:szCs w:val="24"/>
          <w:lang w:val="sr-Cyrl-RS"/>
        </w:rPr>
      </w:pPr>
      <w:r w:rsidRPr="00EC3436">
        <w:rPr>
          <w:rFonts w:cs="Times New Roman"/>
          <w:szCs w:val="24"/>
          <w:lang w:val="sr-Cyrl-RS"/>
        </w:rPr>
        <w:t xml:space="preserve">Најважнија новина је </w:t>
      </w:r>
      <w:r w:rsidRPr="00EC3436">
        <w:rPr>
          <w:rFonts w:cs="Times New Roman"/>
          <w:b/>
          <w:bCs/>
          <w:szCs w:val="24"/>
          <w:lang w:val="sr-Cyrl-RS"/>
        </w:rPr>
        <w:t>оснивање Фонда за реструктурирање банака</w:t>
      </w:r>
      <w:r w:rsidRPr="00EC3436">
        <w:rPr>
          <w:rFonts w:cs="Times New Roman"/>
          <w:szCs w:val="24"/>
          <w:lang w:val="sr-Cyrl-RS"/>
        </w:rPr>
        <w:t xml:space="preserve"> којим ће управљати Народна банка Србије. Увођењем овог заштитног механизма се врши усклађивање са Директивом о утврђивању оквира за опоравак и реструктурирање кредитних институција и инвестиционих друштава. Чланство у овом фонду ће бити обавезно за све банке, које ће непосредно, путем уплате доприноса, обезбедити средства за финансирање евентуалних поступака реструктурирања банака, чиме се умањују ризици од могуће употребе средстава пореских обвезника у ове сврхе.</w:t>
      </w:r>
    </w:p>
    <w:p w14:paraId="3B154D0E" w14:textId="77777777" w:rsidR="001D58B7" w:rsidRPr="00EC3436" w:rsidRDefault="001D58B7" w:rsidP="00CF6476">
      <w:pPr>
        <w:rPr>
          <w:rFonts w:cs="Times New Roman"/>
          <w:szCs w:val="24"/>
          <w:lang w:val="sr-Cyrl-RS"/>
        </w:rPr>
      </w:pPr>
      <w:r w:rsidRPr="00EC3436">
        <w:rPr>
          <w:rFonts w:cs="Times New Roman"/>
          <w:szCs w:val="24"/>
          <w:lang w:val="sr-Cyrl-RS"/>
        </w:rPr>
        <w:t xml:space="preserve">Поред тога, биће </w:t>
      </w:r>
      <w:r w:rsidRPr="00EC3436">
        <w:rPr>
          <w:rFonts w:cs="Times New Roman"/>
          <w:b/>
          <w:bCs/>
          <w:szCs w:val="24"/>
          <w:lang w:val="sr-Cyrl-RS"/>
        </w:rPr>
        <w:t>додатно ојачан оквир за пословање банака</w:t>
      </w:r>
      <w:r w:rsidRPr="00EC3436">
        <w:rPr>
          <w:rFonts w:cs="Times New Roman"/>
          <w:szCs w:val="24"/>
          <w:lang w:val="sr-Cyrl-RS"/>
        </w:rPr>
        <w:t xml:space="preserve"> и то пре свега путем детаљнијег регулисања корпоративног управљања у банкама (увођењем концепта носилаца кључних функција у банкама, додатног услова у вези са именовањем и разрешењем чланова управног одбора, унапређењем унутрашњих контрола у банци) и управљања ризицима којима су банке изложене у свом пословању. Посебна пажња посвећена је и релевантним аспектима </w:t>
      </w:r>
      <w:r w:rsidRPr="00EC3436">
        <w:rPr>
          <w:rFonts w:cs="Times New Roman"/>
          <w:b/>
          <w:bCs/>
          <w:szCs w:val="24"/>
          <w:lang w:val="sr-Cyrl-RS"/>
        </w:rPr>
        <w:t>управљања ризиком од прања новца и финансирања тероризма</w:t>
      </w:r>
      <w:r w:rsidRPr="00EC3436">
        <w:rPr>
          <w:rFonts w:cs="Times New Roman"/>
          <w:szCs w:val="24"/>
          <w:lang w:val="sr-Latn-RS"/>
        </w:rPr>
        <w:t xml:space="preserve">. </w:t>
      </w:r>
    </w:p>
    <w:p w14:paraId="3B39D84B" w14:textId="77777777" w:rsidR="001D58B7" w:rsidRPr="00EC3436" w:rsidRDefault="001D58B7" w:rsidP="00CF6476">
      <w:pPr>
        <w:rPr>
          <w:rFonts w:cs="Times New Roman"/>
          <w:szCs w:val="24"/>
          <w:lang w:val="sr-Cyrl-RS"/>
        </w:rPr>
      </w:pPr>
      <w:r w:rsidRPr="00EC3436">
        <w:rPr>
          <w:rFonts w:cs="Times New Roman"/>
          <w:b/>
          <w:bCs/>
          <w:szCs w:val="24"/>
          <w:lang w:val="sr-Cyrl-RS"/>
        </w:rPr>
        <w:lastRenderedPageBreak/>
        <w:t>Осавремењује се и супервизорска функција</w:t>
      </w:r>
      <w:r w:rsidRPr="00EC3436">
        <w:rPr>
          <w:rFonts w:cs="Times New Roman"/>
          <w:szCs w:val="24"/>
          <w:lang w:val="sr-Cyrl-RS"/>
        </w:rPr>
        <w:t xml:space="preserve"> Народне банке Србије, нарочито увођењем могућности закључења тзв. супервизорског споразума између Народне банке Србије и банке, а посебно у ситуацији када је потребна брза реакција ради отклањања неправилности, посебно ако те неправилности проузрокују или доприносе настанку материјалне штете за кориснике. Посебно се регулише и тзв. прикривена контрола путем које супервизори из Народне банке Србије треба да стекну увид у то како банка примењује прописе који регулишу банкарске услуге у односу на кориснике тих услуга. Додатно је надограђен и оквир за новчано кажњавање банака и чланова извршног и управног одбора банке и уређено објављивање изречених мера из поступка контроле. </w:t>
      </w:r>
    </w:p>
    <w:p w14:paraId="352B96A7" w14:textId="77777777" w:rsidR="001D58B7" w:rsidRPr="00EC3436" w:rsidRDefault="001D58B7" w:rsidP="00CF6476">
      <w:pPr>
        <w:rPr>
          <w:rFonts w:cs="Times New Roman"/>
          <w:szCs w:val="24"/>
          <w:lang w:val="sr-Latn-RS"/>
        </w:rPr>
      </w:pPr>
      <w:r w:rsidRPr="00EC3436">
        <w:rPr>
          <w:rFonts w:cs="Times New Roman"/>
          <w:szCs w:val="24"/>
          <w:lang w:val="sr-Cyrl-RS"/>
        </w:rPr>
        <w:t xml:space="preserve">Јавна расправа о Нацрту измена и допуна Закона о банкама је спроведена, а усвајање предложених измена и допуна се очекује до краја 2024. године. </w:t>
      </w:r>
    </w:p>
    <w:p w14:paraId="643F639A" w14:textId="77777777" w:rsidR="001D58B7" w:rsidRPr="00EC3436" w:rsidRDefault="001D58B7" w:rsidP="00CF6476">
      <w:pPr>
        <w:rPr>
          <w:rFonts w:cs="Times New Roman"/>
          <w:szCs w:val="24"/>
          <w:lang w:val="sr-Cyrl-RS"/>
        </w:rPr>
      </w:pPr>
      <w:r w:rsidRPr="00EC3436">
        <w:rPr>
          <w:rFonts w:cs="Times New Roman"/>
          <w:szCs w:val="24"/>
          <w:lang w:val="sr-Cyrl-RS"/>
        </w:rPr>
        <w:t>Усвајањем предложених измена и допуна Закона о банкама наставиће се процес хармонизације домаћег законодавства са прописима ЕУ уз комплетирање ефикасног и ефективног оквира за реструктурирање банака, уподобиће се законски оквир за пословање банака на основу потреба и искустава из праксе и извршиће се значајна унапређења у области контролне функције Народне банке Србије кроз проширење палете супервизорских инструмената расположивих при вршењу поступка контроле.</w:t>
      </w:r>
    </w:p>
    <w:bookmarkEnd w:id="8"/>
    <w:p w14:paraId="6EDCEA1A" w14:textId="77777777" w:rsidR="001D58B7" w:rsidRPr="00EC3436" w:rsidRDefault="001D58B7" w:rsidP="00CF6476">
      <w:pPr>
        <w:rPr>
          <w:rFonts w:cs="Times New Roman"/>
          <w:szCs w:val="24"/>
          <w:lang w:val="sr-Cyrl-RS"/>
        </w:rPr>
      </w:pPr>
      <w:r w:rsidRPr="00EC3436">
        <w:rPr>
          <w:rFonts w:cs="Times New Roman"/>
          <w:szCs w:val="24"/>
          <w:lang w:val="sr-Cyrl-RS"/>
        </w:rPr>
        <w:t xml:space="preserve">Успостављањем </w:t>
      </w:r>
      <w:r w:rsidRPr="00EC3436">
        <w:rPr>
          <w:rFonts w:cs="Times New Roman"/>
          <w:b/>
          <w:bCs/>
          <w:szCs w:val="24"/>
          <w:lang w:val="sr-Cyrl-RS"/>
        </w:rPr>
        <w:t>система за инстант плаћање</w:t>
      </w:r>
      <w:r w:rsidRPr="00EC3436">
        <w:rPr>
          <w:rFonts w:cs="Times New Roman"/>
          <w:szCs w:val="24"/>
          <w:lang w:val="sr-Cyrl-RS"/>
        </w:rPr>
        <w:t xml:space="preserve"> – </w:t>
      </w:r>
      <w:r w:rsidRPr="00EC3436">
        <w:rPr>
          <w:rFonts w:cs="Times New Roman"/>
          <w:i/>
          <w:iCs/>
          <w:szCs w:val="24"/>
          <w:lang w:val="sr-Cyrl-RS"/>
        </w:rPr>
        <w:t>IPS НБС</w:t>
      </w:r>
      <w:r w:rsidRPr="00EC3436">
        <w:rPr>
          <w:rFonts w:cs="Times New Roman"/>
          <w:szCs w:val="24"/>
          <w:lang w:val="sr-Cyrl-RS"/>
        </w:rPr>
        <w:t xml:space="preserve"> система, Народна банка Србије је омогућила да се мала плаћања извршавају у реалном времену 24/7/365. Поред развоја инфраструктуре за прихватање инстант плаћања на продајним местима трговаца кроз прихватање у касама трговаца, фисклани софтвер, мобилним апликацијама за трговце, ПОС терминалима и на интернет продајним местима, Народна банка Србије је унапредила услугу инстант плаћања на интернету имплементацијом </w:t>
      </w:r>
      <w:r w:rsidRPr="00EC3436">
        <w:rPr>
          <w:rFonts w:cs="Times New Roman"/>
          <w:i/>
          <w:iCs/>
          <w:szCs w:val="24"/>
          <w:lang w:val="sr-Cyrl-RS"/>
        </w:rPr>
        <w:t>deep link</w:t>
      </w:r>
      <w:r w:rsidRPr="00EC3436">
        <w:rPr>
          <w:rFonts w:cs="Times New Roman"/>
          <w:szCs w:val="24"/>
          <w:lang w:val="sr-Cyrl-RS"/>
        </w:rPr>
        <w:t xml:space="preserve"> технологије и тако купцима омогућила да цео процес куповине обаве коришћењем само једног уређаја (нпр. мобилног телефона), без остављања осетљивих података о платном инструменту на интернету. Oлакшано је и плаћање рачуна скенирањем </w:t>
      </w:r>
      <w:r w:rsidRPr="00EC3436">
        <w:rPr>
          <w:rFonts w:cs="Times New Roman"/>
          <w:i/>
          <w:iCs/>
          <w:szCs w:val="24"/>
          <w:lang w:val="sr-Cyrl-RS"/>
        </w:rPr>
        <w:t>NBS IPS QR</w:t>
      </w:r>
      <w:r w:rsidRPr="00EC3436">
        <w:rPr>
          <w:rFonts w:cs="Times New Roman"/>
          <w:szCs w:val="24"/>
          <w:lang w:val="sr-Cyrl-RS"/>
        </w:rPr>
        <w:t xml:space="preserve"> кода на рачунима/фактурама, без одласка у банку, што се показало нарочито ефикасно у време пандемије. Од септембра 2021. године банкама је омогућено да корисницима у апликацији мобилног банкарства понуде услугу, “</w:t>
      </w:r>
      <w:r w:rsidRPr="00EC3436">
        <w:rPr>
          <w:rFonts w:cs="Times New Roman"/>
          <w:i/>
          <w:szCs w:val="24"/>
          <w:lang w:val="sr-Cyrl-RS"/>
        </w:rPr>
        <w:t>Prenesi</w:t>
      </w:r>
      <w:r w:rsidRPr="00EC3436">
        <w:rPr>
          <w:rFonts w:cs="Times New Roman"/>
          <w:szCs w:val="24"/>
          <w:lang w:val="sr-Cyrl-RS"/>
        </w:rPr>
        <w:t xml:space="preserve">”, која им омогућава да новчана средства пошаљу примаоцу једноставно, брзо и сигурно, коришћењем само његовог броја мобилног телефона. Oмогућeнo je и инстант плаћање такси и накнада за услуге које пружају органи јавне управе на порталу еУправе, скенирањем </w:t>
      </w:r>
      <w:r w:rsidRPr="00EC3436">
        <w:rPr>
          <w:rFonts w:cs="Times New Roman"/>
          <w:i/>
          <w:iCs/>
          <w:szCs w:val="24"/>
          <w:lang w:val="sr-Cyrl-RS"/>
        </w:rPr>
        <w:t>NBS IPS QR</w:t>
      </w:r>
      <w:r w:rsidRPr="00EC3436">
        <w:rPr>
          <w:rFonts w:cs="Times New Roman"/>
          <w:szCs w:val="24"/>
          <w:lang w:val="sr-Cyrl-RS"/>
        </w:rPr>
        <w:t xml:space="preserve"> кôдa са јединствене уплатнице, чиме је пружен допринос даљој дигитализацији јавне управе и ефикасности пружања јавних услуга. </w:t>
      </w:r>
    </w:p>
    <w:p w14:paraId="2C0DDB83" w14:textId="77777777" w:rsidR="001D58B7" w:rsidRPr="00EC3436" w:rsidRDefault="001D58B7" w:rsidP="00CF6476">
      <w:pPr>
        <w:rPr>
          <w:rFonts w:cs="Times New Roman"/>
          <w:szCs w:val="24"/>
          <w:lang w:val="sr-Cyrl-RS"/>
        </w:rPr>
      </w:pPr>
      <w:r w:rsidRPr="00EC3436">
        <w:rPr>
          <w:rFonts w:cs="Times New Roman"/>
          <w:szCs w:val="24"/>
          <w:lang w:val="sr-Cyrl-RS"/>
        </w:rPr>
        <w:t xml:space="preserve">Развојем нове платне инфраструктуре засноване на инстант плаћањима, омогућено је и небанкарским пружаоцима платних услуга да постану учесници у </w:t>
      </w:r>
      <w:r w:rsidRPr="00EC3436">
        <w:rPr>
          <w:rFonts w:cs="Times New Roman"/>
          <w:i/>
          <w:iCs/>
          <w:szCs w:val="24"/>
          <w:lang w:val="sr-Cyrl-RS"/>
        </w:rPr>
        <w:t>IPS НБС</w:t>
      </w:r>
      <w:r w:rsidRPr="00EC3436">
        <w:rPr>
          <w:rFonts w:cs="Times New Roman"/>
          <w:szCs w:val="24"/>
          <w:lang w:val="sr-Cyrl-RS"/>
        </w:rPr>
        <w:t xml:space="preserve"> систему и да пружају услуге инстант плаћања чиме се подстиче конкурентност учесника на тржишту платних услуга. </w:t>
      </w:r>
    </w:p>
    <w:p w14:paraId="2AAAF201" w14:textId="77777777" w:rsidR="001D58B7" w:rsidRPr="00EC3436" w:rsidRDefault="001D58B7" w:rsidP="00CF6476">
      <w:pPr>
        <w:rPr>
          <w:rFonts w:cs="Times New Roman"/>
          <w:szCs w:val="24"/>
          <w:lang w:val="sr-Cyrl-RS"/>
        </w:rPr>
      </w:pPr>
      <w:r w:rsidRPr="00EC3436">
        <w:rPr>
          <w:rFonts w:cs="Times New Roman"/>
          <w:szCs w:val="24"/>
          <w:lang w:val="sr-Latn-RS"/>
        </w:rPr>
        <w:t xml:space="preserve">У оквиру активности на испуњавању критеријума за приступање Јединственој зони плаћања у еврима (СЕПА), Народна банка Србије је изменама и допунама </w:t>
      </w:r>
      <w:r w:rsidRPr="00EC3436">
        <w:rPr>
          <w:rFonts w:cs="Times New Roman"/>
          <w:b/>
          <w:bCs/>
          <w:szCs w:val="24"/>
          <w:lang w:val="sr-Latn-RS"/>
        </w:rPr>
        <w:t>Закона о платним услугама</w:t>
      </w:r>
      <w:r w:rsidRPr="00EC3436">
        <w:rPr>
          <w:rFonts w:cs="Times New Roman"/>
          <w:szCs w:val="24"/>
          <w:lang w:val="sr-Latn-RS"/>
        </w:rPr>
        <w:t xml:space="preserve"> које су усвојене 31. јула 2024. године и ступиле на снагу 8. августа 2024. године у потпуности транспонова</w:t>
      </w:r>
      <w:r w:rsidRPr="00EC3436">
        <w:rPr>
          <w:rFonts w:cs="Times New Roman"/>
          <w:szCs w:val="24"/>
          <w:lang w:val="sr-Cyrl-RS"/>
        </w:rPr>
        <w:t>ла Другу Директиву о платним услугама (</w:t>
      </w:r>
      <w:r w:rsidRPr="00EC3436">
        <w:rPr>
          <w:rFonts w:cs="Times New Roman"/>
          <w:szCs w:val="24"/>
          <w:lang w:val="sr-Latn-RS"/>
        </w:rPr>
        <w:t>ПСД2</w:t>
      </w:r>
      <w:r w:rsidRPr="00EC3436">
        <w:rPr>
          <w:rFonts w:cs="Times New Roman"/>
          <w:szCs w:val="24"/>
          <w:lang w:val="sr-Cyrl-RS"/>
        </w:rPr>
        <w:t>)</w:t>
      </w:r>
      <w:r w:rsidRPr="00EC3436">
        <w:rPr>
          <w:rFonts w:cs="Times New Roman"/>
          <w:szCs w:val="24"/>
          <w:lang w:val="sr-Latn-RS"/>
        </w:rPr>
        <w:t xml:space="preserve"> у национално законодавство</w:t>
      </w:r>
      <w:r w:rsidRPr="00EC3436">
        <w:rPr>
          <w:rFonts w:cs="Times New Roman"/>
          <w:szCs w:val="24"/>
          <w:lang w:val="sr-Cyrl-RS"/>
        </w:rPr>
        <w:t>.</w:t>
      </w:r>
      <w:r w:rsidRPr="00EC3436">
        <w:rPr>
          <w:rFonts w:cs="Times New Roman"/>
          <w:szCs w:val="24"/>
          <w:lang w:val="sr-Latn-RS"/>
        </w:rPr>
        <w:t xml:space="preserve"> Народна банка Србије је доне</w:t>
      </w:r>
      <w:r w:rsidRPr="00EC3436">
        <w:rPr>
          <w:rFonts w:cs="Times New Roman"/>
          <w:szCs w:val="24"/>
          <w:lang w:val="sr-Cyrl-RS"/>
        </w:rPr>
        <w:t>ла</w:t>
      </w:r>
      <w:r w:rsidRPr="00EC3436">
        <w:rPr>
          <w:rFonts w:cs="Times New Roman"/>
          <w:szCs w:val="24"/>
          <w:lang w:val="sr-Latn-RS"/>
        </w:rPr>
        <w:t xml:space="preserve"> </w:t>
      </w:r>
      <w:r w:rsidRPr="00EC3436">
        <w:rPr>
          <w:rFonts w:cs="Times New Roman"/>
          <w:szCs w:val="24"/>
          <w:lang w:val="sr-Cyrl-RS"/>
        </w:rPr>
        <w:t xml:space="preserve">и </w:t>
      </w:r>
      <w:r w:rsidRPr="00EC3436">
        <w:rPr>
          <w:rFonts w:cs="Times New Roman"/>
          <w:szCs w:val="24"/>
          <w:lang w:val="sr-Latn-RS"/>
        </w:rPr>
        <w:t>Одлуку о посебним условима за извршење кредитног трансфера и директних задужења у еврима („Службени гласник РС“, бр. 68/2024) којом се спроводи члан 5. и Анекс Уредбе (ЕУ) бр. 260/2012.</w:t>
      </w:r>
    </w:p>
    <w:p w14:paraId="7B12D9CA" w14:textId="288F1918" w:rsidR="001D58B7" w:rsidRPr="00EC3436" w:rsidRDefault="001D58B7" w:rsidP="00CF6476">
      <w:pPr>
        <w:rPr>
          <w:rFonts w:cs="Times New Roman"/>
          <w:szCs w:val="24"/>
          <w:lang w:val="sr-Cyrl-RS"/>
        </w:rPr>
      </w:pPr>
      <w:r w:rsidRPr="00EC3436">
        <w:rPr>
          <w:rFonts w:cs="Times New Roman"/>
          <w:szCs w:val="24"/>
          <w:lang w:val="sr-Cyrl-RS"/>
        </w:rPr>
        <w:lastRenderedPageBreak/>
        <w:t>Такође, Народна банка Србије је 14. августа 2024. године послала</w:t>
      </w:r>
      <w:r w:rsidR="00CF6476">
        <w:rPr>
          <w:rFonts w:cs="Times New Roman"/>
          <w:szCs w:val="24"/>
          <w:lang w:val="sr-Cyrl-RS"/>
        </w:rPr>
        <w:t xml:space="preserve"> </w:t>
      </w:r>
      <w:r w:rsidRPr="00EC3436">
        <w:rPr>
          <w:rFonts w:cs="Times New Roman"/>
          <w:szCs w:val="24"/>
          <w:lang w:val="sr-Cyrl-RS"/>
        </w:rPr>
        <w:t xml:space="preserve">„Нацрт Пријаве за приступање Републике Србије јединственом подручју за плаћања у еврима – СЕПА“ Европској комисији - Директорату за финансијску стабилност, финансијске услуге и унију тржишта капитала (DG FISMA), a затим 23. августа и Европском савету за плаћања ради прибављања прелиминарног мишљења. Нацрт Пријаве </w:t>
      </w:r>
      <w:r w:rsidRPr="00EC3436">
        <w:rPr>
          <w:rFonts w:cs="Times New Roman"/>
          <w:szCs w:val="24"/>
          <w:lang w:val="sr-Latn-RS"/>
        </w:rPr>
        <w:t xml:space="preserve">садржи свеобухватне информације које показују да Србија испуњава критеријуме прописане документом Европског </w:t>
      </w:r>
      <w:r w:rsidRPr="00EC3436">
        <w:rPr>
          <w:rFonts w:cs="Times New Roman"/>
          <w:szCs w:val="24"/>
          <w:lang w:val="sr-Cyrl-RS"/>
        </w:rPr>
        <w:t>савета за плаћања -</w:t>
      </w:r>
      <w:r w:rsidRPr="00EC3436">
        <w:rPr>
          <w:rFonts w:cs="Times New Roman"/>
          <w:szCs w:val="24"/>
          <w:lang w:val="sr-Latn-RS"/>
        </w:rPr>
        <w:t xml:space="preserve"> „Критеријуми за проширење географског опсега СЕПА“.</w:t>
      </w:r>
    </w:p>
    <w:p w14:paraId="1D3A1AE3" w14:textId="77777777" w:rsidR="001D58B7" w:rsidRPr="00EC3436" w:rsidRDefault="001D58B7" w:rsidP="00CF6476">
      <w:pPr>
        <w:rPr>
          <w:rFonts w:cs="Times New Roman"/>
          <w:szCs w:val="24"/>
          <w:lang w:val="sr-Latn-RS"/>
        </w:rPr>
      </w:pPr>
      <w:r w:rsidRPr="00EC3436">
        <w:rPr>
          <w:rFonts w:cs="Times New Roman"/>
          <w:szCs w:val="24"/>
          <w:lang w:val="sr-Latn-RS"/>
        </w:rPr>
        <w:t xml:space="preserve">Народна банка Србије планира да поднесе формалну (потпуну) пријаву Европском савету за платни промет најкасније до краја првог </w:t>
      </w:r>
      <w:r w:rsidRPr="00EC3436">
        <w:rPr>
          <w:rFonts w:cs="Times New Roman"/>
          <w:szCs w:val="24"/>
          <w:lang w:val="sr-Cyrl-RS"/>
        </w:rPr>
        <w:t>тромесечја</w:t>
      </w:r>
      <w:r w:rsidRPr="00EC3436">
        <w:rPr>
          <w:rFonts w:cs="Times New Roman"/>
          <w:szCs w:val="24"/>
          <w:lang w:val="sr-Latn-RS"/>
        </w:rPr>
        <w:t xml:space="preserve"> 2025. године.</w:t>
      </w:r>
    </w:p>
    <w:p w14:paraId="1B58E02D" w14:textId="4577D518" w:rsidR="00EC3436" w:rsidRDefault="001D58B7" w:rsidP="00EC3436">
      <w:pPr>
        <w:rPr>
          <w:rFonts w:cs="Times New Roman"/>
          <w:szCs w:val="24"/>
          <w:lang w:val="sr-Cyrl-RS"/>
        </w:rPr>
      </w:pPr>
      <w:r w:rsidRPr="00EC3436">
        <w:rPr>
          <w:rFonts w:cs="Times New Roman"/>
          <w:szCs w:val="24"/>
          <w:lang w:val="sr-Cyrl-RS"/>
        </w:rPr>
        <w:t xml:space="preserve">Уз уважавање глобалних трендова, у Републици Србији </w:t>
      </w:r>
      <w:r w:rsidRPr="00EC3436">
        <w:rPr>
          <w:rFonts w:cs="Times New Roman"/>
          <w:b/>
          <w:bCs/>
          <w:szCs w:val="24"/>
          <w:lang w:val="sr-Cyrl-RS"/>
        </w:rPr>
        <w:t>усвојен је Закон о дигиталној имовини</w:t>
      </w:r>
      <w:r w:rsidRPr="00EC3436">
        <w:rPr>
          <w:rFonts w:cs="Times New Roman"/>
          <w:szCs w:val="24"/>
          <w:lang w:val="sr-Cyrl-RS"/>
        </w:rPr>
        <w:t xml:space="preserve"> којим се детаљно уређује издавање и секундарно трговање дигиталном имовином, укључујући и пословање платформи за трговање виртуелним валутама и њихову замену за новац. Закон је почео да се примењује 29. јуна 2021. године. Народна банка Србије је од почетка примене Закона о дигиталној имовини, дала две дозволе за пружање услуга повезаних с виртуелним валутама, тако да у Републици Србији тренутно послују два лиценцирана пружаоца услуга повезаних с дигиталном имовином.</w:t>
      </w:r>
    </w:p>
    <w:p w14:paraId="2136DE6D" w14:textId="77777777" w:rsidR="0093681C" w:rsidRPr="0093681C" w:rsidRDefault="0093681C" w:rsidP="00EC3436">
      <w:pPr>
        <w:rPr>
          <w:rFonts w:cs="Times New Roman"/>
          <w:szCs w:val="24"/>
          <w:lang w:val="sr-Cyrl-RS"/>
        </w:rPr>
      </w:pPr>
    </w:p>
    <w:bookmarkEnd w:id="0"/>
    <w:bookmarkEnd w:id="1"/>
    <w:bookmarkEnd w:id="4"/>
    <w:p w14:paraId="537B9EF4" w14:textId="77777777" w:rsidR="00C4765D" w:rsidRPr="00652D12" w:rsidRDefault="00C4765D" w:rsidP="00E8578D">
      <w:pPr>
        <w:keepNext/>
        <w:keepLines/>
        <w:spacing w:after="160"/>
        <w:outlineLvl w:val="1"/>
        <w:rPr>
          <w:rFonts w:eastAsia="Calibri" w:cs="Times New Roman"/>
          <w:szCs w:val="24"/>
          <w:lang w:val="sr-Cyrl-RS"/>
        </w:rPr>
      </w:pPr>
      <w:r w:rsidRPr="00652D12">
        <w:rPr>
          <w:rFonts w:eastAsia="Calibri" w:cs="Times New Roman"/>
          <w:szCs w:val="24"/>
          <w:lang w:val="sr-Cyrl-RS"/>
        </w:rPr>
        <w:t xml:space="preserve">3. </w:t>
      </w:r>
      <w:r w:rsidR="0047017C" w:rsidRPr="00652D12">
        <w:rPr>
          <w:rFonts w:eastAsia="Calibri" w:cs="Times New Roman"/>
          <w:szCs w:val="24"/>
          <w:lang w:val="sr-Cyrl-RS"/>
        </w:rPr>
        <w:t>СРЕДЊОРОЧНИ МАКРОЕКОНОМСКИ СЦЕНАРИО</w:t>
      </w:r>
    </w:p>
    <w:p w14:paraId="6FA47184" w14:textId="77777777" w:rsidR="00A72478" w:rsidRDefault="000F7989" w:rsidP="00C4765D">
      <w:r w:rsidRPr="000F7989">
        <w:rPr>
          <w:rFonts w:cstheme="minorHAnsi"/>
          <w:bCs/>
          <w:szCs w:val="72"/>
          <w:lang w:val="sr-Cyrl-RS"/>
        </w:rPr>
        <w:t>Очекивана средњорочна кретања реалног сектора узимају у обзир актуелне економске трендове и изгледе за Србију и међународно окружење. Влада ће и у наредном периоду водити одговорну и предвидиву фискалну политику, синхронизовану са монетарном политиком и фокусирану на минимизирање негативних економских последица повећаних геополитичких тензија, али и на лоцирању нових извора раста. И овим трогодишњим сценариом Влада остаје посвећена очувању модела привредног раста који се заснива на инвестицијама и извозу, а који је подржан растом приватне потрошње и даљем расту стандарда становништва.</w:t>
      </w:r>
      <w:r w:rsidRPr="000F7989">
        <w:t xml:space="preserve"> </w:t>
      </w:r>
    </w:p>
    <w:p w14:paraId="44F827FA" w14:textId="3429BDA2" w:rsidR="00A8410A" w:rsidRPr="00447F5E" w:rsidRDefault="000F7989" w:rsidP="00C4765D">
      <w:pPr>
        <w:rPr>
          <w:rFonts w:cstheme="minorHAnsi"/>
          <w:bCs/>
          <w:szCs w:val="72"/>
          <w:lang w:val="sr-Cyrl-RS"/>
        </w:rPr>
      </w:pPr>
      <w:r w:rsidRPr="000F7989">
        <w:rPr>
          <w:rFonts w:cstheme="minorHAnsi"/>
          <w:bCs/>
          <w:szCs w:val="72"/>
          <w:lang w:val="sr-Cyrl-RS"/>
        </w:rPr>
        <w:t>Према средњорочној макроекономској пројекцији, кумулативна стопа раста у периоду од 2025. до 2027. године изно</w:t>
      </w:r>
      <w:r w:rsidR="004D230C">
        <w:rPr>
          <w:rFonts w:cstheme="minorHAnsi"/>
          <w:bCs/>
          <w:szCs w:val="72"/>
          <w:lang w:val="sr-Cyrl-RS"/>
        </w:rPr>
        <w:t>сиће 13,7%.</w:t>
      </w:r>
      <w:r>
        <w:rPr>
          <w:rFonts w:cstheme="minorHAnsi"/>
          <w:bCs/>
          <w:szCs w:val="72"/>
          <w:lang w:val="sr-Cyrl-RS"/>
        </w:rPr>
        <w:t xml:space="preserve"> Р</w:t>
      </w:r>
      <w:r w:rsidRPr="000F7989">
        <w:rPr>
          <w:rFonts w:cstheme="minorHAnsi"/>
          <w:bCs/>
          <w:szCs w:val="72"/>
          <w:lang w:val="sr-Cyrl-RS"/>
        </w:rPr>
        <w:t xml:space="preserve">аст привреде биће опредељен растом домаће тражње, уз благо негативан допринос нето извоза. Овај извор раста детерминисан је како снажним наставком инвестиционог циклуса и растом инвестиционе активности, тако и повећањем приватне потрошње домаћинстава услед раста реалног расположивог дохотка. Просечно годишње, српска привреда ће расти по стопи од 4,4%. Повећање реалне потрошње становништва ће пратити раст економске активности и у просеку ће износити 3,4%. Очекује се стабилан раст фиксних инвестиција који ће у просеку износити 7,4% годишње. Висок ниво јавних инвестиција биће праћен и растом приватних инвестиција, тако да се на крају пројекцијског периода очекује учешће фиксних инвестиција у БДП од 26,5%. Са активирањем нових производних капацитета и опоравком спољне тражње повећаваће се и обим спољнотрговинске размене. Поред тога, ефектуирање СДИ из претходног периода допринеће повећању конкуренције и утицати на ефикасност домаћих произвођача, док ће са друге стране бити активирани нови канали продаје и отворене нове тржишне нише. Извоз ће у просеку годишње расти по стопи од 7,6% што је брже од очекиваног годишњег раста увоза који ће у просеку износити 6,9%, али ће због већег учешћа увоза, допринос нето извоза расту БДП бити благо негативан. </w:t>
      </w:r>
    </w:p>
    <w:p w14:paraId="3A2F8E1D" w14:textId="77777777" w:rsidR="00F515FA" w:rsidRDefault="00F515FA" w:rsidP="00C4765D">
      <w:pPr>
        <w:rPr>
          <w:rFonts w:eastAsia="Calibri" w:cs="Times New Roman"/>
          <w:bCs/>
          <w:szCs w:val="24"/>
          <w:lang w:val="sr-Cyrl-RS"/>
        </w:rPr>
      </w:pPr>
    </w:p>
    <w:p w14:paraId="01C297F9" w14:textId="77777777" w:rsidR="00F515FA" w:rsidRDefault="00F515FA" w:rsidP="00C4765D">
      <w:pPr>
        <w:rPr>
          <w:rFonts w:eastAsia="Calibri" w:cs="Times New Roman"/>
          <w:bCs/>
          <w:szCs w:val="24"/>
          <w:lang w:val="sr-Cyrl-RS"/>
        </w:rPr>
      </w:pPr>
    </w:p>
    <w:p w14:paraId="41BD3C32" w14:textId="2A8D1746" w:rsidR="00912CA5" w:rsidRPr="002C25D1" w:rsidRDefault="00C4765D" w:rsidP="00C4765D">
      <w:pPr>
        <w:rPr>
          <w:rFonts w:eastAsia="Calibri" w:cs="Times New Roman"/>
          <w:bCs/>
          <w:szCs w:val="24"/>
          <w:lang w:val="sr-Cyrl-RS"/>
        </w:rPr>
      </w:pPr>
      <w:r w:rsidRPr="00652D12">
        <w:rPr>
          <w:rFonts w:eastAsia="Calibri" w:cs="Times New Roman"/>
          <w:bCs/>
          <w:szCs w:val="24"/>
          <w:lang w:val="sr-Cyrl-RS"/>
        </w:rPr>
        <w:lastRenderedPageBreak/>
        <w:t>Табела 2. Пројекција основних макроекономских показатеља Републике Србије</w:t>
      </w:r>
      <w:r w:rsidR="00912CA5">
        <w:rPr>
          <w:rFonts w:eastAsia="Calibri" w:cs="Times New Roman"/>
          <w:bCs/>
          <w:szCs w:val="24"/>
          <w:lang w:val="sr-Cyrl-RS"/>
        </w:rPr>
        <w:fldChar w:fldCharType="begin"/>
      </w:r>
      <w:r w:rsidR="00912CA5">
        <w:rPr>
          <w:rFonts w:eastAsia="Calibri" w:cs="Times New Roman"/>
          <w:bCs/>
          <w:szCs w:val="24"/>
          <w:lang w:val="sr-Cyrl-RS"/>
        </w:rPr>
        <w:instrText xml:space="preserve"> LINK Excel.Sheet.12 "Book1" "Sheet1!R1C2:R10C7" \a \f 5 \h  \* MERGEFORMAT </w:instrText>
      </w:r>
      <w:r w:rsidR="00912CA5">
        <w:rPr>
          <w:rFonts w:eastAsia="Calibri" w:cs="Times New Roman"/>
          <w:bCs/>
          <w:szCs w:val="24"/>
          <w:lang w:val="sr-Cyrl-RS"/>
        </w:rPr>
        <w:fldChar w:fldCharType="separate"/>
      </w:r>
    </w:p>
    <w:tbl>
      <w:tblPr>
        <w:tblStyle w:val="TableGrid"/>
        <w:tblW w:w="8607" w:type="dxa"/>
        <w:tblLook w:val="04A0" w:firstRow="1" w:lastRow="0" w:firstColumn="1" w:lastColumn="0" w:noHBand="0" w:noVBand="1"/>
      </w:tblPr>
      <w:tblGrid>
        <w:gridCol w:w="2901"/>
        <w:gridCol w:w="1296"/>
        <w:gridCol w:w="861"/>
        <w:gridCol w:w="1182"/>
        <w:gridCol w:w="1182"/>
        <w:gridCol w:w="1185"/>
      </w:tblGrid>
      <w:tr w:rsidR="005C4156" w:rsidRPr="00912CA5" w14:paraId="44DBD79D" w14:textId="77777777" w:rsidTr="00EC3436">
        <w:trPr>
          <w:cnfStyle w:val="100000000000" w:firstRow="1" w:lastRow="0" w:firstColumn="0" w:lastColumn="0" w:oddVBand="0" w:evenVBand="0" w:oddHBand="0" w:evenHBand="0" w:firstRowFirstColumn="0" w:firstRowLastColumn="0" w:lastRowFirstColumn="0" w:lastRowLastColumn="0"/>
          <w:trHeight w:val="147"/>
        </w:trPr>
        <w:tc>
          <w:tcPr>
            <w:tcW w:w="2901" w:type="dxa"/>
            <w:vMerge w:val="restart"/>
            <w:hideMark/>
          </w:tcPr>
          <w:p w14:paraId="161A91B8" w14:textId="5F25A1CE" w:rsidR="005C4156" w:rsidRPr="00912CA5" w:rsidRDefault="005C4156" w:rsidP="00EC3436">
            <w:pPr>
              <w:spacing w:before="0" w:after="0"/>
              <w:ind w:left="0" w:right="0"/>
              <w:rPr>
                <w:rFonts w:eastAsia="Calibri" w:cs="Times New Roman"/>
                <w:bCs/>
                <w:sz w:val="20"/>
                <w:szCs w:val="24"/>
              </w:rPr>
            </w:pPr>
            <w:r w:rsidRPr="00912CA5">
              <w:rPr>
                <w:rFonts w:eastAsia="Calibri" w:cs="Times New Roman"/>
                <w:bCs/>
                <w:sz w:val="20"/>
                <w:szCs w:val="24"/>
                <w:lang w:val="sr-Cyrl-RS"/>
              </w:rPr>
              <w:t> </w:t>
            </w:r>
          </w:p>
        </w:tc>
        <w:tc>
          <w:tcPr>
            <w:tcW w:w="1296" w:type="dxa"/>
            <w:hideMark/>
          </w:tcPr>
          <w:p w14:paraId="14550947" w14:textId="77777777" w:rsidR="005C4156" w:rsidRPr="00912CA5" w:rsidRDefault="005C4156" w:rsidP="00EC3436">
            <w:pPr>
              <w:spacing w:before="0" w:after="0"/>
              <w:ind w:left="0" w:right="0"/>
              <w:rPr>
                <w:rFonts w:eastAsia="Calibri" w:cs="Times New Roman"/>
                <w:bCs/>
                <w:sz w:val="20"/>
                <w:szCs w:val="24"/>
              </w:rPr>
            </w:pPr>
            <w:r w:rsidRPr="00912CA5">
              <w:rPr>
                <w:rFonts w:eastAsia="Calibri" w:cs="Times New Roman"/>
                <w:bCs/>
                <w:sz w:val="20"/>
                <w:szCs w:val="24"/>
                <w:lang w:val="sr-Cyrl-RS"/>
              </w:rPr>
              <w:t>Процена</w:t>
            </w:r>
          </w:p>
        </w:tc>
        <w:tc>
          <w:tcPr>
            <w:tcW w:w="861" w:type="dxa"/>
            <w:vMerge w:val="restart"/>
            <w:hideMark/>
          </w:tcPr>
          <w:p w14:paraId="3FF12C73" w14:textId="77777777" w:rsidR="005C4156" w:rsidRPr="00912CA5" w:rsidRDefault="005C4156" w:rsidP="00EC3436">
            <w:pPr>
              <w:spacing w:before="0" w:after="0"/>
              <w:ind w:left="0" w:right="0"/>
              <w:rPr>
                <w:rFonts w:eastAsia="Calibri" w:cs="Times New Roman"/>
                <w:b w:val="0"/>
                <w:bCs/>
                <w:sz w:val="20"/>
                <w:szCs w:val="24"/>
              </w:rPr>
            </w:pPr>
            <w:r w:rsidRPr="00912CA5">
              <w:rPr>
                <w:rFonts w:eastAsia="Calibri" w:cs="Times New Roman"/>
                <w:bCs/>
                <w:sz w:val="20"/>
                <w:szCs w:val="24"/>
                <w:lang w:val="sr-Cyrl-RS"/>
              </w:rPr>
              <w:t> </w:t>
            </w:r>
          </w:p>
          <w:p w14:paraId="22431896" w14:textId="77777777" w:rsidR="005C4156" w:rsidRPr="00912CA5" w:rsidRDefault="005C4156" w:rsidP="00EC3436">
            <w:pPr>
              <w:spacing w:before="0" w:after="0"/>
              <w:ind w:left="0" w:right="0"/>
              <w:jc w:val="right"/>
              <w:rPr>
                <w:rFonts w:eastAsia="Calibri" w:cs="Times New Roman"/>
                <w:bCs/>
                <w:sz w:val="20"/>
                <w:szCs w:val="24"/>
              </w:rPr>
            </w:pPr>
            <w:r w:rsidRPr="00912CA5">
              <w:rPr>
                <w:rFonts w:eastAsia="Calibri" w:cs="Times New Roman"/>
                <w:bCs/>
                <w:sz w:val="20"/>
                <w:szCs w:val="24"/>
                <w:lang w:val="sr-Cyrl-RS"/>
              </w:rPr>
              <w:t> </w:t>
            </w:r>
          </w:p>
          <w:p w14:paraId="0313000C" w14:textId="77777777" w:rsidR="005C4156" w:rsidRPr="00912CA5" w:rsidRDefault="005C4156" w:rsidP="00EC3436">
            <w:pPr>
              <w:spacing w:before="0" w:after="0"/>
              <w:ind w:left="0" w:right="0"/>
              <w:jc w:val="right"/>
              <w:rPr>
                <w:rFonts w:eastAsia="Calibri" w:cs="Times New Roman"/>
                <w:bCs/>
                <w:sz w:val="20"/>
                <w:szCs w:val="24"/>
              </w:rPr>
            </w:pPr>
            <w:r w:rsidRPr="00912CA5">
              <w:rPr>
                <w:rFonts w:eastAsia="Calibri" w:cs="Times New Roman"/>
                <w:bCs/>
                <w:sz w:val="20"/>
                <w:szCs w:val="24"/>
                <w:lang w:val="sr-Cyrl-RS"/>
              </w:rPr>
              <w:t> </w:t>
            </w:r>
          </w:p>
          <w:p w14:paraId="0AF57FC4" w14:textId="77777777" w:rsidR="005C4156" w:rsidRPr="00912CA5" w:rsidRDefault="005C4156" w:rsidP="00EC3436">
            <w:pPr>
              <w:spacing w:before="0" w:after="0"/>
              <w:ind w:left="0" w:right="0"/>
              <w:jc w:val="right"/>
              <w:rPr>
                <w:rFonts w:eastAsia="Calibri" w:cs="Times New Roman"/>
                <w:bCs/>
                <w:sz w:val="20"/>
                <w:szCs w:val="24"/>
              </w:rPr>
            </w:pPr>
            <w:r w:rsidRPr="00912CA5">
              <w:rPr>
                <w:rFonts w:eastAsia="Calibri" w:cs="Times New Roman"/>
                <w:bCs/>
                <w:sz w:val="20"/>
                <w:szCs w:val="24"/>
                <w:lang w:val="sr-Cyrl-RS"/>
              </w:rPr>
              <w:t> </w:t>
            </w:r>
          </w:p>
          <w:p w14:paraId="0733268D" w14:textId="77777777" w:rsidR="005C4156" w:rsidRPr="00912CA5" w:rsidRDefault="005C4156" w:rsidP="00EC3436">
            <w:pPr>
              <w:spacing w:before="0" w:after="0"/>
              <w:ind w:left="0" w:right="0"/>
              <w:jc w:val="right"/>
              <w:rPr>
                <w:rFonts w:eastAsia="Calibri" w:cs="Times New Roman"/>
                <w:bCs/>
                <w:sz w:val="20"/>
                <w:szCs w:val="24"/>
              </w:rPr>
            </w:pPr>
            <w:r w:rsidRPr="00912CA5">
              <w:rPr>
                <w:rFonts w:eastAsia="Calibri" w:cs="Times New Roman"/>
                <w:bCs/>
                <w:sz w:val="20"/>
                <w:szCs w:val="24"/>
                <w:lang w:val="sr-Cyrl-RS"/>
              </w:rPr>
              <w:t> </w:t>
            </w:r>
          </w:p>
          <w:p w14:paraId="505A9700" w14:textId="77777777" w:rsidR="005C4156" w:rsidRPr="00912CA5" w:rsidRDefault="005C4156" w:rsidP="00EC3436">
            <w:pPr>
              <w:spacing w:before="0" w:after="0"/>
              <w:ind w:left="0" w:right="0"/>
              <w:jc w:val="right"/>
              <w:rPr>
                <w:rFonts w:eastAsia="Calibri" w:cs="Times New Roman"/>
                <w:bCs/>
                <w:sz w:val="20"/>
                <w:szCs w:val="24"/>
              </w:rPr>
            </w:pPr>
            <w:r w:rsidRPr="00912CA5">
              <w:rPr>
                <w:rFonts w:eastAsia="Calibri" w:cs="Times New Roman"/>
                <w:bCs/>
                <w:sz w:val="20"/>
                <w:szCs w:val="24"/>
                <w:lang w:val="sr-Cyrl-RS"/>
              </w:rPr>
              <w:t> </w:t>
            </w:r>
          </w:p>
          <w:p w14:paraId="3E5FB6E4" w14:textId="77777777" w:rsidR="005C4156" w:rsidRPr="00912CA5" w:rsidRDefault="005C4156" w:rsidP="00EC3436">
            <w:pPr>
              <w:spacing w:before="0" w:after="0"/>
              <w:ind w:left="0" w:right="0"/>
              <w:jc w:val="right"/>
              <w:rPr>
                <w:rFonts w:eastAsia="Calibri" w:cs="Times New Roman"/>
                <w:bCs/>
                <w:sz w:val="20"/>
                <w:szCs w:val="24"/>
              </w:rPr>
            </w:pPr>
            <w:r w:rsidRPr="00912CA5">
              <w:rPr>
                <w:rFonts w:eastAsia="Calibri" w:cs="Times New Roman"/>
                <w:bCs/>
                <w:sz w:val="20"/>
                <w:szCs w:val="24"/>
                <w:lang w:val="sr-Cyrl-RS"/>
              </w:rPr>
              <w:t> </w:t>
            </w:r>
          </w:p>
          <w:p w14:paraId="78F81E3E" w14:textId="77777777" w:rsidR="005C4156" w:rsidRPr="00912CA5" w:rsidRDefault="005C4156" w:rsidP="00EC3436">
            <w:pPr>
              <w:spacing w:before="0" w:after="0"/>
              <w:ind w:left="0" w:right="0"/>
              <w:jc w:val="right"/>
              <w:rPr>
                <w:rFonts w:eastAsia="Calibri" w:cs="Times New Roman"/>
                <w:bCs/>
                <w:sz w:val="20"/>
                <w:szCs w:val="24"/>
              </w:rPr>
            </w:pPr>
            <w:r w:rsidRPr="00912CA5">
              <w:rPr>
                <w:rFonts w:eastAsia="Calibri" w:cs="Times New Roman"/>
                <w:bCs/>
                <w:sz w:val="20"/>
                <w:szCs w:val="24"/>
                <w:lang w:val="sr-Cyrl-RS"/>
              </w:rPr>
              <w:t> </w:t>
            </w:r>
          </w:p>
          <w:p w14:paraId="1D519C92" w14:textId="61AD336C" w:rsidR="005C4156" w:rsidRPr="00912CA5" w:rsidRDefault="005C4156" w:rsidP="00EC3436">
            <w:pPr>
              <w:spacing w:before="0" w:after="0"/>
              <w:ind w:left="0" w:right="0"/>
              <w:jc w:val="right"/>
              <w:rPr>
                <w:rFonts w:eastAsia="Calibri" w:cs="Times New Roman"/>
                <w:bCs/>
                <w:sz w:val="20"/>
                <w:szCs w:val="24"/>
              </w:rPr>
            </w:pPr>
            <w:r w:rsidRPr="00912CA5">
              <w:rPr>
                <w:rFonts w:eastAsia="Calibri" w:cs="Times New Roman"/>
                <w:bCs/>
                <w:sz w:val="20"/>
                <w:szCs w:val="24"/>
                <w:lang w:val="sr-Cyrl-RS"/>
              </w:rPr>
              <w:t> </w:t>
            </w:r>
          </w:p>
        </w:tc>
        <w:tc>
          <w:tcPr>
            <w:tcW w:w="3549" w:type="dxa"/>
            <w:gridSpan w:val="3"/>
            <w:hideMark/>
          </w:tcPr>
          <w:p w14:paraId="5EF05438" w14:textId="77777777" w:rsidR="005C4156" w:rsidRPr="00912CA5" w:rsidRDefault="005C4156" w:rsidP="00EC3436">
            <w:pPr>
              <w:spacing w:before="0" w:after="0"/>
              <w:ind w:left="0" w:right="0"/>
              <w:jc w:val="center"/>
              <w:rPr>
                <w:rFonts w:eastAsia="Calibri" w:cs="Times New Roman"/>
                <w:bCs/>
                <w:sz w:val="20"/>
                <w:szCs w:val="24"/>
              </w:rPr>
            </w:pPr>
            <w:r w:rsidRPr="00912CA5">
              <w:rPr>
                <w:rFonts w:eastAsia="Calibri" w:cs="Times New Roman"/>
                <w:bCs/>
                <w:sz w:val="20"/>
                <w:szCs w:val="24"/>
                <w:lang w:val="sr-Cyrl-RS"/>
              </w:rPr>
              <w:t>Пројекције</w:t>
            </w:r>
          </w:p>
        </w:tc>
      </w:tr>
      <w:tr w:rsidR="005C4156" w:rsidRPr="00912CA5" w14:paraId="4AE6CC45" w14:textId="77777777" w:rsidTr="00EC3436">
        <w:trPr>
          <w:trHeight w:val="147"/>
        </w:trPr>
        <w:tc>
          <w:tcPr>
            <w:tcW w:w="2901" w:type="dxa"/>
            <w:vMerge/>
            <w:hideMark/>
          </w:tcPr>
          <w:p w14:paraId="40EB71C2" w14:textId="77777777" w:rsidR="005C4156" w:rsidRPr="00912CA5" w:rsidRDefault="005C4156" w:rsidP="00EC3436">
            <w:pPr>
              <w:spacing w:before="0" w:after="0"/>
              <w:ind w:left="0" w:right="0"/>
              <w:rPr>
                <w:rFonts w:eastAsia="Calibri" w:cs="Times New Roman"/>
                <w:bCs/>
                <w:sz w:val="20"/>
                <w:szCs w:val="24"/>
              </w:rPr>
            </w:pPr>
          </w:p>
        </w:tc>
        <w:tc>
          <w:tcPr>
            <w:tcW w:w="1296" w:type="dxa"/>
            <w:hideMark/>
          </w:tcPr>
          <w:p w14:paraId="23780382" w14:textId="77777777" w:rsidR="005C4156" w:rsidRPr="00912CA5" w:rsidRDefault="005C4156" w:rsidP="00EC3436">
            <w:pPr>
              <w:spacing w:before="0" w:after="0"/>
              <w:ind w:left="0" w:right="0"/>
              <w:jc w:val="center"/>
              <w:rPr>
                <w:rFonts w:eastAsia="Calibri" w:cs="Times New Roman"/>
                <w:bCs/>
                <w:sz w:val="20"/>
                <w:szCs w:val="24"/>
              </w:rPr>
            </w:pPr>
            <w:r w:rsidRPr="00912CA5">
              <w:rPr>
                <w:rFonts w:eastAsia="Calibri" w:cs="Times New Roman"/>
                <w:bCs/>
                <w:sz w:val="20"/>
                <w:szCs w:val="24"/>
                <w:lang w:val="sr-Cyrl-RS"/>
              </w:rPr>
              <w:t>2024</w:t>
            </w:r>
          </w:p>
        </w:tc>
        <w:tc>
          <w:tcPr>
            <w:tcW w:w="861" w:type="dxa"/>
            <w:vMerge/>
            <w:hideMark/>
          </w:tcPr>
          <w:p w14:paraId="4E2B5882" w14:textId="5807D7DD" w:rsidR="005C4156" w:rsidRPr="00912CA5" w:rsidRDefault="005C4156" w:rsidP="00EC3436">
            <w:pPr>
              <w:spacing w:before="0" w:after="0"/>
              <w:ind w:left="0" w:right="0"/>
              <w:jc w:val="right"/>
              <w:rPr>
                <w:rFonts w:eastAsia="Calibri" w:cs="Times New Roman"/>
                <w:bCs/>
                <w:sz w:val="20"/>
                <w:szCs w:val="24"/>
              </w:rPr>
            </w:pPr>
          </w:p>
        </w:tc>
        <w:tc>
          <w:tcPr>
            <w:tcW w:w="1182" w:type="dxa"/>
            <w:hideMark/>
          </w:tcPr>
          <w:p w14:paraId="6FEF5B99" w14:textId="77777777" w:rsidR="005C4156" w:rsidRPr="00912CA5" w:rsidRDefault="005C4156" w:rsidP="00EC3436">
            <w:pPr>
              <w:spacing w:before="0" w:after="0"/>
              <w:ind w:left="0" w:right="0"/>
              <w:jc w:val="center"/>
              <w:rPr>
                <w:rFonts w:eastAsia="Calibri" w:cs="Times New Roman"/>
                <w:bCs/>
                <w:sz w:val="20"/>
                <w:szCs w:val="24"/>
              </w:rPr>
            </w:pPr>
            <w:r w:rsidRPr="00912CA5">
              <w:rPr>
                <w:rFonts w:eastAsia="Calibri" w:cs="Times New Roman"/>
                <w:bCs/>
                <w:sz w:val="20"/>
                <w:szCs w:val="24"/>
                <w:lang w:val="sr-Cyrl-RS"/>
              </w:rPr>
              <w:t>2025</w:t>
            </w:r>
          </w:p>
        </w:tc>
        <w:tc>
          <w:tcPr>
            <w:tcW w:w="1182" w:type="dxa"/>
            <w:hideMark/>
          </w:tcPr>
          <w:p w14:paraId="4C99FDC2" w14:textId="77777777" w:rsidR="005C4156" w:rsidRPr="00912CA5" w:rsidRDefault="005C4156" w:rsidP="00EC3436">
            <w:pPr>
              <w:spacing w:before="0" w:after="0"/>
              <w:ind w:left="0" w:right="0"/>
              <w:jc w:val="center"/>
              <w:rPr>
                <w:rFonts w:eastAsia="Calibri" w:cs="Times New Roman"/>
                <w:bCs/>
                <w:sz w:val="20"/>
                <w:szCs w:val="24"/>
              </w:rPr>
            </w:pPr>
            <w:r w:rsidRPr="00912CA5">
              <w:rPr>
                <w:rFonts w:eastAsia="Calibri" w:cs="Times New Roman"/>
                <w:bCs/>
                <w:sz w:val="20"/>
                <w:szCs w:val="24"/>
                <w:lang w:val="sr-Cyrl-RS"/>
              </w:rPr>
              <w:t>2026</w:t>
            </w:r>
          </w:p>
        </w:tc>
        <w:tc>
          <w:tcPr>
            <w:tcW w:w="1183" w:type="dxa"/>
            <w:hideMark/>
          </w:tcPr>
          <w:p w14:paraId="4AA8DB03" w14:textId="77777777" w:rsidR="005C4156" w:rsidRPr="00912CA5" w:rsidRDefault="005C4156" w:rsidP="00EC3436">
            <w:pPr>
              <w:spacing w:before="0" w:after="0"/>
              <w:ind w:left="0" w:right="0"/>
              <w:jc w:val="center"/>
              <w:rPr>
                <w:rFonts w:eastAsia="Calibri" w:cs="Times New Roman"/>
                <w:bCs/>
                <w:sz w:val="20"/>
                <w:szCs w:val="24"/>
              </w:rPr>
            </w:pPr>
            <w:r w:rsidRPr="00912CA5">
              <w:rPr>
                <w:rFonts w:eastAsia="Calibri" w:cs="Times New Roman"/>
                <w:bCs/>
                <w:sz w:val="20"/>
                <w:szCs w:val="24"/>
                <w:lang w:val="sr-Cyrl-RS"/>
              </w:rPr>
              <w:t>2027</w:t>
            </w:r>
          </w:p>
        </w:tc>
      </w:tr>
      <w:tr w:rsidR="005C4156" w:rsidRPr="00912CA5" w14:paraId="09F27D01" w14:textId="77777777" w:rsidTr="00EC3436">
        <w:trPr>
          <w:trHeight w:val="273"/>
        </w:trPr>
        <w:tc>
          <w:tcPr>
            <w:tcW w:w="2901" w:type="dxa"/>
            <w:hideMark/>
          </w:tcPr>
          <w:p w14:paraId="1337462A" w14:textId="77777777" w:rsidR="005C4156" w:rsidRPr="00912CA5" w:rsidRDefault="005C4156" w:rsidP="00EC3436">
            <w:pPr>
              <w:spacing w:before="0" w:after="0"/>
              <w:ind w:left="0" w:right="0"/>
              <w:rPr>
                <w:rFonts w:eastAsia="Calibri" w:cs="Times New Roman"/>
                <w:bCs/>
                <w:sz w:val="20"/>
                <w:szCs w:val="24"/>
              </w:rPr>
            </w:pPr>
            <w:r w:rsidRPr="00912CA5">
              <w:rPr>
                <w:rFonts w:eastAsia="Calibri" w:cs="Times New Roman"/>
                <w:bCs/>
                <w:sz w:val="20"/>
                <w:szCs w:val="24"/>
                <w:lang w:val="sr-Cyrl-RS"/>
              </w:rPr>
              <w:t>БДП, млрд динара (текуће цене)</w:t>
            </w:r>
          </w:p>
        </w:tc>
        <w:tc>
          <w:tcPr>
            <w:tcW w:w="1296" w:type="dxa"/>
            <w:hideMark/>
          </w:tcPr>
          <w:p w14:paraId="4A8B7D98" w14:textId="77777777" w:rsidR="005C4156" w:rsidRPr="00912CA5" w:rsidRDefault="005C4156" w:rsidP="00EC3436">
            <w:pPr>
              <w:spacing w:before="0" w:after="0"/>
              <w:ind w:left="0" w:right="0"/>
              <w:jc w:val="right"/>
              <w:rPr>
                <w:rFonts w:eastAsia="Calibri" w:cs="Times New Roman"/>
                <w:bCs/>
                <w:sz w:val="20"/>
                <w:szCs w:val="24"/>
              </w:rPr>
            </w:pPr>
            <w:r w:rsidRPr="00912CA5">
              <w:rPr>
                <w:rFonts w:eastAsia="Calibri" w:cs="Times New Roman"/>
                <w:bCs/>
                <w:sz w:val="20"/>
                <w:szCs w:val="24"/>
                <w:lang w:val="sr-Cyrl-RS"/>
              </w:rPr>
              <w:t>9.604,8</w:t>
            </w:r>
          </w:p>
        </w:tc>
        <w:tc>
          <w:tcPr>
            <w:tcW w:w="861" w:type="dxa"/>
            <w:vMerge/>
            <w:hideMark/>
          </w:tcPr>
          <w:p w14:paraId="645DFCDE" w14:textId="3E5E77C4" w:rsidR="005C4156" w:rsidRPr="00912CA5" w:rsidRDefault="005C4156" w:rsidP="00EC3436">
            <w:pPr>
              <w:spacing w:before="0" w:after="0"/>
              <w:ind w:left="0" w:right="0"/>
              <w:jc w:val="right"/>
              <w:rPr>
                <w:rFonts w:eastAsia="Calibri" w:cs="Times New Roman"/>
                <w:bCs/>
                <w:sz w:val="20"/>
                <w:szCs w:val="24"/>
              </w:rPr>
            </w:pPr>
          </w:p>
        </w:tc>
        <w:tc>
          <w:tcPr>
            <w:tcW w:w="1182" w:type="dxa"/>
            <w:hideMark/>
          </w:tcPr>
          <w:p w14:paraId="04BAC9E3" w14:textId="77777777" w:rsidR="005C4156" w:rsidRPr="00912CA5" w:rsidRDefault="005C4156" w:rsidP="00EC3436">
            <w:pPr>
              <w:spacing w:before="0" w:after="0"/>
              <w:ind w:left="0" w:right="0"/>
              <w:jc w:val="right"/>
              <w:rPr>
                <w:rFonts w:eastAsia="Calibri" w:cs="Times New Roman"/>
                <w:bCs/>
                <w:sz w:val="20"/>
                <w:szCs w:val="24"/>
              </w:rPr>
            </w:pPr>
            <w:r w:rsidRPr="00912CA5">
              <w:rPr>
                <w:rFonts w:eastAsia="Calibri" w:cs="Times New Roman"/>
                <w:bCs/>
                <w:sz w:val="20"/>
                <w:szCs w:val="24"/>
                <w:lang w:val="sr-Cyrl-RS"/>
              </w:rPr>
              <w:t>10.328,9</w:t>
            </w:r>
          </w:p>
        </w:tc>
        <w:tc>
          <w:tcPr>
            <w:tcW w:w="1182" w:type="dxa"/>
            <w:hideMark/>
          </w:tcPr>
          <w:p w14:paraId="0CDFB8E6" w14:textId="77777777" w:rsidR="005C4156" w:rsidRPr="00912CA5" w:rsidRDefault="005C4156" w:rsidP="00EC3436">
            <w:pPr>
              <w:spacing w:before="0" w:after="0"/>
              <w:ind w:left="0" w:right="0"/>
              <w:jc w:val="right"/>
              <w:rPr>
                <w:rFonts w:eastAsia="Calibri" w:cs="Times New Roman"/>
                <w:bCs/>
                <w:sz w:val="20"/>
                <w:szCs w:val="24"/>
              </w:rPr>
            </w:pPr>
            <w:r w:rsidRPr="00912CA5">
              <w:rPr>
                <w:rFonts w:eastAsia="Calibri" w:cs="Times New Roman"/>
                <w:bCs/>
                <w:sz w:val="20"/>
                <w:szCs w:val="24"/>
                <w:lang w:val="sr-Cyrl-RS"/>
              </w:rPr>
              <w:t>11.087,6</w:t>
            </w:r>
          </w:p>
        </w:tc>
        <w:tc>
          <w:tcPr>
            <w:tcW w:w="1183" w:type="dxa"/>
            <w:hideMark/>
          </w:tcPr>
          <w:p w14:paraId="7DC50234" w14:textId="77777777" w:rsidR="005C4156" w:rsidRPr="00912CA5" w:rsidRDefault="005C4156" w:rsidP="00EC3436">
            <w:pPr>
              <w:spacing w:before="0" w:after="0"/>
              <w:ind w:left="0" w:right="0"/>
              <w:jc w:val="right"/>
              <w:rPr>
                <w:rFonts w:eastAsia="Calibri" w:cs="Times New Roman"/>
                <w:bCs/>
                <w:sz w:val="20"/>
                <w:szCs w:val="24"/>
              </w:rPr>
            </w:pPr>
            <w:r w:rsidRPr="00912CA5">
              <w:rPr>
                <w:rFonts w:eastAsia="Calibri" w:cs="Times New Roman"/>
                <w:bCs/>
                <w:sz w:val="20"/>
                <w:szCs w:val="24"/>
                <w:lang w:val="sr-Cyrl-RS"/>
              </w:rPr>
              <w:t>11.993,1</w:t>
            </w:r>
          </w:p>
        </w:tc>
      </w:tr>
      <w:tr w:rsidR="005C4156" w:rsidRPr="00912CA5" w14:paraId="39AB9D0A" w14:textId="77777777" w:rsidTr="00EC3436">
        <w:trPr>
          <w:trHeight w:val="273"/>
        </w:trPr>
        <w:tc>
          <w:tcPr>
            <w:tcW w:w="2901" w:type="dxa"/>
            <w:hideMark/>
          </w:tcPr>
          <w:p w14:paraId="36B2496F" w14:textId="77777777" w:rsidR="005C4156" w:rsidRPr="00912CA5" w:rsidRDefault="005C4156" w:rsidP="00EC3436">
            <w:pPr>
              <w:spacing w:before="0" w:after="0"/>
              <w:ind w:left="0" w:right="0"/>
              <w:rPr>
                <w:rFonts w:eastAsia="Calibri" w:cs="Times New Roman"/>
                <w:bCs/>
                <w:sz w:val="20"/>
                <w:szCs w:val="24"/>
              </w:rPr>
            </w:pPr>
            <w:r w:rsidRPr="00912CA5">
              <w:rPr>
                <w:rFonts w:eastAsia="Calibri" w:cs="Times New Roman"/>
                <w:bCs/>
                <w:sz w:val="20"/>
                <w:szCs w:val="24"/>
                <w:lang w:val="sr-Cyrl-RS"/>
              </w:rPr>
              <w:t>Реални раст БДП, %</w:t>
            </w:r>
          </w:p>
        </w:tc>
        <w:tc>
          <w:tcPr>
            <w:tcW w:w="1296" w:type="dxa"/>
            <w:hideMark/>
          </w:tcPr>
          <w:p w14:paraId="70B7F865" w14:textId="77777777" w:rsidR="005C4156" w:rsidRPr="00912CA5" w:rsidRDefault="005C4156" w:rsidP="00EC3436">
            <w:pPr>
              <w:spacing w:before="0" w:after="0"/>
              <w:ind w:left="0" w:right="0"/>
              <w:jc w:val="right"/>
              <w:rPr>
                <w:rFonts w:eastAsia="Calibri" w:cs="Times New Roman"/>
                <w:bCs/>
                <w:sz w:val="20"/>
                <w:szCs w:val="24"/>
              </w:rPr>
            </w:pPr>
            <w:r w:rsidRPr="00912CA5">
              <w:rPr>
                <w:rFonts w:eastAsia="Calibri" w:cs="Times New Roman"/>
                <w:bCs/>
                <w:sz w:val="20"/>
                <w:szCs w:val="24"/>
                <w:lang w:val="sr-Cyrl-RS"/>
              </w:rPr>
              <w:t>3,8</w:t>
            </w:r>
          </w:p>
        </w:tc>
        <w:tc>
          <w:tcPr>
            <w:tcW w:w="861" w:type="dxa"/>
            <w:vMerge/>
            <w:hideMark/>
          </w:tcPr>
          <w:p w14:paraId="5CC1290F" w14:textId="4599691D" w:rsidR="005C4156" w:rsidRPr="00912CA5" w:rsidRDefault="005C4156" w:rsidP="00EC3436">
            <w:pPr>
              <w:spacing w:before="0" w:after="0"/>
              <w:ind w:left="0" w:right="0"/>
              <w:jc w:val="right"/>
              <w:rPr>
                <w:rFonts w:eastAsia="Calibri" w:cs="Times New Roman"/>
                <w:bCs/>
                <w:sz w:val="20"/>
                <w:szCs w:val="24"/>
              </w:rPr>
            </w:pPr>
          </w:p>
        </w:tc>
        <w:tc>
          <w:tcPr>
            <w:tcW w:w="1182" w:type="dxa"/>
            <w:hideMark/>
          </w:tcPr>
          <w:p w14:paraId="795113B7" w14:textId="77777777" w:rsidR="005C4156" w:rsidRPr="00912CA5" w:rsidRDefault="005C4156" w:rsidP="00EC3436">
            <w:pPr>
              <w:spacing w:before="0" w:after="0"/>
              <w:ind w:left="0" w:right="0"/>
              <w:jc w:val="right"/>
              <w:rPr>
                <w:rFonts w:eastAsia="Calibri" w:cs="Times New Roman"/>
                <w:bCs/>
                <w:sz w:val="20"/>
                <w:szCs w:val="24"/>
              </w:rPr>
            </w:pPr>
            <w:r w:rsidRPr="00912CA5">
              <w:rPr>
                <w:rFonts w:eastAsia="Calibri" w:cs="Times New Roman"/>
                <w:bCs/>
                <w:sz w:val="20"/>
                <w:szCs w:val="24"/>
                <w:lang w:val="sr-Cyrl-RS"/>
              </w:rPr>
              <w:t>4,2</w:t>
            </w:r>
          </w:p>
        </w:tc>
        <w:tc>
          <w:tcPr>
            <w:tcW w:w="1182" w:type="dxa"/>
            <w:hideMark/>
          </w:tcPr>
          <w:p w14:paraId="366E4992" w14:textId="77777777" w:rsidR="005C4156" w:rsidRPr="00912CA5" w:rsidRDefault="005C4156" w:rsidP="00EC3436">
            <w:pPr>
              <w:spacing w:before="0" w:after="0"/>
              <w:ind w:left="0" w:right="0"/>
              <w:jc w:val="right"/>
              <w:rPr>
                <w:rFonts w:eastAsia="Calibri" w:cs="Times New Roman"/>
                <w:bCs/>
                <w:sz w:val="20"/>
                <w:szCs w:val="24"/>
              </w:rPr>
            </w:pPr>
            <w:r w:rsidRPr="00912CA5">
              <w:rPr>
                <w:rFonts w:eastAsia="Calibri" w:cs="Times New Roman"/>
                <w:bCs/>
                <w:sz w:val="20"/>
                <w:szCs w:val="24"/>
                <w:lang w:val="sr-Cyrl-RS"/>
              </w:rPr>
              <w:t>4,0</w:t>
            </w:r>
          </w:p>
        </w:tc>
        <w:tc>
          <w:tcPr>
            <w:tcW w:w="1183" w:type="dxa"/>
            <w:hideMark/>
          </w:tcPr>
          <w:p w14:paraId="400923B5" w14:textId="77777777" w:rsidR="005C4156" w:rsidRPr="00912CA5" w:rsidRDefault="005C4156" w:rsidP="00EC3436">
            <w:pPr>
              <w:spacing w:before="0" w:after="0"/>
              <w:ind w:left="0" w:right="0"/>
              <w:jc w:val="right"/>
              <w:rPr>
                <w:rFonts w:eastAsia="Calibri" w:cs="Times New Roman"/>
                <w:bCs/>
                <w:sz w:val="20"/>
                <w:szCs w:val="24"/>
              </w:rPr>
            </w:pPr>
            <w:r w:rsidRPr="00912CA5">
              <w:rPr>
                <w:rFonts w:eastAsia="Calibri" w:cs="Times New Roman"/>
                <w:bCs/>
                <w:sz w:val="20"/>
                <w:szCs w:val="24"/>
                <w:lang w:val="sr-Cyrl-RS"/>
              </w:rPr>
              <w:t>5,0</w:t>
            </w:r>
          </w:p>
        </w:tc>
      </w:tr>
      <w:tr w:rsidR="005C4156" w:rsidRPr="00912CA5" w14:paraId="2D8944F2" w14:textId="77777777" w:rsidTr="00EC3436">
        <w:trPr>
          <w:trHeight w:val="273"/>
        </w:trPr>
        <w:tc>
          <w:tcPr>
            <w:tcW w:w="2901" w:type="dxa"/>
            <w:hideMark/>
          </w:tcPr>
          <w:p w14:paraId="07B44AA6" w14:textId="77777777" w:rsidR="005C4156" w:rsidRPr="00912CA5" w:rsidRDefault="005C4156" w:rsidP="00EC3436">
            <w:pPr>
              <w:spacing w:before="0" w:after="0"/>
              <w:ind w:left="0" w:right="0"/>
              <w:rPr>
                <w:rFonts w:eastAsia="Calibri" w:cs="Times New Roman"/>
                <w:bCs/>
                <w:sz w:val="20"/>
                <w:szCs w:val="24"/>
              </w:rPr>
            </w:pPr>
            <w:r w:rsidRPr="00912CA5">
              <w:rPr>
                <w:rFonts w:eastAsia="Calibri" w:cs="Times New Roman"/>
                <w:bCs/>
                <w:sz w:val="20"/>
                <w:szCs w:val="24"/>
                <w:lang w:val="sr-Cyrl-RS"/>
              </w:rPr>
              <w:t>Дефлатор БДП, %</w:t>
            </w:r>
          </w:p>
        </w:tc>
        <w:tc>
          <w:tcPr>
            <w:tcW w:w="1296" w:type="dxa"/>
            <w:hideMark/>
          </w:tcPr>
          <w:p w14:paraId="2AA076C2" w14:textId="77777777" w:rsidR="005C4156" w:rsidRPr="00912CA5" w:rsidRDefault="005C4156" w:rsidP="00EC3436">
            <w:pPr>
              <w:spacing w:before="0" w:after="0"/>
              <w:ind w:left="0" w:right="0"/>
              <w:jc w:val="right"/>
              <w:rPr>
                <w:rFonts w:eastAsia="Calibri" w:cs="Times New Roman"/>
                <w:bCs/>
                <w:sz w:val="20"/>
                <w:szCs w:val="24"/>
              </w:rPr>
            </w:pPr>
            <w:r w:rsidRPr="00912CA5">
              <w:rPr>
                <w:rFonts w:eastAsia="Calibri" w:cs="Times New Roman"/>
                <w:bCs/>
                <w:sz w:val="20"/>
                <w:szCs w:val="24"/>
                <w:lang w:val="sr-Cyrl-RS"/>
              </w:rPr>
              <w:t>5,0</w:t>
            </w:r>
          </w:p>
        </w:tc>
        <w:tc>
          <w:tcPr>
            <w:tcW w:w="861" w:type="dxa"/>
            <w:vMerge/>
            <w:hideMark/>
          </w:tcPr>
          <w:p w14:paraId="68F8A9A5" w14:textId="13264E0C" w:rsidR="005C4156" w:rsidRPr="00912CA5" w:rsidRDefault="005C4156" w:rsidP="00EC3436">
            <w:pPr>
              <w:spacing w:before="0" w:after="0"/>
              <w:ind w:left="0" w:right="0"/>
              <w:jc w:val="right"/>
              <w:rPr>
                <w:rFonts w:eastAsia="Calibri" w:cs="Times New Roman"/>
                <w:bCs/>
                <w:sz w:val="20"/>
                <w:szCs w:val="24"/>
              </w:rPr>
            </w:pPr>
          </w:p>
        </w:tc>
        <w:tc>
          <w:tcPr>
            <w:tcW w:w="1182" w:type="dxa"/>
            <w:hideMark/>
          </w:tcPr>
          <w:p w14:paraId="26910F7C" w14:textId="77777777" w:rsidR="005C4156" w:rsidRPr="00912CA5" w:rsidRDefault="005C4156" w:rsidP="00EC3436">
            <w:pPr>
              <w:spacing w:before="0" w:after="0"/>
              <w:ind w:left="0" w:right="0"/>
              <w:jc w:val="right"/>
              <w:rPr>
                <w:rFonts w:eastAsia="Calibri" w:cs="Times New Roman"/>
                <w:bCs/>
                <w:sz w:val="20"/>
                <w:szCs w:val="24"/>
              </w:rPr>
            </w:pPr>
            <w:r w:rsidRPr="00912CA5">
              <w:rPr>
                <w:rFonts w:eastAsia="Calibri" w:cs="Times New Roman"/>
                <w:bCs/>
                <w:sz w:val="20"/>
                <w:szCs w:val="24"/>
                <w:lang w:val="sr-Cyrl-RS"/>
              </w:rPr>
              <w:t>3,2</w:t>
            </w:r>
          </w:p>
        </w:tc>
        <w:tc>
          <w:tcPr>
            <w:tcW w:w="1182" w:type="dxa"/>
            <w:hideMark/>
          </w:tcPr>
          <w:p w14:paraId="260BDB25" w14:textId="77777777" w:rsidR="005C4156" w:rsidRPr="00912CA5" w:rsidRDefault="005C4156" w:rsidP="00EC3436">
            <w:pPr>
              <w:spacing w:before="0" w:after="0"/>
              <w:ind w:left="0" w:right="0"/>
              <w:jc w:val="right"/>
              <w:rPr>
                <w:rFonts w:eastAsia="Calibri" w:cs="Times New Roman"/>
                <w:bCs/>
                <w:sz w:val="20"/>
                <w:szCs w:val="24"/>
              </w:rPr>
            </w:pPr>
            <w:r w:rsidRPr="00912CA5">
              <w:rPr>
                <w:rFonts w:eastAsia="Calibri" w:cs="Times New Roman"/>
                <w:bCs/>
                <w:sz w:val="20"/>
                <w:szCs w:val="24"/>
                <w:lang w:val="sr-Cyrl-RS"/>
              </w:rPr>
              <w:t>3,2</w:t>
            </w:r>
          </w:p>
        </w:tc>
        <w:tc>
          <w:tcPr>
            <w:tcW w:w="1183" w:type="dxa"/>
            <w:hideMark/>
          </w:tcPr>
          <w:p w14:paraId="2FE2DEC7" w14:textId="77777777" w:rsidR="005C4156" w:rsidRPr="00912CA5" w:rsidRDefault="005C4156" w:rsidP="00EC3436">
            <w:pPr>
              <w:spacing w:before="0" w:after="0"/>
              <w:ind w:left="0" w:right="0"/>
              <w:jc w:val="right"/>
              <w:rPr>
                <w:rFonts w:eastAsia="Calibri" w:cs="Times New Roman"/>
                <w:bCs/>
                <w:sz w:val="20"/>
                <w:szCs w:val="24"/>
              </w:rPr>
            </w:pPr>
            <w:r w:rsidRPr="00912CA5">
              <w:rPr>
                <w:rFonts w:eastAsia="Calibri" w:cs="Times New Roman"/>
                <w:bCs/>
                <w:sz w:val="20"/>
                <w:szCs w:val="24"/>
                <w:lang w:val="sr-Cyrl-RS"/>
              </w:rPr>
              <w:t>3,0</w:t>
            </w:r>
          </w:p>
        </w:tc>
      </w:tr>
      <w:tr w:rsidR="005C4156" w:rsidRPr="00912CA5" w14:paraId="5EC585BA" w14:textId="77777777" w:rsidTr="00EC3436">
        <w:trPr>
          <w:trHeight w:val="273"/>
        </w:trPr>
        <w:tc>
          <w:tcPr>
            <w:tcW w:w="2901" w:type="dxa"/>
            <w:hideMark/>
          </w:tcPr>
          <w:p w14:paraId="0626CACA" w14:textId="77777777" w:rsidR="005C4156" w:rsidRPr="00912CA5" w:rsidRDefault="005C4156" w:rsidP="00EC3436">
            <w:pPr>
              <w:spacing w:before="0" w:after="0"/>
              <w:ind w:left="0" w:right="0"/>
              <w:rPr>
                <w:rFonts w:eastAsia="Calibri" w:cs="Times New Roman"/>
                <w:bCs/>
                <w:sz w:val="20"/>
                <w:szCs w:val="24"/>
              </w:rPr>
            </w:pPr>
            <w:r w:rsidRPr="00912CA5">
              <w:rPr>
                <w:rFonts w:eastAsia="Calibri" w:cs="Times New Roman"/>
                <w:bCs/>
                <w:sz w:val="20"/>
                <w:szCs w:val="24"/>
                <w:lang w:val="sr-Cyrl-RS"/>
              </w:rPr>
              <w:t>Лична потрошња</w:t>
            </w:r>
          </w:p>
        </w:tc>
        <w:tc>
          <w:tcPr>
            <w:tcW w:w="1296" w:type="dxa"/>
            <w:hideMark/>
          </w:tcPr>
          <w:p w14:paraId="193E56D1" w14:textId="77777777" w:rsidR="005C4156" w:rsidRPr="00912CA5" w:rsidRDefault="005C4156" w:rsidP="00EC3436">
            <w:pPr>
              <w:spacing w:before="0" w:after="0"/>
              <w:ind w:left="0" w:right="0"/>
              <w:jc w:val="right"/>
              <w:rPr>
                <w:rFonts w:eastAsia="Calibri" w:cs="Times New Roman"/>
                <w:bCs/>
                <w:sz w:val="20"/>
                <w:szCs w:val="24"/>
              </w:rPr>
            </w:pPr>
            <w:r w:rsidRPr="00912CA5">
              <w:rPr>
                <w:rFonts w:eastAsia="Calibri" w:cs="Times New Roman"/>
                <w:bCs/>
                <w:sz w:val="20"/>
                <w:szCs w:val="24"/>
                <w:lang w:val="sr-Cyrl-RS"/>
              </w:rPr>
              <w:t>4,5</w:t>
            </w:r>
          </w:p>
        </w:tc>
        <w:tc>
          <w:tcPr>
            <w:tcW w:w="861" w:type="dxa"/>
            <w:vMerge/>
            <w:hideMark/>
          </w:tcPr>
          <w:p w14:paraId="07954295" w14:textId="54BF96B1" w:rsidR="005C4156" w:rsidRPr="00912CA5" w:rsidRDefault="005C4156" w:rsidP="00EC3436">
            <w:pPr>
              <w:spacing w:before="0" w:after="0"/>
              <w:ind w:left="0" w:right="0"/>
              <w:jc w:val="right"/>
              <w:rPr>
                <w:rFonts w:eastAsia="Calibri" w:cs="Times New Roman"/>
                <w:bCs/>
                <w:sz w:val="20"/>
                <w:szCs w:val="24"/>
              </w:rPr>
            </w:pPr>
          </w:p>
        </w:tc>
        <w:tc>
          <w:tcPr>
            <w:tcW w:w="1182" w:type="dxa"/>
            <w:hideMark/>
          </w:tcPr>
          <w:p w14:paraId="0427F984" w14:textId="77777777" w:rsidR="005C4156" w:rsidRPr="00912CA5" w:rsidRDefault="005C4156" w:rsidP="00EC3436">
            <w:pPr>
              <w:spacing w:before="0" w:after="0"/>
              <w:ind w:left="0" w:right="0"/>
              <w:jc w:val="right"/>
              <w:rPr>
                <w:rFonts w:eastAsia="Calibri" w:cs="Times New Roman"/>
                <w:bCs/>
                <w:sz w:val="20"/>
                <w:szCs w:val="24"/>
              </w:rPr>
            </w:pPr>
            <w:r w:rsidRPr="00912CA5">
              <w:rPr>
                <w:rFonts w:eastAsia="Calibri" w:cs="Times New Roman"/>
                <w:bCs/>
                <w:sz w:val="20"/>
                <w:szCs w:val="24"/>
                <w:lang w:val="sr-Cyrl-RS"/>
              </w:rPr>
              <w:t>4,1</w:t>
            </w:r>
          </w:p>
        </w:tc>
        <w:tc>
          <w:tcPr>
            <w:tcW w:w="1182" w:type="dxa"/>
            <w:hideMark/>
          </w:tcPr>
          <w:p w14:paraId="0C9BF6F3" w14:textId="77777777" w:rsidR="005C4156" w:rsidRPr="00912CA5" w:rsidRDefault="005C4156" w:rsidP="00EC3436">
            <w:pPr>
              <w:spacing w:before="0" w:after="0"/>
              <w:ind w:left="0" w:right="0"/>
              <w:jc w:val="right"/>
              <w:rPr>
                <w:rFonts w:eastAsia="Calibri" w:cs="Times New Roman"/>
                <w:bCs/>
                <w:sz w:val="20"/>
                <w:szCs w:val="24"/>
              </w:rPr>
            </w:pPr>
            <w:r w:rsidRPr="00912CA5">
              <w:rPr>
                <w:rFonts w:eastAsia="Calibri" w:cs="Times New Roman"/>
                <w:bCs/>
                <w:sz w:val="20"/>
                <w:szCs w:val="24"/>
                <w:lang w:val="sr-Cyrl-RS"/>
              </w:rPr>
              <w:t>3,2</w:t>
            </w:r>
          </w:p>
        </w:tc>
        <w:tc>
          <w:tcPr>
            <w:tcW w:w="1183" w:type="dxa"/>
            <w:hideMark/>
          </w:tcPr>
          <w:p w14:paraId="565D9261" w14:textId="77777777" w:rsidR="005C4156" w:rsidRPr="00912CA5" w:rsidRDefault="005C4156" w:rsidP="00EC3436">
            <w:pPr>
              <w:spacing w:before="0" w:after="0"/>
              <w:ind w:left="0" w:right="0"/>
              <w:jc w:val="right"/>
              <w:rPr>
                <w:rFonts w:eastAsia="Calibri" w:cs="Times New Roman"/>
                <w:bCs/>
                <w:sz w:val="20"/>
                <w:szCs w:val="24"/>
              </w:rPr>
            </w:pPr>
            <w:r w:rsidRPr="00912CA5">
              <w:rPr>
                <w:rFonts w:eastAsia="Calibri" w:cs="Times New Roman"/>
                <w:bCs/>
                <w:sz w:val="20"/>
                <w:szCs w:val="24"/>
                <w:lang w:val="sr-Cyrl-RS"/>
              </w:rPr>
              <w:t>2,9</w:t>
            </w:r>
          </w:p>
        </w:tc>
      </w:tr>
      <w:tr w:rsidR="005C4156" w:rsidRPr="00912CA5" w14:paraId="48B2301E" w14:textId="77777777" w:rsidTr="00EC3436">
        <w:trPr>
          <w:trHeight w:val="273"/>
        </w:trPr>
        <w:tc>
          <w:tcPr>
            <w:tcW w:w="2901" w:type="dxa"/>
            <w:hideMark/>
          </w:tcPr>
          <w:p w14:paraId="5AA81F63" w14:textId="77777777" w:rsidR="005C4156" w:rsidRPr="00912CA5" w:rsidRDefault="005C4156" w:rsidP="00EC3436">
            <w:pPr>
              <w:spacing w:before="0" w:after="0"/>
              <w:ind w:left="0" w:right="0"/>
              <w:rPr>
                <w:rFonts w:eastAsia="Calibri" w:cs="Times New Roman"/>
                <w:bCs/>
                <w:sz w:val="20"/>
                <w:szCs w:val="24"/>
              </w:rPr>
            </w:pPr>
            <w:r w:rsidRPr="00912CA5">
              <w:rPr>
                <w:rFonts w:eastAsia="Calibri" w:cs="Times New Roman"/>
                <w:bCs/>
                <w:sz w:val="20"/>
                <w:szCs w:val="24"/>
                <w:lang w:val="sr-Cyrl-RS"/>
              </w:rPr>
              <w:t>Државна потрошња</w:t>
            </w:r>
          </w:p>
        </w:tc>
        <w:tc>
          <w:tcPr>
            <w:tcW w:w="1296" w:type="dxa"/>
            <w:hideMark/>
          </w:tcPr>
          <w:p w14:paraId="7EC90B9A" w14:textId="77777777" w:rsidR="005C4156" w:rsidRPr="00912CA5" w:rsidRDefault="005C4156" w:rsidP="00EC3436">
            <w:pPr>
              <w:spacing w:before="0" w:after="0"/>
              <w:ind w:left="0" w:right="0"/>
              <w:jc w:val="right"/>
              <w:rPr>
                <w:rFonts w:eastAsia="Calibri" w:cs="Times New Roman"/>
                <w:bCs/>
                <w:sz w:val="20"/>
                <w:szCs w:val="24"/>
              </w:rPr>
            </w:pPr>
            <w:r w:rsidRPr="00912CA5">
              <w:rPr>
                <w:rFonts w:eastAsia="Calibri" w:cs="Times New Roman"/>
                <w:bCs/>
                <w:sz w:val="20"/>
                <w:szCs w:val="24"/>
                <w:lang w:val="sr-Cyrl-RS"/>
              </w:rPr>
              <w:t>3,1</w:t>
            </w:r>
          </w:p>
        </w:tc>
        <w:tc>
          <w:tcPr>
            <w:tcW w:w="861" w:type="dxa"/>
            <w:vMerge/>
            <w:hideMark/>
          </w:tcPr>
          <w:p w14:paraId="01CF0FB4" w14:textId="537CE575" w:rsidR="005C4156" w:rsidRPr="00912CA5" w:rsidRDefault="005C4156" w:rsidP="00EC3436">
            <w:pPr>
              <w:spacing w:before="0" w:after="0"/>
              <w:ind w:left="0" w:right="0"/>
              <w:jc w:val="right"/>
              <w:rPr>
                <w:rFonts w:eastAsia="Calibri" w:cs="Times New Roman"/>
                <w:bCs/>
                <w:sz w:val="20"/>
                <w:szCs w:val="24"/>
              </w:rPr>
            </w:pPr>
          </w:p>
        </w:tc>
        <w:tc>
          <w:tcPr>
            <w:tcW w:w="1182" w:type="dxa"/>
            <w:hideMark/>
          </w:tcPr>
          <w:p w14:paraId="7F9A307F" w14:textId="77777777" w:rsidR="005C4156" w:rsidRPr="00912CA5" w:rsidRDefault="005C4156" w:rsidP="00EC3436">
            <w:pPr>
              <w:spacing w:before="0" w:after="0"/>
              <w:ind w:left="0" w:right="0"/>
              <w:jc w:val="right"/>
              <w:rPr>
                <w:rFonts w:eastAsia="Calibri" w:cs="Times New Roman"/>
                <w:bCs/>
                <w:sz w:val="20"/>
                <w:szCs w:val="24"/>
              </w:rPr>
            </w:pPr>
            <w:r w:rsidRPr="00912CA5">
              <w:rPr>
                <w:rFonts w:eastAsia="Calibri" w:cs="Times New Roman"/>
                <w:bCs/>
                <w:sz w:val="20"/>
                <w:szCs w:val="24"/>
                <w:lang w:val="sr-Cyrl-RS"/>
              </w:rPr>
              <w:t>2,2</w:t>
            </w:r>
          </w:p>
        </w:tc>
        <w:tc>
          <w:tcPr>
            <w:tcW w:w="1182" w:type="dxa"/>
            <w:hideMark/>
          </w:tcPr>
          <w:p w14:paraId="59437C9C" w14:textId="77777777" w:rsidR="005C4156" w:rsidRPr="00912CA5" w:rsidRDefault="005C4156" w:rsidP="00EC3436">
            <w:pPr>
              <w:spacing w:before="0" w:after="0"/>
              <w:ind w:left="0" w:right="0"/>
              <w:jc w:val="right"/>
              <w:rPr>
                <w:rFonts w:eastAsia="Calibri" w:cs="Times New Roman"/>
                <w:bCs/>
                <w:sz w:val="20"/>
                <w:szCs w:val="24"/>
              </w:rPr>
            </w:pPr>
            <w:r w:rsidRPr="00912CA5">
              <w:rPr>
                <w:rFonts w:eastAsia="Calibri" w:cs="Times New Roman"/>
                <w:bCs/>
                <w:sz w:val="20"/>
                <w:szCs w:val="24"/>
                <w:lang w:val="sr-Cyrl-RS"/>
              </w:rPr>
              <w:t>2,2</w:t>
            </w:r>
          </w:p>
        </w:tc>
        <w:tc>
          <w:tcPr>
            <w:tcW w:w="1183" w:type="dxa"/>
            <w:hideMark/>
          </w:tcPr>
          <w:p w14:paraId="0D1062FD" w14:textId="77777777" w:rsidR="005C4156" w:rsidRPr="00912CA5" w:rsidRDefault="005C4156" w:rsidP="00EC3436">
            <w:pPr>
              <w:spacing w:before="0" w:after="0"/>
              <w:ind w:left="0" w:right="0"/>
              <w:jc w:val="right"/>
              <w:rPr>
                <w:rFonts w:eastAsia="Calibri" w:cs="Times New Roman"/>
                <w:bCs/>
                <w:sz w:val="20"/>
                <w:szCs w:val="24"/>
              </w:rPr>
            </w:pPr>
            <w:r w:rsidRPr="00912CA5">
              <w:rPr>
                <w:rFonts w:eastAsia="Calibri" w:cs="Times New Roman"/>
                <w:bCs/>
                <w:sz w:val="20"/>
                <w:szCs w:val="24"/>
                <w:lang w:val="sr-Cyrl-RS"/>
              </w:rPr>
              <w:t>2,0</w:t>
            </w:r>
          </w:p>
        </w:tc>
      </w:tr>
      <w:tr w:rsidR="005C4156" w:rsidRPr="00912CA5" w14:paraId="6E821030" w14:textId="77777777" w:rsidTr="00EC3436">
        <w:trPr>
          <w:trHeight w:val="273"/>
        </w:trPr>
        <w:tc>
          <w:tcPr>
            <w:tcW w:w="2901" w:type="dxa"/>
            <w:hideMark/>
          </w:tcPr>
          <w:p w14:paraId="76ECCF2E" w14:textId="77777777" w:rsidR="005C4156" w:rsidRPr="00912CA5" w:rsidRDefault="005C4156" w:rsidP="00EC3436">
            <w:pPr>
              <w:spacing w:before="0" w:after="0"/>
              <w:ind w:left="0" w:right="0"/>
              <w:rPr>
                <w:rFonts w:eastAsia="Calibri" w:cs="Times New Roman"/>
                <w:bCs/>
                <w:sz w:val="20"/>
                <w:szCs w:val="24"/>
              </w:rPr>
            </w:pPr>
            <w:r w:rsidRPr="00912CA5">
              <w:rPr>
                <w:rFonts w:eastAsia="Calibri" w:cs="Times New Roman"/>
                <w:bCs/>
                <w:sz w:val="20"/>
                <w:szCs w:val="24"/>
                <w:lang w:val="sr-Cyrl-RS"/>
              </w:rPr>
              <w:t>Бруто инвестиције у основна средства</w:t>
            </w:r>
          </w:p>
        </w:tc>
        <w:tc>
          <w:tcPr>
            <w:tcW w:w="1296" w:type="dxa"/>
            <w:hideMark/>
          </w:tcPr>
          <w:p w14:paraId="75D50135" w14:textId="77777777" w:rsidR="005C4156" w:rsidRPr="00912CA5" w:rsidRDefault="005C4156" w:rsidP="00EC3436">
            <w:pPr>
              <w:spacing w:before="0" w:after="0"/>
              <w:ind w:left="0" w:right="0"/>
              <w:jc w:val="right"/>
              <w:rPr>
                <w:rFonts w:eastAsia="Calibri" w:cs="Times New Roman"/>
                <w:bCs/>
                <w:sz w:val="20"/>
                <w:szCs w:val="24"/>
              </w:rPr>
            </w:pPr>
            <w:r w:rsidRPr="00912CA5">
              <w:rPr>
                <w:rFonts w:eastAsia="Calibri" w:cs="Times New Roman"/>
                <w:bCs/>
                <w:sz w:val="20"/>
                <w:szCs w:val="24"/>
                <w:lang w:val="sr-Cyrl-RS"/>
              </w:rPr>
              <w:t>9,2</w:t>
            </w:r>
          </w:p>
        </w:tc>
        <w:tc>
          <w:tcPr>
            <w:tcW w:w="861" w:type="dxa"/>
            <w:vMerge/>
            <w:hideMark/>
          </w:tcPr>
          <w:p w14:paraId="079C44DF" w14:textId="42A05EDD" w:rsidR="005C4156" w:rsidRPr="00912CA5" w:rsidRDefault="005C4156" w:rsidP="00EC3436">
            <w:pPr>
              <w:spacing w:before="0" w:after="0"/>
              <w:ind w:left="0" w:right="0"/>
              <w:jc w:val="right"/>
              <w:rPr>
                <w:rFonts w:eastAsia="Calibri" w:cs="Times New Roman"/>
                <w:bCs/>
                <w:sz w:val="20"/>
                <w:szCs w:val="24"/>
              </w:rPr>
            </w:pPr>
          </w:p>
        </w:tc>
        <w:tc>
          <w:tcPr>
            <w:tcW w:w="1182" w:type="dxa"/>
            <w:hideMark/>
          </w:tcPr>
          <w:p w14:paraId="110AC0CF" w14:textId="77777777" w:rsidR="005C4156" w:rsidRPr="00912CA5" w:rsidRDefault="005C4156" w:rsidP="00EC3436">
            <w:pPr>
              <w:spacing w:before="0" w:after="0"/>
              <w:ind w:left="0" w:right="0"/>
              <w:jc w:val="right"/>
              <w:rPr>
                <w:rFonts w:eastAsia="Calibri" w:cs="Times New Roman"/>
                <w:bCs/>
                <w:sz w:val="20"/>
                <w:szCs w:val="24"/>
              </w:rPr>
            </w:pPr>
            <w:r w:rsidRPr="00912CA5">
              <w:rPr>
                <w:rFonts w:eastAsia="Calibri" w:cs="Times New Roman"/>
                <w:bCs/>
                <w:sz w:val="20"/>
                <w:szCs w:val="24"/>
                <w:lang w:val="sr-Cyrl-RS"/>
              </w:rPr>
              <w:t>7,7</w:t>
            </w:r>
          </w:p>
        </w:tc>
        <w:tc>
          <w:tcPr>
            <w:tcW w:w="1182" w:type="dxa"/>
            <w:hideMark/>
          </w:tcPr>
          <w:p w14:paraId="6493759A" w14:textId="77777777" w:rsidR="005C4156" w:rsidRPr="00912CA5" w:rsidRDefault="005C4156" w:rsidP="00EC3436">
            <w:pPr>
              <w:spacing w:before="0" w:after="0"/>
              <w:ind w:left="0" w:right="0"/>
              <w:jc w:val="right"/>
              <w:rPr>
                <w:rFonts w:eastAsia="Calibri" w:cs="Times New Roman"/>
                <w:bCs/>
                <w:sz w:val="20"/>
                <w:szCs w:val="24"/>
              </w:rPr>
            </w:pPr>
            <w:r w:rsidRPr="00912CA5">
              <w:rPr>
                <w:rFonts w:eastAsia="Calibri" w:cs="Times New Roman"/>
                <w:bCs/>
                <w:sz w:val="20"/>
                <w:szCs w:val="24"/>
                <w:lang w:val="sr-Cyrl-RS"/>
              </w:rPr>
              <w:t>7,5</w:t>
            </w:r>
          </w:p>
        </w:tc>
        <w:tc>
          <w:tcPr>
            <w:tcW w:w="1183" w:type="dxa"/>
            <w:hideMark/>
          </w:tcPr>
          <w:p w14:paraId="08137BD3" w14:textId="77777777" w:rsidR="005C4156" w:rsidRPr="00912CA5" w:rsidRDefault="005C4156" w:rsidP="00EC3436">
            <w:pPr>
              <w:spacing w:before="0" w:after="0"/>
              <w:ind w:left="0" w:right="0"/>
              <w:jc w:val="right"/>
              <w:rPr>
                <w:rFonts w:eastAsia="Calibri" w:cs="Times New Roman"/>
                <w:bCs/>
                <w:sz w:val="20"/>
                <w:szCs w:val="24"/>
              </w:rPr>
            </w:pPr>
            <w:r w:rsidRPr="00912CA5">
              <w:rPr>
                <w:rFonts w:eastAsia="Calibri" w:cs="Times New Roman"/>
                <w:bCs/>
                <w:sz w:val="20"/>
                <w:szCs w:val="24"/>
                <w:lang w:val="sr-Cyrl-RS"/>
              </w:rPr>
              <w:t>7,0</w:t>
            </w:r>
          </w:p>
        </w:tc>
      </w:tr>
      <w:tr w:rsidR="005C4156" w:rsidRPr="00912CA5" w14:paraId="1A287C91" w14:textId="77777777" w:rsidTr="00EC3436">
        <w:trPr>
          <w:trHeight w:val="273"/>
        </w:trPr>
        <w:tc>
          <w:tcPr>
            <w:tcW w:w="2901" w:type="dxa"/>
            <w:hideMark/>
          </w:tcPr>
          <w:p w14:paraId="0EB3E6AB" w14:textId="77777777" w:rsidR="005C4156" w:rsidRPr="00912CA5" w:rsidRDefault="005C4156" w:rsidP="00EC3436">
            <w:pPr>
              <w:spacing w:before="0" w:after="0"/>
              <w:ind w:left="0" w:right="0"/>
              <w:rPr>
                <w:rFonts w:eastAsia="Calibri" w:cs="Times New Roman"/>
                <w:bCs/>
                <w:sz w:val="20"/>
                <w:szCs w:val="24"/>
              </w:rPr>
            </w:pPr>
            <w:r w:rsidRPr="00912CA5">
              <w:rPr>
                <w:rFonts w:eastAsia="Calibri" w:cs="Times New Roman"/>
                <w:bCs/>
                <w:sz w:val="20"/>
                <w:szCs w:val="24"/>
                <w:lang w:val="sr-Cyrl-RS"/>
              </w:rPr>
              <w:t>Извоз робе и услуга</w:t>
            </w:r>
          </w:p>
        </w:tc>
        <w:tc>
          <w:tcPr>
            <w:tcW w:w="1296" w:type="dxa"/>
            <w:hideMark/>
          </w:tcPr>
          <w:p w14:paraId="26A4F0E2" w14:textId="77777777" w:rsidR="005C4156" w:rsidRPr="00912CA5" w:rsidRDefault="005C4156" w:rsidP="00EC3436">
            <w:pPr>
              <w:spacing w:before="0" w:after="0"/>
              <w:ind w:left="0" w:right="0"/>
              <w:jc w:val="right"/>
              <w:rPr>
                <w:rFonts w:eastAsia="Calibri" w:cs="Times New Roman"/>
                <w:bCs/>
                <w:sz w:val="20"/>
                <w:szCs w:val="24"/>
              </w:rPr>
            </w:pPr>
            <w:r w:rsidRPr="00912CA5">
              <w:rPr>
                <w:rFonts w:eastAsia="Calibri" w:cs="Times New Roman"/>
                <w:bCs/>
                <w:sz w:val="20"/>
                <w:szCs w:val="24"/>
                <w:lang w:val="sr-Cyrl-RS"/>
              </w:rPr>
              <w:t>4,4</w:t>
            </w:r>
          </w:p>
        </w:tc>
        <w:tc>
          <w:tcPr>
            <w:tcW w:w="861" w:type="dxa"/>
            <w:vMerge/>
            <w:hideMark/>
          </w:tcPr>
          <w:p w14:paraId="20B9E1E0" w14:textId="4C0012D6" w:rsidR="005C4156" w:rsidRPr="00912CA5" w:rsidRDefault="005C4156" w:rsidP="00EC3436">
            <w:pPr>
              <w:spacing w:before="0" w:after="0"/>
              <w:ind w:left="0" w:right="0"/>
              <w:jc w:val="right"/>
              <w:rPr>
                <w:rFonts w:eastAsia="Calibri" w:cs="Times New Roman"/>
                <w:bCs/>
                <w:sz w:val="20"/>
                <w:szCs w:val="24"/>
              </w:rPr>
            </w:pPr>
          </w:p>
        </w:tc>
        <w:tc>
          <w:tcPr>
            <w:tcW w:w="1182" w:type="dxa"/>
            <w:hideMark/>
          </w:tcPr>
          <w:p w14:paraId="161B04B3" w14:textId="77777777" w:rsidR="005C4156" w:rsidRPr="00912CA5" w:rsidRDefault="005C4156" w:rsidP="00EC3436">
            <w:pPr>
              <w:spacing w:before="0" w:after="0"/>
              <w:ind w:left="0" w:right="0"/>
              <w:jc w:val="right"/>
              <w:rPr>
                <w:rFonts w:eastAsia="Calibri" w:cs="Times New Roman"/>
                <w:bCs/>
                <w:sz w:val="20"/>
                <w:szCs w:val="24"/>
              </w:rPr>
            </w:pPr>
            <w:r w:rsidRPr="00912CA5">
              <w:rPr>
                <w:rFonts w:eastAsia="Calibri" w:cs="Times New Roman"/>
                <w:bCs/>
                <w:sz w:val="20"/>
                <w:szCs w:val="24"/>
                <w:lang w:val="sr-Cyrl-RS"/>
              </w:rPr>
              <w:t>5,9</w:t>
            </w:r>
          </w:p>
        </w:tc>
        <w:tc>
          <w:tcPr>
            <w:tcW w:w="1182" w:type="dxa"/>
            <w:hideMark/>
          </w:tcPr>
          <w:p w14:paraId="259014F4" w14:textId="77777777" w:rsidR="005C4156" w:rsidRPr="00912CA5" w:rsidRDefault="005C4156" w:rsidP="00EC3436">
            <w:pPr>
              <w:spacing w:before="0" w:after="0"/>
              <w:ind w:left="0" w:right="0"/>
              <w:jc w:val="right"/>
              <w:rPr>
                <w:rFonts w:eastAsia="Calibri" w:cs="Times New Roman"/>
                <w:bCs/>
                <w:sz w:val="20"/>
                <w:szCs w:val="24"/>
              </w:rPr>
            </w:pPr>
            <w:r w:rsidRPr="00912CA5">
              <w:rPr>
                <w:rFonts w:eastAsia="Calibri" w:cs="Times New Roman"/>
                <w:bCs/>
                <w:sz w:val="20"/>
                <w:szCs w:val="24"/>
                <w:lang w:val="sr-Cyrl-RS"/>
              </w:rPr>
              <w:t>6,9</w:t>
            </w:r>
          </w:p>
        </w:tc>
        <w:tc>
          <w:tcPr>
            <w:tcW w:w="1183" w:type="dxa"/>
            <w:hideMark/>
          </w:tcPr>
          <w:p w14:paraId="2380AAE3" w14:textId="77777777" w:rsidR="005C4156" w:rsidRPr="00912CA5" w:rsidRDefault="005C4156" w:rsidP="00EC3436">
            <w:pPr>
              <w:spacing w:before="0" w:after="0"/>
              <w:ind w:left="0" w:right="0"/>
              <w:jc w:val="right"/>
              <w:rPr>
                <w:rFonts w:eastAsia="Calibri" w:cs="Times New Roman"/>
                <w:bCs/>
                <w:sz w:val="20"/>
                <w:szCs w:val="24"/>
              </w:rPr>
            </w:pPr>
            <w:r w:rsidRPr="00912CA5">
              <w:rPr>
                <w:rFonts w:eastAsia="Calibri" w:cs="Times New Roman"/>
                <w:bCs/>
                <w:sz w:val="20"/>
                <w:szCs w:val="24"/>
                <w:lang w:val="sr-Cyrl-RS"/>
              </w:rPr>
              <w:t>9,9</w:t>
            </w:r>
          </w:p>
        </w:tc>
      </w:tr>
      <w:tr w:rsidR="005C4156" w:rsidRPr="00912CA5" w14:paraId="518B115B" w14:textId="77777777" w:rsidTr="00EC3436">
        <w:trPr>
          <w:trHeight w:val="273"/>
        </w:trPr>
        <w:tc>
          <w:tcPr>
            <w:tcW w:w="2901" w:type="dxa"/>
            <w:hideMark/>
          </w:tcPr>
          <w:p w14:paraId="1E3F7FB3" w14:textId="77777777" w:rsidR="005C4156" w:rsidRPr="00912CA5" w:rsidRDefault="005C4156" w:rsidP="00EC3436">
            <w:pPr>
              <w:spacing w:before="0" w:after="0"/>
              <w:ind w:left="0" w:right="0"/>
              <w:rPr>
                <w:rFonts w:eastAsia="Calibri" w:cs="Times New Roman"/>
                <w:bCs/>
                <w:sz w:val="20"/>
                <w:szCs w:val="24"/>
              </w:rPr>
            </w:pPr>
            <w:r w:rsidRPr="00912CA5">
              <w:rPr>
                <w:rFonts w:eastAsia="Calibri" w:cs="Times New Roman"/>
                <w:bCs/>
                <w:sz w:val="20"/>
                <w:szCs w:val="24"/>
                <w:lang w:val="sr-Cyrl-RS"/>
              </w:rPr>
              <w:t>Увоз робе и услуга</w:t>
            </w:r>
          </w:p>
        </w:tc>
        <w:tc>
          <w:tcPr>
            <w:tcW w:w="1296" w:type="dxa"/>
            <w:hideMark/>
          </w:tcPr>
          <w:p w14:paraId="0512B246" w14:textId="77777777" w:rsidR="005C4156" w:rsidRPr="00912CA5" w:rsidRDefault="005C4156" w:rsidP="00EC3436">
            <w:pPr>
              <w:spacing w:before="0" w:after="0"/>
              <w:ind w:left="0" w:right="0"/>
              <w:jc w:val="right"/>
              <w:rPr>
                <w:rFonts w:eastAsia="Calibri" w:cs="Times New Roman"/>
                <w:bCs/>
                <w:sz w:val="20"/>
                <w:szCs w:val="24"/>
              </w:rPr>
            </w:pPr>
            <w:r w:rsidRPr="00912CA5">
              <w:rPr>
                <w:rFonts w:eastAsia="Calibri" w:cs="Times New Roman"/>
                <w:bCs/>
                <w:sz w:val="20"/>
                <w:szCs w:val="24"/>
                <w:lang w:val="sr-Cyrl-RS"/>
              </w:rPr>
              <w:t>8,0</w:t>
            </w:r>
          </w:p>
        </w:tc>
        <w:tc>
          <w:tcPr>
            <w:tcW w:w="861" w:type="dxa"/>
            <w:vMerge/>
            <w:hideMark/>
          </w:tcPr>
          <w:p w14:paraId="394DDC68" w14:textId="3D8D35F2" w:rsidR="005C4156" w:rsidRPr="00912CA5" w:rsidRDefault="005C4156" w:rsidP="00EC3436">
            <w:pPr>
              <w:spacing w:before="0" w:after="0"/>
              <w:ind w:left="0" w:right="0"/>
              <w:jc w:val="right"/>
              <w:rPr>
                <w:rFonts w:eastAsia="Calibri" w:cs="Times New Roman"/>
                <w:bCs/>
                <w:sz w:val="20"/>
                <w:szCs w:val="24"/>
              </w:rPr>
            </w:pPr>
          </w:p>
        </w:tc>
        <w:tc>
          <w:tcPr>
            <w:tcW w:w="1182" w:type="dxa"/>
            <w:hideMark/>
          </w:tcPr>
          <w:p w14:paraId="7B0D455D" w14:textId="77777777" w:rsidR="005C4156" w:rsidRPr="00912CA5" w:rsidRDefault="005C4156" w:rsidP="00EC3436">
            <w:pPr>
              <w:spacing w:before="0" w:after="0"/>
              <w:ind w:left="0" w:right="0"/>
              <w:jc w:val="right"/>
              <w:rPr>
                <w:rFonts w:eastAsia="Calibri" w:cs="Times New Roman"/>
                <w:bCs/>
                <w:sz w:val="20"/>
                <w:szCs w:val="24"/>
              </w:rPr>
            </w:pPr>
            <w:r w:rsidRPr="00912CA5">
              <w:rPr>
                <w:rFonts w:eastAsia="Calibri" w:cs="Times New Roman"/>
                <w:bCs/>
                <w:sz w:val="20"/>
                <w:szCs w:val="24"/>
                <w:lang w:val="sr-Cyrl-RS"/>
              </w:rPr>
              <w:t>6,5</w:t>
            </w:r>
          </w:p>
        </w:tc>
        <w:tc>
          <w:tcPr>
            <w:tcW w:w="1182" w:type="dxa"/>
            <w:hideMark/>
          </w:tcPr>
          <w:p w14:paraId="472AFAD8" w14:textId="77777777" w:rsidR="005C4156" w:rsidRPr="00912CA5" w:rsidRDefault="005C4156" w:rsidP="00EC3436">
            <w:pPr>
              <w:spacing w:before="0" w:after="0"/>
              <w:ind w:left="0" w:right="0"/>
              <w:jc w:val="right"/>
              <w:rPr>
                <w:rFonts w:eastAsia="Calibri" w:cs="Times New Roman"/>
                <w:bCs/>
                <w:sz w:val="20"/>
                <w:szCs w:val="24"/>
              </w:rPr>
            </w:pPr>
            <w:r w:rsidRPr="00912CA5">
              <w:rPr>
                <w:rFonts w:eastAsia="Calibri" w:cs="Times New Roman"/>
                <w:bCs/>
                <w:sz w:val="20"/>
                <w:szCs w:val="24"/>
                <w:lang w:val="sr-Cyrl-RS"/>
              </w:rPr>
              <w:t>6,8</w:t>
            </w:r>
          </w:p>
        </w:tc>
        <w:tc>
          <w:tcPr>
            <w:tcW w:w="1183" w:type="dxa"/>
            <w:hideMark/>
          </w:tcPr>
          <w:p w14:paraId="56E60643" w14:textId="77777777" w:rsidR="005C4156" w:rsidRPr="00912CA5" w:rsidRDefault="005C4156" w:rsidP="00EC3436">
            <w:pPr>
              <w:spacing w:before="0" w:after="0"/>
              <w:ind w:left="0" w:right="0"/>
              <w:jc w:val="right"/>
              <w:rPr>
                <w:rFonts w:eastAsia="Calibri" w:cs="Times New Roman"/>
                <w:bCs/>
                <w:sz w:val="20"/>
                <w:szCs w:val="24"/>
              </w:rPr>
            </w:pPr>
            <w:r w:rsidRPr="00912CA5">
              <w:rPr>
                <w:rFonts w:eastAsia="Calibri" w:cs="Times New Roman"/>
                <w:bCs/>
                <w:sz w:val="20"/>
                <w:szCs w:val="24"/>
                <w:lang w:val="sr-Cyrl-RS"/>
              </w:rPr>
              <w:t>7,4</w:t>
            </w:r>
          </w:p>
        </w:tc>
      </w:tr>
    </w:tbl>
    <w:p w14:paraId="7DD199A9" w14:textId="7F099624" w:rsidR="003F01A2" w:rsidRPr="00912CA5" w:rsidRDefault="00912CA5" w:rsidP="00912CA5">
      <w:pPr>
        <w:rPr>
          <w:rFonts w:eastAsia="Calibri" w:cs="Times New Roman"/>
          <w:bCs/>
          <w:szCs w:val="24"/>
          <w:lang w:val="sr-Cyrl-RS"/>
        </w:rPr>
      </w:pPr>
      <w:r>
        <w:rPr>
          <w:rFonts w:eastAsia="Calibri" w:cs="Times New Roman"/>
          <w:bCs/>
          <w:szCs w:val="24"/>
          <w:lang w:val="sr-Cyrl-RS"/>
        </w:rPr>
        <w:fldChar w:fldCharType="end"/>
      </w:r>
      <w:r w:rsidR="003F01A2" w:rsidRPr="00652D12">
        <w:rPr>
          <w:rFonts w:eastAsia="Calibri" w:cs="Times New Roman"/>
          <w:bCs/>
          <w:sz w:val="16"/>
          <w:szCs w:val="16"/>
          <w:lang w:val="sr-Cyrl-RS"/>
        </w:rPr>
        <w:t xml:space="preserve">Извор: </w:t>
      </w:r>
      <w:r w:rsidR="00CA10B2" w:rsidRPr="00652D12">
        <w:rPr>
          <w:rFonts w:eastAsia="Calibri" w:cs="Times New Roman"/>
          <w:bCs/>
          <w:sz w:val="16"/>
          <w:szCs w:val="16"/>
          <w:lang w:val="sr-Cyrl-RS"/>
        </w:rPr>
        <w:t>Министарство финансија</w:t>
      </w:r>
    </w:p>
    <w:p w14:paraId="47EC9765" w14:textId="7C44BB1E" w:rsidR="0067024C" w:rsidRDefault="000F7989" w:rsidP="00B8525C">
      <w:pPr>
        <w:rPr>
          <w:rFonts w:cstheme="minorHAnsi"/>
          <w:bCs/>
          <w:szCs w:val="72"/>
          <w:lang w:val="sr-Cyrl-RS"/>
        </w:rPr>
      </w:pPr>
      <w:r w:rsidRPr="000F7989">
        <w:rPr>
          <w:rFonts w:cstheme="minorHAnsi"/>
          <w:bCs/>
          <w:szCs w:val="72"/>
          <w:lang w:val="sr-Cyrl-RS"/>
        </w:rPr>
        <w:t>Посматрано на страни понуде, услужни сектор и индустрија ће следствено највећем учешћу у БДП задржати улогу доминантних извора раста и повећавати креирану БДВ са просечним годишњим растом од 4,5% и 4,4%, респективно. Значајан позитиван допринос имаће и грађевинарство које ће у просеку забележити раст од 7,6% као резултат убрзања реализације инфраструктурних пројеката, као и започињања новог инвестиционог циклуса, али и убрзања приватних инвестиција. Достизање европских стандарда и подизање конкурентности у пољопривреди, требало би да смањи варијабилност производње овог сектора изазвану агрометеоролошким условима, али је и у овом макроекономском оквиру задржана претпоставка просечне пољопривредне сезоне.</w:t>
      </w:r>
    </w:p>
    <w:p w14:paraId="0E241071" w14:textId="3C098A03" w:rsidR="00C4765D" w:rsidRPr="00652D12" w:rsidRDefault="00C4765D" w:rsidP="00B8525C">
      <w:pPr>
        <w:rPr>
          <w:rFonts w:eastAsia="Calibri" w:cs="Times New Roman"/>
          <w:bCs/>
          <w:szCs w:val="24"/>
          <w:lang w:val="sr-Cyrl-RS"/>
        </w:rPr>
      </w:pPr>
      <w:r w:rsidRPr="00652D12">
        <w:rPr>
          <w:rFonts w:eastAsia="Calibri" w:cs="Times New Roman"/>
          <w:bCs/>
          <w:szCs w:val="24"/>
          <w:lang w:val="sr-Cyrl-RS"/>
        </w:rPr>
        <w:t xml:space="preserve">Графикон </w:t>
      </w:r>
      <w:r w:rsidR="00E67845" w:rsidRPr="00652D12">
        <w:rPr>
          <w:rFonts w:eastAsia="Calibri" w:cs="Times New Roman"/>
          <w:bCs/>
          <w:szCs w:val="24"/>
          <w:lang w:val="sr-Cyrl-RS"/>
        </w:rPr>
        <w:t>2</w:t>
      </w:r>
      <w:r w:rsidRPr="000B3740">
        <w:rPr>
          <w:rFonts w:eastAsia="Calibri" w:cs="Times New Roman"/>
          <w:bCs/>
          <w:szCs w:val="24"/>
          <w:lang w:val="sr-Cyrl-RS"/>
        </w:rPr>
        <w:t>. Доприноси</w:t>
      </w:r>
      <w:r w:rsidRPr="00652D12">
        <w:rPr>
          <w:rFonts w:eastAsia="Calibri" w:cs="Times New Roman"/>
          <w:bCs/>
          <w:szCs w:val="24"/>
          <w:lang w:val="sr-Cyrl-RS"/>
        </w:rPr>
        <w:t xml:space="preserve"> стопи реалног раста БДП, производни и расходни приступ, п.п.</w:t>
      </w:r>
    </w:p>
    <w:p w14:paraId="087634E2" w14:textId="6245F749" w:rsidR="006E3D67" w:rsidRPr="00652D12" w:rsidRDefault="00CF6476" w:rsidP="006E3D67">
      <w:pPr>
        <w:spacing w:after="240"/>
        <w:rPr>
          <w:rFonts w:eastAsia="Calibri" w:cs="Times New Roman"/>
          <w:bCs/>
          <w:szCs w:val="24"/>
          <w:lang w:val="sr-Cyrl-RS"/>
        </w:rPr>
      </w:pPr>
      <w:r>
        <w:rPr>
          <w:rFonts w:eastAsia="Calibri" w:cs="Times New Roman"/>
          <w:bCs/>
          <w:szCs w:val="24"/>
          <w:lang w:val="sr-Cyrl-RS"/>
        </w:rPr>
        <w:t xml:space="preserve"> </w:t>
      </w:r>
      <w:r w:rsidR="000B3740" w:rsidRPr="00EF01AE">
        <w:rPr>
          <w:noProof/>
        </w:rPr>
        <w:drawing>
          <wp:inline distT="0" distB="0" distL="0" distR="0" wp14:anchorId="360EB57D" wp14:editId="31F7D02F">
            <wp:extent cx="2774950" cy="2286000"/>
            <wp:effectExtent l="0" t="0" r="6350" b="0"/>
            <wp:docPr id="95" name="Chart 95">
              <a:extLst xmlns:a="http://schemas.openxmlformats.org/drawingml/2006/main">
                <a:ext uri="{FF2B5EF4-FFF2-40B4-BE49-F238E27FC236}">
                  <a16:creationId xmlns:a16="http://schemas.microsoft.com/office/drawing/2014/main" id="{00000000-0008-0000-0B00-000004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r w:rsidR="000B3740" w:rsidRPr="00EF01AE">
        <w:rPr>
          <w:noProof/>
        </w:rPr>
        <w:drawing>
          <wp:inline distT="0" distB="0" distL="0" distR="0" wp14:anchorId="5F2E1B53" wp14:editId="45FF65BE">
            <wp:extent cx="2743200" cy="2313829"/>
            <wp:effectExtent l="0" t="0" r="0" b="0"/>
            <wp:docPr id="94" name="Chart 94">
              <a:extLst xmlns:a="http://schemas.openxmlformats.org/drawingml/2006/main">
                <a:ext uri="{FF2B5EF4-FFF2-40B4-BE49-F238E27FC236}">
                  <a16:creationId xmlns:a16="http://schemas.microsoft.com/office/drawing/2014/main" id="{00000000-0008-0000-0B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14:paraId="3985E44B" w14:textId="77777777" w:rsidR="000B3740" w:rsidRDefault="000B3740" w:rsidP="006E3D67">
      <w:pPr>
        <w:spacing w:after="240"/>
        <w:rPr>
          <w:lang w:val="sr-Cyrl-RS"/>
        </w:rPr>
      </w:pPr>
      <w:r w:rsidRPr="000B3740">
        <w:rPr>
          <w:lang w:val="sr-Cyrl-RS"/>
        </w:rPr>
        <w:t xml:space="preserve">Према централном сценарију, у средњорочном периоду очекује се наставак раста потенцијалног БДП по стопи од 4%. Реализација капиталних пројеката и наставак започетог инвестиционог циклуса подржани, како стабилним приливом СДИ, тако и улагањима у иновације и развој, обезбедиће све снажнији допринос капитала и факторске продуктивности расту потенцијалног БДП. Дигитализација ће значајно убрзати ове процесе и додатно подићи ефикасност искоришћености расположивих капацитета. Влада ће кроз значајна планирана улагања у енергетску инфраструктуру додатно утицати на подизање потенцијала привреде. Адекватна и кредибилна монетарна политика, уз даља унапређења финансијског система и повољнији инвестициони амбијент, трансфер знања и технологија из најразвијенијих земаља треба да обезбеде позитиван утицај на оба фактора производње. Са друге стране, јачање владавине закона, </w:t>
      </w:r>
      <w:r w:rsidRPr="000B3740">
        <w:rPr>
          <w:lang w:val="sr-Cyrl-RS"/>
        </w:rPr>
        <w:lastRenderedPageBreak/>
        <w:t>реформа законодавства из области привреде и пословања, убрзање процедура и подизање ефикасности администрације треба да обезбеде максимизацију факторске продуктивности у средњем року. Повољна кретања на тржишту рада ће такође допринети расту потенцијалног БДП, мада споријим темпом него у претходном периоду.</w:t>
      </w:r>
    </w:p>
    <w:p w14:paraId="5BADA257" w14:textId="3DDD4FCA" w:rsidR="000B3740" w:rsidRDefault="003B248B" w:rsidP="002C5470">
      <w:pPr>
        <w:keepNext/>
        <w:rPr>
          <w:rFonts w:eastAsia="Calibri" w:cs="Times New Roman"/>
          <w:bCs/>
          <w:szCs w:val="24"/>
          <w:lang w:val="sr-Cyrl-RS"/>
        </w:rPr>
      </w:pPr>
      <w:r w:rsidRPr="00652D12">
        <w:rPr>
          <w:rFonts w:eastAsia="Calibri" w:cs="Times New Roman"/>
          <w:bCs/>
          <w:szCs w:val="24"/>
          <w:lang w:val="sr-Cyrl-RS"/>
        </w:rPr>
        <w:t xml:space="preserve">Графикон </w:t>
      </w:r>
      <w:r w:rsidR="00E67845" w:rsidRPr="00652D12">
        <w:rPr>
          <w:rFonts w:eastAsia="Calibri" w:cs="Times New Roman"/>
          <w:bCs/>
          <w:szCs w:val="24"/>
          <w:lang w:val="sr-Cyrl-RS"/>
        </w:rPr>
        <w:t>3</w:t>
      </w:r>
      <w:r w:rsidRPr="00652D12">
        <w:rPr>
          <w:rFonts w:eastAsia="Calibri" w:cs="Times New Roman"/>
          <w:bCs/>
          <w:szCs w:val="24"/>
          <w:lang w:val="sr-Cyrl-RS"/>
        </w:rPr>
        <w:t>. Доприноси фактора производње потенцијалној стопи раста</w:t>
      </w:r>
    </w:p>
    <w:p w14:paraId="6E4AE061" w14:textId="4302428A" w:rsidR="003B248B" w:rsidRPr="000B3740" w:rsidRDefault="000B3740" w:rsidP="000B3740">
      <w:pPr>
        <w:ind w:firstLine="720"/>
        <w:rPr>
          <w:rFonts w:eastAsia="Calibri" w:cs="Times New Roman"/>
          <w:szCs w:val="24"/>
          <w:lang w:val="sr-Cyrl-RS"/>
        </w:rPr>
      </w:pPr>
      <w:r w:rsidRPr="00EF01AE">
        <w:rPr>
          <w:noProof/>
        </w:rPr>
        <w:drawing>
          <wp:inline distT="0" distB="0" distL="0" distR="0" wp14:anchorId="48BF7562" wp14:editId="089AE4C9">
            <wp:extent cx="4505325" cy="1771650"/>
            <wp:effectExtent l="0" t="0" r="0" b="0"/>
            <wp:docPr id="97" name="Chart 97">
              <a:extLst xmlns:a="http://schemas.openxmlformats.org/drawingml/2006/main">
                <a:ext uri="{FF2B5EF4-FFF2-40B4-BE49-F238E27FC236}">
                  <a16:creationId xmlns:a16="http://schemas.microsoft.com/office/drawing/2014/main" id="{00000000-0008-0000-0E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14:paraId="4BA7A5B0" w14:textId="568AA824" w:rsidR="000B3740" w:rsidRDefault="002B14D4" w:rsidP="00E753FC">
      <w:pPr>
        <w:spacing w:after="240"/>
        <w:rPr>
          <w:lang w:val="sr-Cyrl-RS"/>
        </w:rPr>
      </w:pPr>
      <w:r w:rsidRPr="00652D12">
        <w:rPr>
          <w:b/>
          <w:lang w:val="sr-Cyrl-RS"/>
        </w:rPr>
        <w:t>Тржиште рада.</w:t>
      </w:r>
      <w:r w:rsidR="00C4765D" w:rsidRPr="00652D12">
        <w:rPr>
          <w:lang w:val="sr-Cyrl-RS"/>
        </w:rPr>
        <w:t xml:space="preserve"> </w:t>
      </w:r>
      <w:r w:rsidR="000B3740" w:rsidRPr="000B3740">
        <w:rPr>
          <w:lang w:val="sr-Cyrl-RS"/>
        </w:rPr>
        <w:t>У наредном периоду очекује се да ће тржиште рада задржати позитивне трендове, у складу са повољним макроекономским показатељима, као и услед подстицања предузетништва, модернизације образовног система и подршке запошљавању рањивих група. Повећање мобилности радне снаге и јачање сарадње између образовних институција и привреде допринеће даљем смањењу незапослености и повећању запослености, чиме ће се унапредити животни стандард становништва. Креатори јавних политика активно раде на мерама усмереним на унапређење квалитета радне снаге и улагање у људски капитал, како би се олакшало запошљавање, нарочито у секторима са већом додатом вредношћу. Наставиће се напори усмерени на смањивање запослених у сивој економији и њихов прелазак у формални сектор, што ће побољшати услове рада и позитивно утицати на приходе буџета. У средњорочном периоду, очекују се позитивни ефекти мера активне политике запошљавања, преквалификација и подршке социјалном предузетништву, које ће олакшати приступ радним местима социјално рањивим категоријама и осигурати инклузивност привредног раста. Пројекције указују на смањење стопе незапослености и наставак реалног раста зарада. У приватном сектору, очекује се да ће раст зарада бити у корелацији са растом продуктивности, док ће зараде у јавном сектору расти у складу са утврђеним фискалним правилима.</w:t>
      </w:r>
    </w:p>
    <w:p w14:paraId="64031848" w14:textId="77777777" w:rsidR="001D58B7" w:rsidRPr="00C55E7F" w:rsidRDefault="001D58B7" w:rsidP="001D58B7">
      <w:pPr>
        <w:rPr>
          <w:iCs/>
          <w:lang w:val="sr-Latn-RS"/>
        </w:rPr>
      </w:pPr>
      <w:r w:rsidRPr="001A3AAB">
        <w:rPr>
          <w:b/>
          <w:i/>
          <w:lang w:val="sr-Cyrl-RS"/>
        </w:rPr>
        <w:t>Монетарна политика, политика девизног курса</w:t>
      </w:r>
      <w:r w:rsidRPr="001A3AAB">
        <w:rPr>
          <w:lang w:val="sr-Cyrl-RS"/>
        </w:rPr>
        <w:t xml:space="preserve"> </w:t>
      </w:r>
      <w:r w:rsidRPr="00A030EA">
        <w:rPr>
          <w:b/>
          <w:i/>
          <w:lang w:val="sr-Cyrl-RS"/>
        </w:rPr>
        <w:t>и инфлација</w:t>
      </w:r>
      <w:r>
        <w:rPr>
          <w:b/>
          <w:i/>
          <w:lang w:val="sr-Latn-RS"/>
        </w:rPr>
        <w:t xml:space="preserve"> </w:t>
      </w:r>
    </w:p>
    <w:p w14:paraId="65C77817" w14:textId="77777777" w:rsidR="001D58B7" w:rsidRPr="004B51C2" w:rsidRDefault="001D58B7" w:rsidP="001D58B7">
      <w:pPr>
        <w:rPr>
          <w:lang w:val="sr-Cyrl-RS"/>
        </w:rPr>
      </w:pPr>
      <w:r w:rsidRPr="004B51C2">
        <w:rPr>
          <w:lang w:val="sr-Cyrl-RS"/>
        </w:rPr>
        <w:t xml:space="preserve">Народна банка Србије од 2009. године примењује </w:t>
      </w:r>
      <w:r w:rsidRPr="004B51C2">
        <w:rPr>
          <w:b/>
          <w:bCs/>
          <w:i/>
          <w:iCs/>
          <w:lang w:val="sr-Cyrl-RS"/>
        </w:rPr>
        <w:t>режим циљања инфлације</w:t>
      </w:r>
      <w:r w:rsidRPr="004B51C2">
        <w:rPr>
          <w:lang w:val="sr-Cyrl-RS"/>
        </w:rPr>
        <w:t xml:space="preserve"> као монетарну стратегију. Захваљујући постигнутој ценовној стабилности, усидрености инфлационих очекивања и знатном поправљању макроекономских показатеља и изгледа Србије за наредни период, а пре свега одрживом смањењу спољне и унутрашње неравнотеже, циљана стопа инфлације је снижена од 2017. године </w:t>
      </w:r>
      <w:r w:rsidRPr="004B51C2">
        <w:rPr>
          <w:b/>
          <w:lang w:val="sr-Cyrl-RS"/>
        </w:rPr>
        <w:t>на ниво од 3%±1,5 п.п. и на том нивоу је утврђена до краја 2026. године</w:t>
      </w:r>
      <w:r w:rsidRPr="004B51C2">
        <w:rPr>
          <w:lang w:val="sr-Cyrl-RS"/>
        </w:rPr>
        <w:t xml:space="preserve">. Тиме је потврђена одлучност Народне банке Србије и Владе Републике Србије да предузимају мере како би инфлација у средњем року остала ниска, стабилна и предвидива. </w:t>
      </w:r>
    </w:p>
    <w:p w14:paraId="305706D0" w14:textId="77777777" w:rsidR="001D58B7" w:rsidRPr="004B51C2" w:rsidRDefault="001D58B7" w:rsidP="001D58B7">
      <w:pPr>
        <w:rPr>
          <w:lang w:val="sr-Cyrl-RS"/>
        </w:rPr>
      </w:pPr>
      <w:r w:rsidRPr="004B51C2">
        <w:rPr>
          <w:lang w:val="sr-Cyrl-RS"/>
        </w:rPr>
        <w:t xml:space="preserve">Основни инструмент за постизање инфлационог циља јесте </w:t>
      </w:r>
      <w:r w:rsidRPr="004B51C2">
        <w:rPr>
          <w:b/>
          <w:bCs/>
          <w:lang w:val="sr-Cyrl-RS"/>
        </w:rPr>
        <w:t>референтна каматна стопа</w:t>
      </w:r>
      <w:r w:rsidRPr="004B51C2">
        <w:rPr>
          <w:lang w:val="sr-Cyrl-RS"/>
        </w:rPr>
        <w:t xml:space="preserve"> која се примењује у једнонедељним реверзним репо операцијама, док остали инструменти монетарне политике (кредитне и депозитне олакшице, обавезна резерва и интервенције на девизном тржишту) имају помоћну улогу. </w:t>
      </w:r>
    </w:p>
    <w:p w14:paraId="15AD2817" w14:textId="77777777" w:rsidR="001D58B7" w:rsidRPr="004B51C2" w:rsidRDefault="001D58B7" w:rsidP="001D58B7">
      <w:pPr>
        <w:rPr>
          <w:lang w:val="sr-Cyrl-RS"/>
        </w:rPr>
      </w:pPr>
      <w:r w:rsidRPr="004B51C2">
        <w:rPr>
          <w:lang w:val="sr-Cyrl-RS"/>
        </w:rPr>
        <w:lastRenderedPageBreak/>
        <w:t xml:space="preserve">У складу са изабраном монетарном стратегијом, Народна банка Србије </w:t>
      </w:r>
      <w:r w:rsidRPr="004B51C2">
        <w:rPr>
          <w:b/>
          <w:bCs/>
          <w:lang w:val="sr-Cyrl-RS"/>
        </w:rPr>
        <w:t>наставиће да спроводи режим руковођено пливајућег девизног курса</w:t>
      </w:r>
      <w:r w:rsidRPr="004B51C2">
        <w:rPr>
          <w:lang w:val="sr-Cyrl-RS"/>
        </w:rPr>
        <w:t xml:space="preserve">. Интервенције на девизном тржишту спроводиће ради ублажавања прекомерних краткорочних осцилација курса динара према евру, очувања стабилности цена и финансијског система и одржавања адекватног нивоа девизних резерви. </w:t>
      </w:r>
    </w:p>
    <w:p w14:paraId="2EE7BB9F" w14:textId="77777777" w:rsidR="001D58B7" w:rsidRPr="00DE735A" w:rsidRDefault="001D58B7" w:rsidP="001D58B7">
      <w:pPr>
        <w:rPr>
          <w:lang w:val="sr-Cyrl-RS"/>
        </w:rPr>
      </w:pPr>
      <w:r w:rsidRPr="004B51C2">
        <w:rPr>
          <w:lang w:val="sr-Cyrl-RS"/>
        </w:rPr>
        <w:t xml:space="preserve">У условима континуирано опадајуће путање домаће инфлације, њеног повратка у границе циља у мају 2024. године, као и очекиваног кретања инфлације и других макроекономских показатеља из домаћег и међународног окружења, Извршни одбор Народне банке Србије је на састанцима у јуну, јулу и септембру смањио референтну каматну стопу за по 25 б.п. на ниво од 5,75%. Стопе на депозитне и кредитне олакшице смањене су у истом обиму, на ниво од 4,50% и 7,00%, </w:t>
      </w:r>
      <w:r w:rsidRPr="00DE735A">
        <w:rPr>
          <w:lang w:val="sr-Cyrl-RS"/>
        </w:rPr>
        <w:t>респективно.</w:t>
      </w:r>
    </w:p>
    <w:p w14:paraId="38CC9E74" w14:textId="3E8FB184" w:rsidR="00CF6476" w:rsidRPr="00F515FA" w:rsidRDefault="001D58B7" w:rsidP="001D58B7">
      <w:pPr>
        <w:rPr>
          <w:lang w:val="sr-Cyrl-RS"/>
        </w:rPr>
      </w:pPr>
      <w:r w:rsidRPr="004B51C2">
        <w:rPr>
          <w:lang w:val="sr-Cyrl-RS"/>
        </w:rPr>
        <w:t>Поред тога, користећи флексибилност свог монетарног оквира, Народна банка Србије је почев од јуна одлучила да постепено смањи однос понуде на једнонедељним репо аукцијама према процењеној тражњи банака, што је, заједно са смањењем референтне каматне стопе, утицало да се просечна пондерисана репо стопа смањи на 4,52% (13.</w:t>
      </w:r>
      <w:r>
        <w:rPr>
          <w:lang w:val="sr-Cyrl-RS"/>
        </w:rPr>
        <w:t xml:space="preserve"> </w:t>
      </w:r>
      <w:r w:rsidRPr="004B51C2">
        <w:rPr>
          <w:lang w:val="sr-Cyrl-RS"/>
        </w:rPr>
        <w:t xml:space="preserve">новембар) – тј. за 105 базних поена у поређењу са крајем маја, што представља веће смањење од смањења </w:t>
      </w:r>
      <w:r w:rsidR="00F515FA">
        <w:rPr>
          <w:lang w:val="sr-Cyrl-RS"/>
        </w:rPr>
        <w:t xml:space="preserve">РКС (75 б.п.) у истом периоду. </w:t>
      </w:r>
    </w:p>
    <w:p w14:paraId="529965FE" w14:textId="56A3D07B" w:rsidR="001D58B7" w:rsidRPr="001A3AAB" w:rsidRDefault="001D58B7" w:rsidP="001D58B7">
      <w:pPr>
        <w:rPr>
          <w:lang w:val="sr-Cyrl-RS"/>
        </w:rPr>
      </w:pPr>
      <w:r w:rsidRPr="001A3AAB">
        <w:rPr>
          <w:b/>
          <w:i/>
          <w:lang w:val="sr-Cyrl-RS"/>
        </w:rPr>
        <w:t>Средњорочна пројекција инфлације</w:t>
      </w:r>
      <w:r w:rsidRPr="001A3AAB">
        <w:rPr>
          <w:lang w:val="sr-Cyrl-RS"/>
        </w:rPr>
        <w:t xml:space="preserve">. </w:t>
      </w:r>
    </w:p>
    <w:p w14:paraId="61EAAE11" w14:textId="77777777" w:rsidR="001D58B7" w:rsidRPr="004B51C2" w:rsidRDefault="001D58B7" w:rsidP="001D58B7">
      <w:pPr>
        <w:rPr>
          <w:lang w:val="en-GB"/>
        </w:rPr>
      </w:pPr>
      <w:bookmarkStart w:id="9" w:name="_Hlk120005795"/>
      <w:r w:rsidRPr="004B51C2">
        <w:rPr>
          <w:lang w:val="sr-Cyrl-RS"/>
        </w:rPr>
        <w:t>Према новембарској пројекцији Народне банке Србије, међугодишња инфлација ће наставити да се креће у границама дозвољеног одступања од циља (3 ± 1,5%) и у наредне две године, што је временски хоризонт пројекције. Међугодишња инфлација би у наредном периоду требало постепено да успорава и да се крајем наредне године приближи централној вредности циља. Таквом кретању инфлације највише ће допринети и даље рестриктивни монетарни услови, усидравање не само средњорочних већ и краткорочних инфлационих очекивања у границама циља, као и нижа увозна инфлација и спорији привредни раст у зони евра. Такође, на опадајућу путању инфлације одразиће се и пројектовано успоравање раста реалних зарада</w:t>
      </w:r>
      <w:r w:rsidRPr="004B51C2">
        <w:rPr>
          <w:lang w:val="en-GB"/>
        </w:rPr>
        <w:t xml:space="preserve"> </w:t>
      </w:r>
      <w:r w:rsidRPr="004B51C2">
        <w:rPr>
          <w:lang w:val="sr-Cyrl-RS"/>
        </w:rPr>
        <w:t>и очекивани пад светске цене нафте у складу с фјучерсима</w:t>
      </w:r>
      <w:r w:rsidRPr="004B51C2">
        <w:rPr>
          <w:lang w:val="en-GB"/>
        </w:rPr>
        <w:t>.</w:t>
      </w:r>
    </w:p>
    <w:p w14:paraId="0324B87E" w14:textId="77777777" w:rsidR="001D58B7" w:rsidRDefault="001D58B7" w:rsidP="001D58B7">
      <w:pPr>
        <w:rPr>
          <w:lang w:val="sr-Cyrl-RS"/>
        </w:rPr>
      </w:pPr>
      <w:r w:rsidRPr="004B51C2">
        <w:rPr>
          <w:lang w:val="sr-Cyrl-RS"/>
        </w:rPr>
        <w:t>Кључни ризици пројекције инфлације и даље се у највећој мери односе на факторе из међународног окружења, а првенствено геополитичке односе, протекционистичке мере и изгледе за глобални привредни раст, као и њихов утицај на светске цене енергената и других примарних производа. Од ризика из домаћег окружења, важан је утицај временских прилика на понуду и цене воћа и поврћа, као и брзина раста домаће тражње, пре свега инвестиционе, по основу висине прилива страних директних инвестиција и улагања у инфраструктуру и сектор енергетике. Укупно посматрано, ризике током хоризонта пројекције оцењујемо као симетричне.</w:t>
      </w:r>
    </w:p>
    <w:bookmarkEnd w:id="9"/>
    <w:p w14:paraId="32C665FB" w14:textId="77777777" w:rsidR="001D58B7" w:rsidRPr="003B2B01" w:rsidRDefault="001D58B7" w:rsidP="001D58B7">
      <w:pPr>
        <w:rPr>
          <w:rFonts w:eastAsia="Times New Roman"/>
          <w:b/>
          <w:i/>
          <w:lang w:val="sr-Cyrl-RS"/>
        </w:rPr>
      </w:pPr>
      <w:r w:rsidRPr="003B2B01">
        <w:rPr>
          <w:rFonts w:eastAsia="Times New Roman"/>
          <w:b/>
          <w:i/>
          <w:lang w:val="sr-Cyrl-RS"/>
        </w:rPr>
        <w:t>Екстерни сектор и његова средњорочна одрживост</w:t>
      </w:r>
    </w:p>
    <w:p w14:paraId="00432E79" w14:textId="1785C3BF" w:rsidR="001D58B7" w:rsidRPr="003B2B01" w:rsidRDefault="001D58B7" w:rsidP="001D58B7">
      <w:pPr>
        <w:rPr>
          <w:rFonts w:eastAsia="Times New Roman"/>
          <w:lang w:val="sr-Cyrl-RS"/>
        </w:rPr>
      </w:pPr>
      <w:r w:rsidRPr="003B2B01">
        <w:rPr>
          <w:rFonts w:eastAsia="Times New Roman"/>
          <w:lang w:val="sr-Cyrl-RS"/>
        </w:rPr>
        <w:t xml:space="preserve">Захваљујући </w:t>
      </w:r>
      <w:r w:rsidRPr="003B2B01">
        <w:rPr>
          <w:lang w:val="sr-Cyrl-RS"/>
        </w:rPr>
        <w:t xml:space="preserve">приливу страних директних инвестиција у </w:t>
      </w:r>
      <w:r w:rsidRPr="003B2B01">
        <w:rPr>
          <w:rFonts w:eastAsia="Times New Roman"/>
          <w:lang w:val="sr-Cyrl-RS"/>
        </w:rPr>
        <w:t>извозно-оријентисане секторе, којем доприноси остварена маркоекономска стабилност, као и стимулативније пословно окружење, у претходних неколико година повећана је диверсификованост</w:t>
      </w:r>
      <w:r w:rsidRPr="003B2B01">
        <w:rPr>
          <w:lang w:val="sr-Cyrl-RS"/>
        </w:rPr>
        <w:t xml:space="preserve"> извоза – и производно и географски посматрано. </w:t>
      </w:r>
      <w:r w:rsidRPr="003B2B01">
        <w:rPr>
          <w:rFonts w:eastAsia="Times New Roman"/>
          <w:lang w:val="sr-Cyrl-RS"/>
        </w:rPr>
        <w:t xml:space="preserve">На то указује смањење вредности индекса </w:t>
      </w:r>
      <w:r w:rsidRPr="003B2B01">
        <w:rPr>
          <w:rFonts w:eastAsia="Times New Roman"/>
          <w:i/>
          <w:lang w:val="sr-Cyrl-RS"/>
        </w:rPr>
        <w:t>HHI</w:t>
      </w:r>
      <w:r w:rsidRPr="003B2B01">
        <w:rPr>
          <w:rFonts w:eastAsia="Times New Roman"/>
          <w:lang w:val="sr-Cyrl-RS"/>
        </w:rPr>
        <w:t xml:space="preserve"> по производима</w:t>
      </w:r>
      <w:r w:rsidR="00CF6476">
        <w:rPr>
          <w:rFonts w:eastAsia="Times New Roman"/>
          <w:lang w:val="sr-Cyrl-RS"/>
        </w:rPr>
        <w:t xml:space="preserve"> </w:t>
      </w:r>
      <w:r w:rsidRPr="003B2B01">
        <w:rPr>
          <w:rFonts w:eastAsia="Times New Roman"/>
          <w:lang w:val="sr-Cyrl-RS"/>
        </w:rPr>
        <w:t>у протеклој деценији, са 0,22 у 2013. на 0,20 у 2024, а по земљама партнерима са 0,26 на 0,23.</w:t>
      </w:r>
    </w:p>
    <w:p w14:paraId="2C5A8BBC" w14:textId="77777777" w:rsidR="001D58B7" w:rsidRPr="00A030EA" w:rsidRDefault="001D58B7" w:rsidP="001D58B7">
      <w:pPr>
        <w:rPr>
          <w:lang w:val="sr-Cyrl-RS"/>
        </w:rPr>
      </w:pPr>
      <w:r w:rsidRPr="003B2B01">
        <w:rPr>
          <w:lang w:val="sr-Cyrl-RS"/>
        </w:rPr>
        <w:t xml:space="preserve">Посматрано према </w:t>
      </w:r>
      <w:r w:rsidRPr="003B2B01">
        <w:rPr>
          <w:b/>
          <w:bCs/>
          <w:i/>
          <w:iCs/>
          <w:lang w:val="sr-Cyrl-RS"/>
        </w:rPr>
        <w:t>фазама прераде</w:t>
      </w:r>
      <w:r w:rsidRPr="003B2B01">
        <w:rPr>
          <w:lang w:val="sr-Cyrl-RS"/>
        </w:rPr>
        <w:t>, у структури робног извоза највеће учешће у девет месеци 2024. имају производи средње фазе прераде (</w:t>
      </w:r>
      <w:r w:rsidRPr="003B2B01">
        <w:rPr>
          <w:lang w:val="sr-Latn-RS"/>
        </w:rPr>
        <w:t>31,0</w:t>
      </w:r>
      <w:r w:rsidRPr="003B2B01">
        <w:rPr>
          <w:lang w:val="sr-Cyrl-RS"/>
        </w:rPr>
        <w:t>%). На другом месту налазе се производи базирани на ресурсима (26,</w:t>
      </w:r>
      <w:r w:rsidRPr="003B2B01">
        <w:rPr>
          <w:lang w:val="sr-Latn-RS"/>
        </w:rPr>
        <w:t>9</w:t>
      </w:r>
      <w:r w:rsidRPr="003B2B01">
        <w:rPr>
          <w:lang w:val="sr-Cyrl-RS"/>
        </w:rPr>
        <w:t xml:space="preserve">%), затим производи ниже фазе прераде са учешћем од </w:t>
      </w:r>
      <w:r w:rsidRPr="003B2B01">
        <w:rPr>
          <w:lang w:val="sr-Latn-RS"/>
        </w:rPr>
        <w:t>17,0</w:t>
      </w:r>
      <w:r w:rsidRPr="003B2B01">
        <w:rPr>
          <w:lang w:val="sr-Cyrl-RS"/>
        </w:rPr>
        <w:t xml:space="preserve">% (намештај, производи од пластике, ваљани производи, производи од </w:t>
      </w:r>
      <w:r w:rsidRPr="003B2B01">
        <w:rPr>
          <w:lang w:val="sr-Cyrl-RS"/>
        </w:rPr>
        <w:lastRenderedPageBreak/>
        <w:t>простих метала</w:t>
      </w:r>
      <w:r w:rsidRPr="003B2B01">
        <w:rPr>
          <w:lang w:val="sr-Latn-RS"/>
        </w:rPr>
        <w:t xml:space="preserve">, </w:t>
      </w:r>
      <w:r w:rsidRPr="003B2B01">
        <w:rPr>
          <w:lang w:val="sr-Cyrl-RS"/>
        </w:rPr>
        <w:t xml:space="preserve">обућа), док су примарни производи чинили </w:t>
      </w:r>
      <w:r w:rsidRPr="003B2B01">
        <w:rPr>
          <w:lang w:val="sr-Latn-RS"/>
        </w:rPr>
        <w:t>13,3</w:t>
      </w:r>
      <w:r w:rsidRPr="003B2B01">
        <w:rPr>
          <w:lang w:val="sr-Cyrl-RS"/>
        </w:rPr>
        <w:t>% укупног извоза. Учешће производа високе технологије (углавном електричних машина) у укупном извозу износило је 7,</w:t>
      </w:r>
      <w:r w:rsidRPr="003B2B01">
        <w:rPr>
          <w:lang w:val="sr-Latn-RS"/>
        </w:rPr>
        <w:t>9</w:t>
      </w:r>
      <w:r w:rsidRPr="003B2B01">
        <w:rPr>
          <w:lang w:val="sr-Cyrl-RS"/>
        </w:rPr>
        <w:t>% током девет месеци 202</w:t>
      </w:r>
      <w:r w:rsidRPr="003B2B01">
        <w:rPr>
          <w:lang w:val="sr-Latn-RS"/>
        </w:rPr>
        <w:t>4</w:t>
      </w:r>
      <w:r w:rsidRPr="003B2B01">
        <w:rPr>
          <w:lang w:val="sr-Cyrl-RS"/>
        </w:rPr>
        <w:t>, што представља раст за 3</w:t>
      </w:r>
      <w:r w:rsidRPr="003B2B01">
        <w:rPr>
          <w:lang w:val="sr-Latn-RS"/>
        </w:rPr>
        <w:t>,1</w:t>
      </w:r>
      <w:r w:rsidRPr="003B2B01">
        <w:rPr>
          <w:lang w:val="sr-Cyrl-RS"/>
        </w:rPr>
        <w:t xml:space="preserve"> п.п. у односу на 2013, када је учешће било 4,8%.</w:t>
      </w:r>
    </w:p>
    <w:p w14:paraId="28AF727B" w14:textId="77777777" w:rsidR="001D58B7" w:rsidRPr="001A3AAB" w:rsidRDefault="001D58B7" w:rsidP="001D58B7">
      <w:pPr>
        <w:rPr>
          <w:lang w:val="sr-Cyrl-RS"/>
        </w:rPr>
      </w:pPr>
      <w:r w:rsidRPr="003B2B01">
        <w:rPr>
          <w:lang w:val="sr-Cyrl-RS"/>
        </w:rPr>
        <w:t xml:space="preserve">Када је реч о </w:t>
      </w:r>
      <w:r w:rsidRPr="003B2B01">
        <w:rPr>
          <w:b/>
          <w:i/>
          <w:lang w:val="sr-Cyrl-RS"/>
        </w:rPr>
        <w:t>показатељима ценовне конкурентности</w:t>
      </w:r>
      <w:r w:rsidRPr="003B2B01">
        <w:rPr>
          <w:lang w:val="sr-Cyrl-RS"/>
        </w:rPr>
        <w:t>, важно је нагласити да је реални ефективни курс динара (рачунат на бази потрошачких цена према корпи валута коју чине евро и долар</w:t>
      </w:r>
      <w:r w:rsidRPr="003B2B01">
        <w:rPr>
          <w:vertAlign w:val="superscript"/>
          <w:lang w:val="sr-Cyrl-RS"/>
        </w:rPr>
        <w:footnoteReference w:id="6"/>
      </w:r>
      <w:r w:rsidRPr="003B2B01">
        <w:rPr>
          <w:lang w:val="sr-Cyrl-RS"/>
        </w:rPr>
        <w:t xml:space="preserve">) током осам година закључно са 2022, кумулативно посматрано, био готово непромењен. Под утицајем веће инфлације у Србији у односу на инфлацију у зони евра и САД, у 2023. забележена је реална ефективна апрецијација од 7,7%, док је у девет месеци 2024. просечна реална ефективана апрецијација динара износила 2,4% мг. </w:t>
      </w:r>
      <w:r w:rsidRPr="00A05399">
        <w:rPr>
          <w:lang w:val="sr-Cyrl-RS"/>
        </w:rPr>
        <w:t>Рачунат на бази јединичних трошкова рада, динар према евру реално апрецира од 2017. године, услед бржег раста јединичних трошкова рада у Србији у односу на ЕУ, а делом и због благе номиналне апрецијације динара према евру. Током 2024. зараде у Србији расле су брже од економске активности, тако да су јединични трошкови рада у Србији наставили раст, који је био израженији у односу на раст једничних трошкова рада у зони евра што је уз непромењену вредност динара према евру, резултирало реалном апрецијацијом динара која је</w:t>
      </w:r>
      <w:r w:rsidRPr="00A05399">
        <w:t>,</w:t>
      </w:r>
      <w:r w:rsidRPr="00A05399">
        <w:rPr>
          <w:lang w:val="sr-Cyrl-RS"/>
        </w:rPr>
        <w:t xml:space="preserve"> према тренутно расположивим подацима</w:t>
      </w:r>
      <w:r w:rsidRPr="00A05399">
        <w:t>,</w:t>
      </w:r>
      <w:r w:rsidRPr="00A05399">
        <w:rPr>
          <w:lang w:val="sr-Cyrl-RS"/>
        </w:rPr>
        <w:t xml:space="preserve"> у П1 износила око </w:t>
      </w:r>
      <w:r w:rsidRPr="00A05399">
        <w:rPr>
          <w:lang w:val="sr-Latn-RS"/>
        </w:rPr>
        <w:t>5</w:t>
      </w:r>
      <w:r w:rsidRPr="00A05399">
        <w:rPr>
          <w:lang w:val="sr-Cyrl-RS"/>
        </w:rPr>
        <w:t xml:space="preserve">% мг. Да трошковна конкурентност није фактор који значајније утиче на прилив страних директних инвестиција, већ очувана макроекономска стабилност и остварена структурна побољшања, говори податак да је прилив страних директних инвестиција од 2017. закључно са септембром ове године износио скоро 29,4 млрд евра (просечно годишње око 7,2% БДП-а), упркос пандемији, израженим геополитичким тензијама и другим изазовима из међународног окружења. Такође, извоз робе и услуга наставља </w:t>
      </w:r>
      <w:r>
        <w:rPr>
          <w:lang w:val="sr-Cyrl-RS"/>
        </w:rPr>
        <w:t xml:space="preserve">да </w:t>
      </w:r>
      <w:r w:rsidRPr="00A05399">
        <w:rPr>
          <w:lang w:val="sr-Cyrl-RS"/>
        </w:rPr>
        <w:t>расте упркос и даље слабој екстерној тражњи, управо као резултат високих прилива страних директних инвестиције које су знатно повећале извозну понуду, тако да је извоз и у условима смањене екстерне тражње показао значајну отпорност.</w:t>
      </w:r>
    </w:p>
    <w:p w14:paraId="6DC7AFF9" w14:textId="77777777" w:rsidR="001D58B7" w:rsidRPr="003B2B16" w:rsidRDefault="001D58B7" w:rsidP="001D58B7">
      <w:pPr>
        <w:rPr>
          <w:b/>
          <w:lang w:val="sr-Cyrl-RS"/>
        </w:rPr>
      </w:pPr>
      <w:r w:rsidRPr="003B2B16">
        <w:rPr>
          <w:b/>
          <w:i/>
          <w:lang w:val="sr-Cyrl-RS"/>
        </w:rPr>
        <w:t>Међународна инвестициона позиција.</w:t>
      </w:r>
      <w:r w:rsidRPr="003B2B16">
        <w:rPr>
          <w:lang w:val="sr-Cyrl-RS"/>
        </w:rPr>
        <w:t xml:space="preserve"> На крају Т2 2024. негативна међународна инвестициона позиција (МИП) износила је 50,5 млрд евра</w:t>
      </w:r>
      <w:r>
        <w:rPr>
          <w:lang w:val="sr-Cyrl-RS"/>
        </w:rPr>
        <w:t xml:space="preserve"> (на крају 2023. износила је</w:t>
      </w:r>
      <w:r>
        <w:rPr>
          <w:lang w:val="sr-Latn-RS"/>
        </w:rPr>
        <w:t xml:space="preserve"> 50,1 </w:t>
      </w:r>
      <w:r>
        <w:rPr>
          <w:lang w:val="sr-Cyrl-RS"/>
        </w:rPr>
        <w:t>млрд евра или 66,6% БДП-а)</w:t>
      </w:r>
      <w:r w:rsidRPr="003B2B16">
        <w:rPr>
          <w:lang w:val="sr-Cyrl-RS"/>
        </w:rPr>
        <w:t xml:space="preserve">. На страни активе повећало се стање девизних резерви, депозита и портфолио и директних инвестиција резидената у иностранство, док је на страни обавеза дошло пре свега до раста стања страних директних инвестиција, портфолио инвестиција и финансијских кредита. </w:t>
      </w:r>
      <w:r w:rsidRPr="003B2B16">
        <w:rPr>
          <w:b/>
          <w:bCs/>
          <w:lang w:val="sr-Cyrl-RS"/>
        </w:rPr>
        <w:t>Н</w:t>
      </w:r>
      <w:r w:rsidRPr="003B2B16">
        <w:rPr>
          <w:b/>
          <w:lang w:val="sr-Cyrl-RS"/>
        </w:rPr>
        <w:t>а крају Т2 2024, нето стране директне инвестиције чиниле су око 104% нето МИП, што указује на изразито повољну структуру МИП-а са становишта екстерне одрживости.</w:t>
      </w:r>
    </w:p>
    <w:p w14:paraId="20B6D4C0" w14:textId="77777777" w:rsidR="001D58B7" w:rsidRPr="00A030EA" w:rsidRDefault="001D58B7" w:rsidP="001D58B7">
      <w:pPr>
        <w:rPr>
          <w:lang w:val="sr-Cyrl-RS"/>
        </w:rPr>
      </w:pPr>
      <w:r w:rsidRPr="003B2B16">
        <w:rPr>
          <w:lang w:val="sr-Cyrl-RS"/>
        </w:rPr>
        <w:t xml:space="preserve">У структури пасиве МИП-а, учешће дужничких инструмената је износило око 52%, од чега су међукомпанијски кредити чинили </w:t>
      </w:r>
      <w:r w:rsidRPr="003B2B16">
        <w:rPr>
          <w:lang w:val="sr-Latn-RS"/>
        </w:rPr>
        <w:t>23,1</w:t>
      </w:r>
      <w:r w:rsidRPr="003B2B16">
        <w:rPr>
          <w:lang w:val="sr-Cyrl-RS"/>
        </w:rPr>
        <w:t xml:space="preserve">%. Око половине </w:t>
      </w:r>
      <w:r w:rsidRPr="003B2B16">
        <w:rPr>
          <w:b/>
          <w:bCs/>
          <w:i/>
          <w:iCs/>
          <w:lang w:val="sr-Cyrl-RS"/>
        </w:rPr>
        <w:t>укупног</w:t>
      </w:r>
      <w:r w:rsidRPr="003B2B16">
        <w:rPr>
          <w:lang w:val="sr-Cyrl-RS"/>
        </w:rPr>
        <w:t xml:space="preserve"> </w:t>
      </w:r>
      <w:r w:rsidRPr="003B2B16">
        <w:rPr>
          <w:b/>
          <w:i/>
          <w:lang w:val="sr-Cyrl-RS"/>
        </w:rPr>
        <w:t>спољног дуга</w:t>
      </w:r>
      <w:r w:rsidRPr="003B2B16">
        <w:rPr>
          <w:lang w:val="sr-Cyrl-RS"/>
        </w:rPr>
        <w:t xml:space="preserve"> односи се на дуг јавног сектора (54,7%). Посматрано по преосталој рочности, укупан спољни дуг јавног сектора (који чине општа држава и Народна банка Србије) је дугорочног карактера, а око 70,7% је уговорено по фиксној каматној стопи. У јавном спољном дугу доминирају две валуте – евро (70,8%) и долар (19,4%), а битно је истаћи да је учешће евра и долара у девизним резервама у великој мери усклађено са валутном структуром јавног спољног дуга.</w:t>
      </w:r>
    </w:p>
    <w:p w14:paraId="210C95CE" w14:textId="77777777" w:rsidR="001D58B7" w:rsidRPr="00A030EA" w:rsidRDefault="001D58B7" w:rsidP="001D58B7">
      <w:pPr>
        <w:rPr>
          <w:lang w:val="sr-Cyrl-RS"/>
        </w:rPr>
      </w:pPr>
      <w:r w:rsidRPr="003B2B16">
        <w:rPr>
          <w:lang w:val="sr-Cyrl-RS"/>
        </w:rPr>
        <w:t xml:space="preserve">У структури спољног дуга приватног сектора највећи део односи се на дуг предузећа (око 83,7%). Преко 88% дуга предузећа деноминовано је у еврима, а због чињенице да се истовремено око 83% наплата извоза извршава у еврима, валутни ризик по основу спољног дуга предузећа је низак. Поред тога, 48,0% дуга је уговорено по фиксној </w:t>
      </w:r>
      <w:r w:rsidRPr="003B2B16">
        <w:rPr>
          <w:lang w:val="sr-Cyrl-RS"/>
        </w:rPr>
        <w:lastRenderedPageBreak/>
        <w:t>каматној стопи. Посматрано према преосталој рочности, скоро 97% дуга предузећа је дугорочног карактера. Када се посматра спољни дуг банака, око 96% деноминовано је у еврима, а 91,8% уговорено је по варијабилној каматној стопи. Посматрано према преосталој рочности, скоро 89,5% спољног дуга банкарског сектора (ако се изузму депозити) је дугорочног карактера.</w:t>
      </w:r>
      <w:r w:rsidRPr="00A030EA">
        <w:rPr>
          <w:lang w:val="sr-Cyrl-RS"/>
        </w:rPr>
        <w:t xml:space="preserve"> </w:t>
      </w:r>
    </w:p>
    <w:p w14:paraId="7ADBC152" w14:textId="77777777" w:rsidR="001D58B7" w:rsidRPr="003B2B16" w:rsidRDefault="001D58B7" w:rsidP="001D58B7">
      <w:pPr>
        <w:rPr>
          <w:lang w:val="sr-Cyrl-RS"/>
        </w:rPr>
      </w:pPr>
      <w:r w:rsidRPr="003B2B16">
        <w:rPr>
          <w:b/>
          <w:i/>
          <w:szCs w:val="24"/>
          <w:lang w:val="sr-Cyrl-RS"/>
        </w:rPr>
        <w:t>Средњорочна екстерна одрживост.</w:t>
      </w:r>
      <w:r w:rsidRPr="003B2B16">
        <w:rPr>
          <w:lang w:val="sr-Cyrl-RS"/>
        </w:rPr>
        <w:t xml:space="preserve"> Дефицит текућег рачуна у средњем року пројектује се на нивоу од око 5% БДП-а, који ће и надаље бити у пуној или готово у пуној мери покривен нето приливима по основу СДИ. Кретање салда текућег рачуна платног биланса у средњем року у највећој мери биће одређено структурним факторима. Наставак раста инвестиција и </w:t>
      </w:r>
      <w:r>
        <w:rPr>
          <w:lang w:val="sr-Cyrl-RS"/>
        </w:rPr>
        <w:t xml:space="preserve">реализација </w:t>
      </w:r>
      <w:r w:rsidRPr="003B2B16">
        <w:rPr>
          <w:lang w:val="sr-Cyrl-RS"/>
        </w:rPr>
        <w:t>пројеката везаних за програм „Скок у будућност - Србија Eкспо 2027“ утицаће на раст увоза капиталних добара и репроматеријала, тако да се процењује да ће раст увоза робе и услуга износити између 7</w:t>
      </w:r>
      <w:r>
        <w:rPr>
          <w:lang w:val="sr-Cyrl-RS"/>
        </w:rPr>
        <w:t xml:space="preserve">% и </w:t>
      </w:r>
      <w:r w:rsidRPr="003B2B16">
        <w:rPr>
          <w:lang w:val="sr-Cyrl-RS"/>
        </w:rPr>
        <w:t>9% годишње у наредним годинама. Истовремено, као резултат инвестиција из претходног периода у разменљиве секторе, а пре свега високог прилива СДИ, као и очекиваног опоравка екстерне тражње, очекујемо да ће и раст извоза робе и услуга у средњем року износити између 6</w:t>
      </w:r>
      <w:r>
        <w:rPr>
          <w:lang w:val="sr-Cyrl-RS"/>
        </w:rPr>
        <w:t>% и 9</w:t>
      </w:r>
      <w:r w:rsidRPr="003B2B16">
        <w:rPr>
          <w:lang w:val="sr-Cyrl-RS"/>
        </w:rPr>
        <w:t>% годишње. Према нашој пројекцији, суфицит секундарног дохотка стабилизоваће се у наредном периоду на око 7% БДП-а, док ће очекивана путања нето прилива СДИ од око 5% БДП-а утицати на то да принос по основу њиховог власништва остане солидна расходна ставка на рачуну примарног дохотка, чији ће се дефицит због тога умерено повећавати.</w:t>
      </w:r>
    </w:p>
    <w:p w14:paraId="5B945D8D" w14:textId="77777777" w:rsidR="001D58B7" w:rsidRPr="00160EC9" w:rsidRDefault="001D58B7" w:rsidP="001D58B7">
      <w:pPr>
        <w:rPr>
          <w:lang w:val="sr-Cyrl-RS"/>
        </w:rPr>
      </w:pPr>
      <w:r w:rsidRPr="003B2B16">
        <w:rPr>
          <w:lang w:val="sr-Cyrl-RS"/>
        </w:rPr>
        <w:t>И у средњем року се очекује задржавање девизних резерви на адекватном нивоу. Процењује се да ће покривеност просечног месечног увоза робе и услуга девизним резервама износити око 7 месеци, уз раст покривености краткорочног дуга (посматрано по преосталој рочности) девизним резервама.</w:t>
      </w:r>
    </w:p>
    <w:p w14:paraId="0345D9B8" w14:textId="205354D7" w:rsidR="00E8578D" w:rsidRPr="00E8578D" w:rsidRDefault="001D58B7" w:rsidP="00B66407">
      <w:pPr>
        <w:rPr>
          <w:lang w:val="sr-Cyrl-RS"/>
        </w:rPr>
      </w:pPr>
      <w:r w:rsidRPr="001E7FFC">
        <w:rPr>
          <w:lang w:val="sr-Cyrl-RS"/>
        </w:rPr>
        <w:t xml:space="preserve">Анализа одрживости спољног дуга показује да ће се по свим макроекономсмким сценаријима (који претпостављају различиту стопу раста БДП-а, каматних стопа, као и девизног курса), осим сценарија са реалном депрецијацијом од 30% у 2025. години, </w:t>
      </w:r>
      <w:r w:rsidRPr="001E7FFC">
        <w:rPr>
          <w:b/>
          <w:bCs/>
          <w:lang w:val="sr-Cyrl-RS"/>
        </w:rPr>
        <w:t>спољни дуг у средњем року смањивати</w:t>
      </w:r>
      <w:r w:rsidRPr="001E7FFC">
        <w:rPr>
          <w:lang w:val="sr-Cyrl-RS"/>
        </w:rPr>
        <w:t xml:space="preserve">. </w:t>
      </w:r>
      <w:r w:rsidRPr="001E7FFC">
        <w:rPr>
          <w:b/>
          <w:bCs/>
          <w:lang w:val="sr-Cyrl-RS"/>
        </w:rPr>
        <w:t xml:space="preserve">Према основном сценарију, спољни дуг Србије би се на крају 2027. нашао на нивоу од око </w:t>
      </w:r>
      <w:r w:rsidRPr="00782BDA">
        <w:rPr>
          <w:b/>
          <w:bCs/>
          <w:lang w:val="sr-Latn-RS"/>
        </w:rPr>
        <w:t>55</w:t>
      </w:r>
      <w:r w:rsidRPr="00782BDA">
        <w:rPr>
          <w:b/>
          <w:bCs/>
          <w:lang w:val="sr-Cyrl-RS"/>
        </w:rPr>
        <w:t>% БДП-а</w:t>
      </w:r>
      <w:r w:rsidRPr="00841E09">
        <w:rPr>
          <w:lang w:val="sr-Cyrl-RS"/>
        </w:rPr>
        <w:t>.</w:t>
      </w:r>
      <w:r w:rsidRPr="001E7FFC">
        <w:rPr>
          <w:lang w:val="sr-Cyrl-RS"/>
        </w:rPr>
        <w:t xml:space="preserve"> Један од основних фактора који ће допринети овом смањењу је повећање степена отворености српске економије (мерено као проценат извоза и увоза роба и услуга у БДП-у) на око 130% БДП-а у 2027. години. На повећање отворености српске економије и њену већу интеграцију у глобалне трговинске токове свакако утиче висок прилив страних директних инвестиција, који се ове и наредних година пројектује на нивоу од око 4,6 млрд евра, што је блиско нивоу из претходне године која је била рекордна по овом питању. С обзиром да је годинама највећи део инвестиција био усмерен у разменљиве секторе, међу највећим извозницима Србије се и налазе углавном компаније у страном власништву. Наставак ЕУ интеграција, заједно с билатералним споразумима о слободној трговини и споразумима са економским групацијама (ЦЕФТА, ЕФТА, </w:t>
      </w:r>
      <w:r>
        <w:rPr>
          <w:lang w:val="sr-Cyrl-RS"/>
        </w:rPr>
        <w:t>е</w:t>
      </w:r>
      <w:r w:rsidRPr="001E7FFC">
        <w:rPr>
          <w:lang w:val="sr-Cyrl-RS"/>
        </w:rPr>
        <w:t>вроазијска економска унија) које Влада Србије закључује и уз одржавање постигнуте макроекономске стабилности, довешће до даљег унапређења пословне климе, што ће омогућити већу међународну размену и наставак раста страних директних инвестиција.</w:t>
      </w:r>
    </w:p>
    <w:p w14:paraId="3A968293" w14:textId="77777777" w:rsidR="00251AB4" w:rsidRDefault="00251AB4" w:rsidP="00E8578D">
      <w:pPr>
        <w:keepNext/>
        <w:keepLines/>
        <w:spacing w:before="160" w:after="160"/>
        <w:outlineLvl w:val="1"/>
        <w:rPr>
          <w:rFonts w:eastAsia="Calibri" w:cs="Times New Roman"/>
          <w:szCs w:val="24"/>
          <w:lang w:val="sr-Cyrl-RS"/>
        </w:rPr>
      </w:pPr>
    </w:p>
    <w:p w14:paraId="54D1B76D" w14:textId="65604DD3" w:rsidR="00C4765D" w:rsidRPr="00652D12" w:rsidRDefault="00C4765D" w:rsidP="00E8578D">
      <w:pPr>
        <w:keepNext/>
        <w:keepLines/>
        <w:spacing w:before="160" w:after="160"/>
        <w:outlineLvl w:val="1"/>
        <w:rPr>
          <w:rFonts w:eastAsia="Calibri" w:cs="Times New Roman"/>
          <w:szCs w:val="24"/>
          <w:lang w:val="sr-Cyrl-RS"/>
        </w:rPr>
      </w:pPr>
      <w:r w:rsidRPr="00652D12">
        <w:rPr>
          <w:rFonts w:eastAsia="Calibri" w:cs="Times New Roman"/>
          <w:szCs w:val="24"/>
          <w:lang w:val="sr-Cyrl-RS"/>
        </w:rPr>
        <w:t xml:space="preserve">4. </w:t>
      </w:r>
      <w:r w:rsidR="0047017C" w:rsidRPr="00652D12">
        <w:rPr>
          <w:rFonts w:eastAsia="Calibri" w:cs="Times New Roman"/>
          <w:szCs w:val="24"/>
          <w:lang w:val="sr-Cyrl-RS"/>
        </w:rPr>
        <w:t>АЛТЕРНАТИВНИ СЦЕНАРИО И РИЗИЦИ</w:t>
      </w:r>
    </w:p>
    <w:p w14:paraId="7D20F7DE" w14:textId="1ED41DDE" w:rsidR="00E925B8" w:rsidRPr="0093681C" w:rsidRDefault="00740EE7" w:rsidP="0047017C">
      <w:pPr>
        <w:autoSpaceDE w:val="0"/>
        <w:autoSpaceDN w:val="0"/>
        <w:adjustRightInd w:val="0"/>
        <w:rPr>
          <w:rFonts w:cstheme="minorHAnsi"/>
          <w:bCs/>
          <w:szCs w:val="72"/>
          <w:lang w:val="sr-Cyrl-RS"/>
        </w:rPr>
      </w:pPr>
      <w:r w:rsidRPr="00740EE7">
        <w:rPr>
          <w:rFonts w:cstheme="minorHAnsi"/>
          <w:bCs/>
          <w:szCs w:val="72"/>
          <w:lang w:val="sr-Cyrl-RS"/>
        </w:rPr>
        <w:t xml:space="preserve">Средњорочни сценарио кретања привредне активности Републике Србије је и даље под утицајем бројних ризика, пре свега из међународног окружења. Ризици макроекономског оквира у највећој мери потичу од неизвесности у погледу развоја </w:t>
      </w:r>
      <w:r w:rsidRPr="00740EE7">
        <w:rPr>
          <w:rFonts w:cstheme="minorHAnsi"/>
          <w:bCs/>
          <w:szCs w:val="72"/>
          <w:lang w:val="sr-Cyrl-RS"/>
        </w:rPr>
        <w:lastRenderedPageBreak/>
        <w:t xml:space="preserve">међународних економских и политичких односа. Даља геокономска фрагментација и ограничења трговинских односа могу још у већој мери утицати на обим глобалне трговине и глобалне економске изгледе. Ескалација сукоба у Украјини и на Блиском истоку може изазвати нагле скокове цена енергената и додатно повећати неизвесност и забринутост инвеститора, изазивајући снажније инфлаторне притиске и још спорији опоравак економија наших највећих спољнотрговинских партнера. Песимистичан сценарио полази од претпоставке материјализације негативних ризика из међународног окружења што би се неповољно одразило на извозну активност наше привреде, већу инфлацију услед шокова на тржишту енергената и мањи реални расположив доходак становништва и приватну потрошњу, као и на спорији раст инвестиција, пре свега приватних. Материјализација ових ризика имала би за последицу мању средњорочну стопу раста БДП у периоду 2025-2027. године за 1,3 п.п. просечно од оне у основном сценарију и износила би 3,1% просечно годишње. </w:t>
      </w:r>
    </w:p>
    <w:p w14:paraId="27777E86" w14:textId="77777777" w:rsidR="00E925B8" w:rsidRDefault="00E925B8" w:rsidP="0047017C">
      <w:pPr>
        <w:autoSpaceDE w:val="0"/>
        <w:autoSpaceDN w:val="0"/>
        <w:adjustRightInd w:val="0"/>
        <w:contextualSpacing/>
        <w:rPr>
          <w:rFonts w:eastAsia="Constantia" w:cs="Times New Roman"/>
          <w:szCs w:val="24"/>
          <w:lang w:val="sr-Cyrl-RS"/>
        </w:rPr>
      </w:pPr>
    </w:p>
    <w:p w14:paraId="06A3FD67" w14:textId="5AC73635" w:rsidR="00C4765D" w:rsidRPr="00652D12" w:rsidRDefault="009333E2" w:rsidP="0047017C">
      <w:pPr>
        <w:autoSpaceDE w:val="0"/>
        <w:autoSpaceDN w:val="0"/>
        <w:adjustRightInd w:val="0"/>
        <w:contextualSpacing/>
        <w:rPr>
          <w:rFonts w:eastAsia="Constantia" w:cs="Times New Roman"/>
          <w:szCs w:val="24"/>
          <w:lang w:val="sr-Cyrl-RS"/>
        </w:rPr>
      </w:pPr>
      <w:r w:rsidRPr="00652D12">
        <w:rPr>
          <w:rFonts w:eastAsia="Constantia" w:cs="Times New Roman"/>
          <w:szCs w:val="24"/>
          <w:lang w:val="sr-Cyrl-RS"/>
        </w:rPr>
        <w:t xml:space="preserve">Графикон </w:t>
      </w:r>
      <w:r w:rsidR="00E67845" w:rsidRPr="00652D12">
        <w:rPr>
          <w:rFonts w:eastAsia="Constantia" w:cs="Times New Roman"/>
          <w:szCs w:val="24"/>
          <w:lang w:val="sr-Cyrl-RS"/>
        </w:rPr>
        <w:t>4</w:t>
      </w:r>
      <w:r w:rsidRPr="00652D12">
        <w:rPr>
          <w:rFonts w:eastAsia="Constantia" w:cs="Times New Roman"/>
          <w:szCs w:val="24"/>
          <w:lang w:val="sr-Cyrl-RS"/>
        </w:rPr>
        <w:t xml:space="preserve">. </w:t>
      </w:r>
      <w:r w:rsidR="00C4765D" w:rsidRPr="00652D12">
        <w:rPr>
          <w:rFonts w:eastAsia="Constantia" w:cs="Times New Roman"/>
          <w:szCs w:val="24"/>
          <w:lang w:val="sr-Cyrl-RS"/>
        </w:rPr>
        <w:t>Пројекција кретања БДП, међугодишње стопе раста, %</w:t>
      </w:r>
    </w:p>
    <w:p w14:paraId="079DEBCF" w14:textId="10F65BCD" w:rsidR="009B402F" w:rsidRPr="00652D12" w:rsidRDefault="00740EE7" w:rsidP="004C1702">
      <w:pPr>
        <w:autoSpaceDE w:val="0"/>
        <w:autoSpaceDN w:val="0"/>
        <w:adjustRightInd w:val="0"/>
        <w:spacing w:after="240"/>
        <w:rPr>
          <w:lang w:val="sr-Cyrl-RS"/>
        </w:rPr>
      </w:pPr>
      <w:r w:rsidRPr="00EF01AE">
        <w:rPr>
          <w:noProof/>
        </w:rPr>
        <w:drawing>
          <wp:inline distT="0" distB="0" distL="0" distR="0" wp14:anchorId="562C8CA1" wp14:editId="792948F9">
            <wp:extent cx="5762625" cy="2305050"/>
            <wp:effectExtent l="0" t="0" r="0" b="0"/>
            <wp:docPr id="96" name="Chart 96">
              <a:extLst xmlns:a="http://schemas.openxmlformats.org/drawingml/2006/main">
                <a:ext uri="{FF2B5EF4-FFF2-40B4-BE49-F238E27FC236}">
                  <a16:creationId xmlns:a16="http://schemas.microsoft.com/office/drawing/2014/main" id="{00000000-0008-0000-0000-000003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4405A6BD" w14:textId="283DFC62" w:rsidR="00AC74BB" w:rsidRPr="00652D12" w:rsidRDefault="00F6081C" w:rsidP="00930E1A">
      <w:pPr>
        <w:autoSpaceDE w:val="0"/>
        <w:autoSpaceDN w:val="0"/>
        <w:adjustRightInd w:val="0"/>
        <w:rPr>
          <w:rFonts w:eastAsia="Constantia" w:cs="Times New Roman"/>
          <w:szCs w:val="24"/>
          <w:lang w:val="sr-Cyrl-RS"/>
        </w:rPr>
      </w:pPr>
      <w:r w:rsidRPr="00652D12">
        <w:rPr>
          <w:rFonts w:eastAsia="Constantia" w:cs="Times New Roman"/>
          <w:szCs w:val="24"/>
          <w:lang w:val="sr-Cyrl-RS"/>
        </w:rPr>
        <w:t>Табела 3. Алтернативни макроекономски сценарио</w:t>
      </w:r>
    </w:p>
    <w:tbl>
      <w:tblPr>
        <w:tblStyle w:val="TableGrid1"/>
        <w:tblW w:w="5003" w:type="pct"/>
        <w:tblLayout w:type="fixed"/>
        <w:tblLook w:val="04A0" w:firstRow="1" w:lastRow="0" w:firstColumn="1" w:lastColumn="0" w:noHBand="0" w:noVBand="1"/>
      </w:tblPr>
      <w:tblGrid>
        <w:gridCol w:w="4299"/>
        <w:gridCol w:w="1180"/>
        <w:gridCol w:w="1180"/>
        <w:gridCol w:w="1180"/>
        <w:gridCol w:w="1182"/>
      </w:tblGrid>
      <w:tr w:rsidR="000F4925" w:rsidRPr="00652D12" w14:paraId="66CC98EB" w14:textId="77777777" w:rsidTr="000A518D">
        <w:trPr>
          <w:trHeight w:val="237"/>
        </w:trPr>
        <w:tc>
          <w:tcPr>
            <w:tcW w:w="2383" w:type="pct"/>
            <w:vMerge w:val="restart"/>
            <w:noWrap/>
            <w:hideMark/>
          </w:tcPr>
          <w:p w14:paraId="459D66E0" w14:textId="10E4BF5D" w:rsidR="00BB0FE1" w:rsidRPr="00652D12" w:rsidRDefault="00BB0FE1" w:rsidP="0061418F">
            <w:pPr>
              <w:spacing w:after="0"/>
              <w:rPr>
                <w:sz w:val="20"/>
                <w:szCs w:val="20"/>
                <w:lang w:val="sr-Cyrl-RS"/>
              </w:rPr>
            </w:pPr>
          </w:p>
          <w:p w14:paraId="42806A27" w14:textId="77777777" w:rsidR="00BB0FE1" w:rsidRPr="00652D12" w:rsidRDefault="00BB0FE1" w:rsidP="0061418F">
            <w:pPr>
              <w:spacing w:after="0"/>
              <w:rPr>
                <w:sz w:val="20"/>
                <w:szCs w:val="20"/>
                <w:lang w:val="sr-Cyrl-RS"/>
              </w:rPr>
            </w:pPr>
          </w:p>
        </w:tc>
        <w:tc>
          <w:tcPr>
            <w:tcW w:w="654" w:type="pct"/>
            <w:noWrap/>
            <w:hideMark/>
          </w:tcPr>
          <w:p w14:paraId="53753EA5" w14:textId="77777777" w:rsidR="00BB0FE1" w:rsidRPr="00652D12" w:rsidRDefault="00BB0FE1" w:rsidP="000F4925">
            <w:pPr>
              <w:spacing w:after="0"/>
              <w:jc w:val="center"/>
              <w:rPr>
                <w:sz w:val="20"/>
                <w:szCs w:val="20"/>
                <w:lang w:val="sr-Cyrl-RS"/>
              </w:rPr>
            </w:pPr>
            <w:r w:rsidRPr="00652D12">
              <w:rPr>
                <w:sz w:val="20"/>
                <w:szCs w:val="20"/>
                <w:lang w:val="sr-Cyrl-RS"/>
              </w:rPr>
              <w:t>Процена</w:t>
            </w:r>
          </w:p>
        </w:tc>
        <w:tc>
          <w:tcPr>
            <w:tcW w:w="1963" w:type="pct"/>
            <w:gridSpan w:val="3"/>
            <w:hideMark/>
          </w:tcPr>
          <w:p w14:paraId="53F13009" w14:textId="77777777" w:rsidR="00BB0FE1" w:rsidRPr="00652D12" w:rsidRDefault="00BB0FE1" w:rsidP="000F4925">
            <w:pPr>
              <w:spacing w:after="0"/>
              <w:jc w:val="center"/>
              <w:rPr>
                <w:sz w:val="20"/>
                <w:szCs w:val="20"/>
                <w:lang w:val="sr-Cyrl-RS"/>
              </w:rPr>
            </w:pPr>
            <w:r w:rsidRPr="00652D12">
              <w:rPr>
                <w:sz w:val="20"/>
                <w:szCs w:val="20"/>
                <w:lang w:val="sr-Cyrl-RS"/>
              </w:rPr>
              <w:t>Пројекција</w:t>
            </w:r>
          </w:p>
        </w:tc>
      </w:tr>
      <w:tr w:rsidR="000F4925" w:rsidRPr="00652D12" w14:paraId="24DBA120" w14:textId="77777777" w:rsidTr="00740EE7">
        <w:trPr>
          <w:trHeight w:val="196"/>
        </w:trPr>
        <w:tc>
          <w:tcPr>
            <w:tcW w:w="2383" w:type="pct"/>
            <w:vMerge/>
            <w:hideMark/>
          </w:tcPr>
          <w:p w14:paraId="52134C6E" w14:textId="77777777" w:rsidR="00BB0FE1" w:rsidRPr="00652D12" w:rsidRDefault="00BB0FE1" w:rsidP="0061418F">
            <w:pPr>
              <w:spacing w:after="0"/>
              <w:rPr>
                <w:sz w:val="20"/>
                <w:szCs w:val="20"/>
                <w:lang w:val="sr-Cyrl-RS"/>
              </w:rPr>
            </w:pPr>
          </w:p>
        </w:tc>
        <w:tc>
          <w:tcPr>
            <w:tcW w:w="654" w:type="pct"/>
            <w:noWrap/>
          </w:tcPr>
          <w:p w14:paraId="496808BA" w14:textId="03053B02" w:rsidR="00BB0FE1" w:rsidRPr="00652D12" w:rsidRDefault="00740EE7" w:rsidP="000F4925">
            <w:pPr>
              <w:spacing w:after="0"/>
              <w:jc w:val="center"/>
              <w:rPr>
                <w:b/>
                <w:bCs/>
                <w:sz w:val="20"/>
                <w:szCs w:val="20"/>
                <w:lang w:val="sr-Cyrl-RS"/>
              </w:rPr>
            </w:pPr>
            <w:r>
              <w:rPr>
                <w:b/>
                <w:bCs/>
                <w:sz w:val="20"/>
                <w:szCs w:val="20"/>
                <w:lang w:val="sr-Cyrl-RS"/>
              </w:rPr>
              <w:t>2024</w:t>
            </w:r>
          </w:p>
        </w:tc>
        <w:tc>
          <w:tcPr>
            <w:tcW w:w="654" w:type="pct"/>
            <w:noWrap/>
          </w:tcPr>
          <w:p w14:paraId="3723AF92" w14:textId="7EFEBCE6" w:rsidR="00BB0FE1" w:rsidRPr="00652D12" w:rsidRDefault="00740EE7" w:rsidP="000F4925">
            <w:pPr>
              <w:spacing w:after="0"/>
              <w:jc w:val="center"/>
              <w:rPr>
                <w:b/>
                <w:bCs/>
                <w:sz w:val="20"/>
                <w:szCs w:val="20"/>
                <w:lang w:val="sr-Cyrl-RS"/>
              </w:rPr>
            </w:pPr>
            <w:r>
              <w:rPr>
                <w:b/>
                <w:bCs/>
                <w:sz w:val="20"/>
                <w:szCs w:val="20"/>
                <w:lang w:val="sr-Cyrl-RS"/>
              </w:rPr>
              <w:t>2025</w:t>
            </w:r>
          </w:p>
        </w:tc>
        <w:tc>
          <w:tcPr>
            <w:tcW w:w="654" w:type="pct"/>
            <w:noWrap/>
          </w:tcPr>
          <w:p w14:paraId="6F13525F" w14:textId="2835FB44" w:rsidR="00BB0FE1" w:rsidRPr="00652D12" w:rsidRDefault="00740EE7" w:rsidP="000F4925">
            <w:pPr>
              <w:spacing w:after="0"/>
              <w:jc w:val="center"/>
              <w:rPr>
                <w:b/>
                <w:bCs/>
                <w:sz w:val="20"/>
                <w:szCs w:val="20"/>
                <w:lang w:val="sr-Cyrl-RS"/>
              </w:rPr>
            </w:pPr>
            <w:r>
              <w:rPr>
                <w:b/>
                <w:bCs/>
                <w:sz w:val="20"/>
                <w:szCs w:val="20"/>
                <w:lang w:val="sr-Cyrl-RS"/>
              </w:rPr>
              <w:t>2026</w:t>
            </w:r>
          </w:p>
        </w:tc>
        <w:tc>
          <w:tcPr>
            <w:tcW w:w="655" w:type="pct"/>
            <w:noWrap/>
          </w:tcPr>
          <w:p w14:paraId="534BFAA6" w14:textId="668D5DEE" w:rsidR="00BB0FE1" w:rsidRPr="00652D12" w:rsidRDefault="00740EE7" w:rsidP="000F4925">
            <w:pPr>
              <w:spacing w:after="0"/>
              <w:jc w:val="center"/>
              <w:rPr>
                <w:b/>
                <w:bCs/>
                <w:sz w:val="20"/>
                <w:szCs w:val="20"/>
                <w:lang w:val="sr-Cyrl-RS"/>
              </w:rPr>
            </w:pPr>
            <w:r>
              <w:rPr>
                <w:b/>
                <w:bCs/>
                <w:sz w:val="20"/>
                <w:szCs w:val="20"/>
                <w:lang w:val="sr-Cyrl-RS"/>
              </w:rPr>
              <w:t>2027</w:t>
            </w:r>
          </w:p>
        </w:tc>
      </w:tr>
      <w:tr w:rsidR="000F4925" w:rsidRPr="00652D12" w14:paraId="110FD2FB" w14:textId="77777777" w:rsidTr="000F4925">
        <w:trPr>
          <w:trHeight w:val="237"/>
        </w:trPr>
        <w:tc>
          <w:tcPr>
            <w:tcW w:w="2383" w:type="pct"/>
            <w:noWrap/>
            <w:hideMark/>
          </w:tcPr>
          <w:p w14:paraId="18C114E8" w14:textId="77777777" w:rsidR="00BB0FE1" w:rsidRPr="00652D12" w:rsidRDefault="00BB0FE1" w:rsidP="0061418F">
            <w:pPr>
              <w:spacing w:after="0"/>
              <w:rPr>
                <w:b/>
                <w:sz w:val="20"/>
                <w:szCs w:val="20"/>
                <w:lang w:val="sr-Cyrl-RS"/>
              </w:rPr>
            </w:pPr>
            <w:r w:rsidRPr="00652D12">
              <w:rPr>
                <w:b/>
                <w:sz w:val="20"/>
                <w:szCs w:val="20"/>
                <w:lang w:val="sr-Cyrl-RS"/>
              </w:rPr>
              <w:t>БДП, млрд динара (текуће цене)</w:t>
            </w:r>
          </w:p>
        </w:tc>
        <w:tc>
          <w:tcPr>
            <w:tcW w:w="654" w:type="pct"/>
            <w:tcBorders>
              <w:top w:val="single" w:sz="4" w:space="0" w:color="002060"/>
            </w:tcBorders>
            <w:noWrap/>
          </w:tcPr>
          <w:p w14:paraId="424BB84F" w14:textId="2E8EA3D3" w:rsidR="00BB0FE1" w:rsidRPr="00652D12" w:rsidRDefault="000A518D" w:rsidP="000F4925">
            <w:pPr>
              <w:spacing w:after="0"/>
              <w:jc w:val="center"/>
              <w:rPr>
                <w:b/>
                <w:bCs/>
                <w:sz w:val="20"/>
                <w:szCs w:val="20"/>
                <w:lang w:val="sr-Cyrl-RS"/>
              </w:rPr>
            </w:pPr>
            <w:r>
              <w:rPr>
                <w:b/>
                <w:bCs/>
                <w:sz w:val="20"/>
                <w:szCs w:val="20"/>
                <w:lang w:val="sr-Cyrl-RS"/>
              </w:rPr>
              <w:t>9</w:t>
            </w:r>
            <w:r w:rsidR="00BF37AF">
              <w:rPr>
                <w:b/>
                <w:bCs/>
                <w:sz w:val="20"/>
                <w:szCs w:val="20"/>
                <w:lang w:val="sr-Cyrl-RS"/>
              </w:rPr>
              <w:t>.</w:t>
            </w:r>
            <w:r>
              <w:rPr>
                <w:b/>
                <w:bCs/>
                <w:sz w:val="20"/>
                <w:szCs w:val="20"/>
                <w:lang w:val="sr-Cyrl-RS"/>
              </w:rPr>
              <w:t>604,8</w:t>
            </w:r>
          </w:p>
        </w:tc>
        <w:tc>
          <w:tcPr>
            <w:tcW w:w="654" w:type="pct"/>
            <w:tcBorders>
              <w:top w:val="single" w:sz="4" w:space="0" w:color="002060"/>
            </w:tcBorders>
            <w:noWrap/>
          </w:tcPr>
          <w:p w14:paraId="6DEA9918" w14:textId="30936291" w:rsidR="00BB0FE1" w:rsidRPr="00652D12" w:rsidRDefault="000A518D" w:rsidP="000F4925">
            <w:pPr>
              <w:spacing w:after="0"/>
              <w:jc w:val="center"/>
              <w:rPr>
                <w:b/>
                <w:bCs/>
                <w:sz w:val="20"/>
                <w:szCs w:val="20"/>
                <w:lang w:val="sr-Cyrl-RS"/>
              </w:rPr>
            </w:pPr>
            <w:r>
              <w:rPr>
                <w:b/>
                <w:bCs/>
                <w:sz w:val="20"/>
                <w:szCs w:val="20"/>
                <w:lang w:val="sr-Cyrl-RS"/>
              </w:rPr>
              <w:t>10</w:t>
            </w:r>
            <w:r w:rsidR="00BF37AF">
              <w:rPr>
                <w:b/>
                <w:bCs/>
                <w:sz w:val="20"/>
                <w:szCs w:val="20"/>
                <w:lang w:val="sr-Cyrl-RS"/>
              </w:rPr>
              <w:t>.</w:t>
            </w:r>
            <w:r>
              <w:rPr>
                <w:b/>
                <w:bCs/>
                <w:sz w:val="20"/>
                <w:szCs w:val="20"/>
                <w:lang w:val="sr-Cyrl-RS"/>
              </w:rPr>
              <w:t>278,3</w:t>
            </w:r>
          </w:p>
        </w:tc>
        <w:tc>
          <w:tcPr>
            <w:tcW w:w="654" w:type="pct"/>
            <w:tcBorders>
              <w:top w:val="single" w:sz="4" w:space="0" w:color="002060"/>
            </w:tcBorders>
            <w:noWrap/>
          </w:tcPr>
          <w:p w14:paraId="5C002B39" w14:textId="3BEBAEE9" w:rsidR="00BB0FE1" w:rsidRPr="00652D12" w:rsidRDefault="000A518D" w:rsidP="000F4925">
            <w:pPr>
              <w:spacing w:after="0"/>
              <w:jc w:val="center"/>
              <w:rPr>
                <w:b/>
                <w:bCs/>
                <w:sz w:val="20"/>
                <w:szCs w:val="20"/>
                <w:lang w:val="sr-Cyrl-RS"/>
              </w:rPr>
            </w:pPr>
            <w:r>
              <w:rPr>
                <w:b/>
                <w:bCs/>
                <w:sz w:val="20"/>
                <w:szCs w:val="20"/>
                <w:lang w:val="sr-Cyrl-RS"/>
              </w:rPr>
              <w:t>10</w:t>
            </w:r>
            <w:r w:rsidR="00BF37AF">
              <w:rPr>
                <w:b/>
                <w:bCs/>
                <w:sz w:val="20"/>
                <w:szCs w:val="20"/>
                <w:lang w:val="sr-Cyrl-RS"/>
              </w:rPr>
              <w:t>.</w:t>
            </w:r>
            <w:r>
              <w:rPr>
                <w:b/>
                <w:bCs/>
                <w:sz w:val="20"/>
                <w:szCs w:val="20"/>
                <w:lang w:val="sr-Cyrl-RS"/>
              </w:rPr>
              <w:t>954,7</w:t>
            </w:r>
          </w:p>
        </w:tc>
        <w:tc>
          <w:tcPr>
            <w:tcW w:w="655" w:type="pct"/>
            <w:tcBorders>
              <w:top w:val="single" w:sz="4" w:space="0" w:color="002060"/>
            </w:tcBorders>
            <w:noWrap/>
          </w:tcPr>
          <w:p w14:paraId="0D870D24" w14:textId="01CE259A" w:rsidR="00BB0FE1" w:rsidRPr="00652D12" w:rsidRDefault="000A518D" w:rsidP="000F4925">
            <w:pPr>
              <w:spacing w:after="0"/>
              <w:jc w:val="center"/>
              <w:rPr>
                <w:b/>
                <w:bCs/>
                <w:sz w:val="20"/>
                <w:szCs w:val="20"/>
                <w:lang w:val="sr-Cyrl-RS"/>
              </w:rPr>
            </w:pPr>
            <w:r>
              <w:rPr>
                <w:b/>
                <w:bCs/>
                <w:sz w:val="20"/>
                <w:szCs w:val="20"/>
                <w:lang w:val="sr-Cyrl-RS"/>
              </w:rPr>
              <w:t>11</w:t>
            </w:r>
            <w:r w:rsidR="00BF37AF">
              <w:rPr>
                <w:b/>
                <w:bCs/>
                <w:sz w:val="20"/>
                <w:szCs w:val="20"/>
                <w:lang w:val="sr-Cyrl-RS"/>
              </w:rPr>
              <w:t>.</w:t>
            </w:r>
            <w:r>
              <w:rPr>
                <w:b/>
                <w:bCs/>
                <w:sz w:val="20"/>
                <w:szCs w:val="20"/>
                <w:lang w:val="sr-Cyrl-RS"/>
              </w:rPr>
              <w:t>705,7</w:t>
            </w:r>
          </w:p>
        </w:tc>
      </w:tr>
      <w:tr w:rsidR="000A518D" w:rsidRPr="00652D12" w14:paraId="59F2220C" w14:textId="77777777" w:rsidTr="00D2109C">
        <w:trPr>
          <w:trHeight w:val="162"/>
        </w:trPr>
        <w:tc>
          <w:tcPr>
            <w:tcW w:w="2383" w:type="pct"/>
            <w:noWrap/>
            <w:hideMark/>
          </w:tcPr>
          <w:p w14:paraId="271DA3CD" w14:textId="77777777" w:rsidR="000A518D" w:rsidRPr="00652D12" w:rsidRDefault="000A518D" w:rsidP="000A518D">
            <w:pPr>
              <w:spacing w:after="0"/>
              <w:rPr>
                <w:sz w:val="20"/>
                <w:szCs w:val="20"/>
                <w:lang w:val="sr-Cyrl-RS"/>
              </w:rPr>
            </w:pPr>
            <w:r w:rsidRPr="00652D12">
              <w:rPr>
                <w:sz w:val="20"/>
                <w:szCs w:val="20"/>
                <w:lang w:val="sr-Cyrl-RS"/>
              </w:rPr>
              <w:t>Реални раст БДП, %</w:t>
            </w:r>
          </w:p>
        </w:tc>
        <w:tc>
          <w:tcPr>
            <w:tcW w:w="654" w:type="pct"/>
            <w:tcBorders>
              <w:top w:val="single" w:sz="4" w:space="0" w:color="002060"/>
            </w:tcBorders>
            <w:noWrap/>
          </w:tcPr>
          <w:p w14:paraId="3721C74A" w14:textId="59DFC7A0" w:rsidR="000A518D" w:rsidRPr="000A518D" w:rsidRDefault="000A518D" w:rsidP="000A518D">
            <w:pPr>
              <w:spacing w:after="0"/>
              <w:jc w:val="center"/>
              <w:rPr>
                <w:bCs/>
                <w:sz w:val="20"/>
                <w:szCs w:val="20"/>
                <w:lang w:val="sr-Cyrl-RS"/>
              </w:rPr>
            </w:pPr>
            <w:r w:rsidRPr="000A518D">
              <w:rPr>
                <w:bCs/>
                <w:sz w:val="20"/>
                <w:szCs w:val="20"/>
                <w:lang w:val="sr-Cyrl-RS"/>
              </w:rPr>
              <w:t>3,8</w:t>
            </w:r>
          </w:p>
        </w:tc>
        <w:tc>
          <w:tcPr>
            <w:tcW w:w="654" w:type="pct"/>
            <w:tcBorders>
              <w:top w:val="single" w:sz="4" w:space="0" w:color="002060"/>
            </w:tcBorders>
            <w:noWrap/>
          </w:tcPr>
          <w:p w14:paraId="25E7373A" w14:textId="78FA1F30" w:rsidR="000A518D" w:rsidRPr="000A518D" w:rsidRDefault="000A518D" w:rsidP="000A518D">
            <w:pPr>
              <w:spacing w:after="0"/>
              <w:jc w:val="center"/>
              <w:rPr>
                <w:bCs/>
                <w:sz w:val="20"/>
                <w:szCs w:val="20"/>
                <w:lang w:val="sr-Cyrl-RS"/>
              </w:rPr>
            </w:pPr>
            <w:r w:rsidRPr="000A518D">
              <w:rPr>
                <w:bCs/>
                <w:sz w:val="20"/>
                <w:szCs w:val="20"/>
                <w:lang w:val="sr-Cyrl-RS"/>
              </w:rPr>
              <w:t>3,1</w:t>
            </w:r>
          </w:p>
        </w:tc>
        <w:tc>
          <w:tcPr>
            <w:tcW w:w="654" w:type="pct"/>
            <w:tcBorders>
              <w:top w:val="single" w:sz="4" w:space="0" w:color="002060"/>
            </w:tcBorders>
            <w:noWrap/>
          </w:tcPr>
          <w:p w14:paraId="323E81A4" w14:textId="2E8B5B04" w:rsidR="000A518D" w:rsidRPr="000A518D" w:rsidRDefault="000A518D" w:rsidP="000A518D">
            <w:pPr>
              <w:spacing w:after="0"/>
              <w:jc w:val="center"/>
              <w:rPr>
                <w:bCs/>
                <w:sz w:val="20"/>
                <w:szCs w:val="20"/>
                <w:lang w:val="sr-Cyrl-RS"/>
              </w:rPr>
            </w:pPr>
            <w:r w:rsidRPr="000A518D">
              <w:rPr>
                <w:bCs/>
                <w:sz w:val="20"/>
                <w:szCs w:val="20"/>
                <w:lang w:val="sr-Cyrl-RS"/>
              </w:rPr>
              <w:t>2,9</w:t>
            </w:r>
          </w:p>
        </w:tc>
        <w:tc>
          <w:tcPr>
            <w:tcW w:w="655" w:type="pct"/>
            <w:tcBorders>
              <w:top w:val="single" w:sz="4" w:space="0" w:color="002060"/>
            </w:tcBorders>
            <w:noWrap/>
          </w:tcPr>
          <w:p w14:paraId="230034B1" w14:textId="332F758E" w:rsidR="000A518D" w:rsidRPr="000A518D" w:rsidRDefault="000A518D" w:rsidP="000A518D">
            <w:pPr>
              <w:spacing w:after="0"/>
              <w:jc w:val="center"/>
              <w:rPr>
                <w:bCs/>
                <w:sz w:val="20"/>
                <w:szCs w:val="20"/>
                <w:lang w:val="sr-Cyrl-RS"/>
              </w:rPr>
            </w:pPr>
            <w:r w:rsidRPr="000A518D">
              <w:rPr>
                <w:bCs/>
                <w:sz w:val="20"/>
                <w:szCs w:val="20"/>
                <w:lang w:val="sr-Cyrl-RS"/>
              </w:rPr>
              <w:t>3,2</w:t>
            </w:r>
          </w:p>
        </w:tc>
      </w:tr>
      <w:tr w:rsidR="000A518D" w:rsidRPr="00652D12" w14:paraId="20AB697C" w14:textId="77777777" w:rsidTr="000F4925">
        <w:trPr>
          <w:trHeight w:val="126"/>
        </w:trPr>
        <w:tc>
          <w:tcPr>
            <w:tcW w:w="2383" w:type="pct"/>
            <w:tcBorders>
              <w:bottom w:val="single" w:sz="4" w:space="0" w:color="000000"/>
            </w:tcBorders>
            <w:noWrap/>
            <w:hideMark/>
          </w:tcPr>
          <w:p w14:paraId="39110598" w14:textId="77777777" w:rsidR="000A518D" w:rsidRPr="00652D12" w:rsidRDefault="000A518D" w:rsidP="000A518D">
            <w:pPr>
              <w:spacing w:after="0"/>
              <w:rPr>
                <w:sz w:val="20"/>
                <w:szCs w:val="20"/>
                <w:lang w:val="sr-Cyrl-RS"/>
              </w:rPr>
            </w:pPr>
            <w:r w:rsidRPr="00652D12">
              <w:rPr>
                <w:sz w:val="20"/>
                <w:szCs w:val="20"/>
                <w:lang w:val="sr-Cyrl-RS"/>
              </w:rPr>
              <w:t>Дефлатор БДП, %</w:t>
            </w:r>
          </w:p>
        </w:tc>
        <w:tc>
          <w:tcPr>
            <w:tcW w:w="654" w:type="pct"/>
            <w:tcBorders>
              <w:bottom w:val="single" w:sz="4" w:space="0" w:color="000000"/>
            </w:tcBorders>
            <w:noWrap/>
          </w:tcPr>
          <w:p w14:paraId="5D106CE3" w14:textId="4B18C1CE" w:rsidR="000A518D" w:rsidRPr="00652D12" w:rsidRDefault="000A518D" w:rsidP="000A518D">
            <w:pPr>
              <w:spacing w:after="0"/>
              <w:jc w:val="center"/>
              <w:rPr>
                <w:bCs/>
                <w:sz w:val="20"/>
                <w:szCs w:val="20"/>
                <w:lang w:val="sr-Cyrl-RS"/>
              </w:rPr>
            </w:pPr>
            <w:r>
              <w:rPr>
                <w:bCs/>
                <w:sz w:val="20"/>
                <w:szCs w:val="20"/>
                <w:lang w:val="sr-Cyrl-RS"/>
              </w:rPr>
              <w:t>5,0</w:t>
            </w:r>
          </w:p>
        </w:tc>
        <w:tc>
          <w:tcPr>
            <w:tcW w:w="654" w:type="pct"/>
            <w:tcBorders>
              <w:bottom w:val="single" w:sz="4" w:space="0" w:color="000000"/>
            </w:tcBorders>
            <w:noWrap/>
          </w:tcPr>
          <w:p w14:paraId="5A2E240B" w14:textId="049547BB" w:rsidR="000A518D" w:rsidRPr="00652D12" w:rsidRDefault="000A518D" w:rsidP="000A518D">
            <w:pPr>
              <w:spacing w:after="0"/>
              <w:jc w:val="center"/>
              <w:rPr>
                <w:bCs/>
                <w:sz w:val="20"/>
                <w:szCs w:val="20"/>
                <w:lang w:val="sr-Cyrl-RS"/>
              </w:rPr>
            </w:pPr>
            <w:r>
              <w:rPr>
                <w:bCs/>
                <w:sz w:val="20"/>
                <w:szCs w:val="20"/>
                <w:lang w:val="sr-Cyrl-RS"/>
              </w:rPr>
              <w:t>3,8</w:t>
            </w:r>
          </w:p>
        </w:tc>
        <w:tc>
          <w:tcPr>
            <w:tcW w:w="654" w:type="pct"/>
            <w:tcBorders>
              <w:bottom w:val="single" w:sz="4" w:space="0" w:color="000000"/>
            </w:tcBorders>
            <w:noWrap/>
          </w:tcPr>
          <w:p w14:paraId="3729A332" w14:textId="2F9113C1" w:rsidR="000A518D" w:rsidRPr="00652D12" w:rsidRDefault="000A518D" w:rsidP="000A518D">
            <w:pPr>
              <w:spacing w:after="0"/>
              <w:jc w:val="center"/>
              <w:rPr>
                <w:bCs/>
                <w:sz w:val="20"/>
                <w:szCs w:val="20"/>
                <w:lang w:val="sr-Cyrl-RS"/>
              </w:rPr>
            </w:pPr>
            <w:r>
              <w:rPr>
                <w:bCs/>
                <w:sz w:val="20"/>
                <w:szCs w:val="20"/>
                <w:lang w:val="sr-Cyrl-RS"/>
              </w:rPr>
              <w:t>3,6</w:t>
            </w:r>
          </w:p>
        </w:tc>
        <w:tc>
          <w:tcPr>
            <w:tcW w:w="655" w:type="pct"/>
            <w:tcBorders>
              <w:bottom w:val="single" w:sz="4" w:space="0" w:color="000000"/>
            </w:tcBorders>
            <w:noWrap/>
          </w:tcPr>
          <w:p w14:paraId="53668FE7" w14:textId="4E98C985" w:rsidR="000A518D" w:rsidRPr="00652D12" w:rsidRDefault="000A518D" w:rsidP="000A518D">
            <w:pPr>
              <w:spacing w:after="0"/>
              <w:jc w:val="center"/>
              <w:rPr>
                <w:bCs/>
                <w:sz w:val="20"/>
                <w:szCs w:val="20"/>
                <w:lang w:val="sr-Cyrl-RS"/>
              </w:rPr>
            </w:pPr>
            <w:r>
              <w:rPr>
                <w:bCs/>
                <w:sz w:val="20"/>
                <w:szCs w:val="20"/>
                <w:lang w:val="sr-Cyrl-RS"/>
              </w:rPr>
              <w:t>3,5</w:t>
            </w:r>
          </w:p>
        </w:tc>
      </w:tr>
      <w:tr w:rsidR="000A518D" w:rsidRPr="00652D12" w14:paraId="284D910E" w14:textId="77777777" w:rsidTr="000F4925">
        <w:trPr>
          <w:trHeight w:val="198"/>
        </w:trPr>
        <w:tc>
          <w:tcPr>
            <w:tcW w:w="2383" w:type="pct"/>
            <w:tcBorders>
              <w:right w:val="nil"/>
            </w:tcBorders>
            <w:noWrap/>
            <w:hideMark/>
          </w:tcPr>
          <w:p w14:paraId="61E63061" w14:textId="77777777" w:rsidR="000A518D" w:rsidRPr="00652D12" w:rsidRDefault="000A518D" w:rsidP="000A518D">
            <w:pPr>
              <w:spacing w:after="0"/>
              <w:rPr>
                <w:i/>
                <w:iCs/>
                <w:sz w:val="20"/>
                <w:szCs w:val="20"/>
                <w:lang w:val="sr-Cyrl-RS"/>
              </w:rPr>
            </w:pPr>
            <w:r w:rsidRPr="00652D12">
              <w:rPr>
                <w:i/>
                <w:iCs/>
                <w:sz w:val="20"/>
                <w:szCs w:val="20"/>
                <w:lang w:val="sr-Cyrl-RS"/>
              </w:rPr>
              <w:t>Реални раст појединих компоненти БДП, %</w:t>
            </w:r>
          </w:p>
        </w:tc>
        <w:tc>
          <w:tcPr>
            <w:tcW w:w="654" w:type="pct"/>
            <w:tcBorders>
              <w:left w:val="nil"/>
              <w:right w:val="nil"/>
            </w:tcBorders>
          </w:tcPr>
          <w:p w14:paraId="56DAD27A" w14:textId="77777777" w:rsidR="000A518D" w:rsidRPr="00652D12" w:rsidRDefault="000A518D" w:rsidP="000A518D">
            <w:pPr>
              <w:spacing w:after="0"/>
              <w:jc w:val="center"/>
              <w:rPr>
                <w:i/>
                <w:iCs/>
                <w:sz w:val="20"/>
                <w:szCs w:val="20"/>
                <w:lang w:val="sr-Cyrl-RS"/>
              </w:rPr>
            </w:pPr>
          </w:p>
        </w:tc>
        <w:tc>
          <w:tcPr>
            <w:tcW w:w="654" w:type="pct"/>
            <w:tcBorders>
              <w:left w:val="nil"/>
              <w:right w:val="nil"/>
            </w:tcBorders>
          </w:tcPr>
          <w:p w14:paraId="23C978F9" w14:textId="77777777" w:rsidR="000A518D" w:rsidRPr="00652D12" w:rsidRDefault="000A518D" w:rsidP="000A518D">
            <w:pPr>
              <w:spacing w:after="0"/>
              <w:jc w:val="center"/>
              <w:rPr>
                <w:i/>
                <w:iCs/>
                <w:sz w:val="20"/>
                <w:szCs w:val="20"/>
                <w:lang w:val="sr-Cyrl-RS"/>
              </w:rPr>
            </w:pPr>
          </w:p>
        </w:tc>
        <w:tc>
          <w:tcPr>
            <w:tcW w:w="654" w:type="pct"/>
            <w:tcBorders>
              <w:left w:val="nil"/>
              <w:right w:val="nil"/>
            </w:tcBorders>
          </w:tcPr>
          <w:p w14:paraId="0332BC75" w14:textId="77777777" w:rsidR="000A518D" w:rsidRPr="00652D12" w:rsidRDefault="000A518D" w:rsidP="000A518D">
            <w:pPr>
              <w:spacing w:after="0"/>
              <w:jc w:val="center"/>
              <w:rPr>
                <w:i/>
                <w:iCs/>
                <w:sz w:val="20"/>
                <w:szCs w:val="20"/>
                <w:lang w:val="sr-Cyrl-RS"/>
              </w:rPr>
            </w:pPr>
          </w:p>
        </w:tc>
        <w:tc>
          <w:tcPr>
            <w:tcW w:w="655" w:type="pct"/>
            <w:tcBorders>
              <w:left w:val="nil"/>
            </w:tcBorders>
          </w:tcPr>
          <w:p w14:paraId="6AFA8858" w14:textId="1A8B025C" w:rsidR="000A518D" w:rsidRPr="00652D12" w:rsidRDefault="000A518D" w:rsidP="000A518D">
            <w:pPr>
              <w:spacing w:after="0"/>
              <w:jc w:val="center"/>
              <w:rPr>
                <w:i/>
                <w:iCs/>
                <w:sz w:val="20"/>
                <w:szCs w:val="20"/>
                <w:lang w:val="sr-Cyrl-RS"/>
              </w:rPr>
            </w:pPr>
          </w:p>
        </w:tc>
      </w:tr>
      <w:tr w:rsidR="000A518D" w:rsidRPr="00652D12" w14:paraId="1933615E" w14:textId="77777777" w:rsidTr="000F4925">
        <w:trPr>
          <w:trHeight w:val="162"/>
        </w:trPr>
        <w:tc>
          <w:tcPr>
            <w:tcW w:w="2383" w:type="pct"/>
            <w:noWrap/>
            <w:hideMark/>
          </w:tcPr>
          <w:p w14:paraId="42C28DF1" w14:textId="541175A9" w:rsidR="000A518D" w:rsidRPr="00652D12" w:rsidRDefault="00CF6476" w:rsidP="000A518D">
            <w:pPr>
              <w:spacing w:after="0"/>
              <w:rPr>
                <w:sz w:val="20"/>
                <w:szCs w:val="20"/>
                <w:lang w:val="sr-Cyrl-RS"/>
              </w:rPr>
            </w:pPr>
            <w:r>
              <w:rPr>
                <w:sz w:val="20"/>
                <w:szCs w:val="20"/>
                <w:lang w:val="sr-Cyrl-RS"/>
              </w:rPr>
              <w:t xml:space="preserve"> </w:t>
            </w:r>
            <w:r w:rsidR="000A518D" w:rsidRPr="00652D12">
              <w:rPr>
                <w:sz w:val="20"/>
                <w:szCs w:val="20"/>
                <w:lang w:val="sr-Cyrl-RS"/>
              </w:rPr>
              <w:t xml:space="preserve"> Лична потрошња</w:t>
            </w:r>
          </w:p>
        </w:tc>
        <w:tc>
          <w:tcPr>
            <w:tcW w:w="654" w:type="pct"/>
            <w:noWrap/>
          </w:tcPr>
          <w:p w14:paraId="3CCC37CF" w14:textId="70D90616" w:rsidR="000A518D" w:rsidRPr="00652D12" w:rsidRDefault="000A518D" w:rsidP="000A518D">
            <w:pPr>
              <w:spacing w:after="0"/>
              <w:jc w:val="center"/>
              <w:rPr>
                <w:bCs/>
                <w:sz w:val="20"/>
                <w:szCs w:val="20"/>
                <w:lang w:val="sr-Cyrl-RS"/>
              </w:rPr>
            </w:pPr>
            <w:r>
              <w:rPr>
                <w:bCs/>
                <w:sz w:val="20"/>
                <w:szCs w:val="20"/>
                <w:lang w:val="sr-Cyrl-RS"/>
              </w:rPr>
              <w:t>4,5</w:t>
            </w:r>
          </w:p>
        </w:tc>
        <w:tc>
          <w:tcPr>
            <w:tcW w:w="654" w:type="pct"/>
            <w:noWrap/>
          </w:tcPr>
          <w:p w14:paraId="0185D133" w14:textId="1A3AE5DA" w:rsidR="000A518D" w:rsidRPr="00652D12" w:rsidRDefault="000A518D" w:rsidP="000A518D">
            <w:pPr>
              <w:spacing w:after="0"/>
              <w:jc w:val="center"/>
              <w:rPr>
                <w:bCs/>
                <w:sz w:val="20"/>
                <w:szCs w:val="20"/>
                <w:lang w:val="sr-Cyrl-RS"/>
              </w:rPr>
            </w:pPr>
            <w:r>
              <w:rPr>
                <w:bCs/>
                <w:sz w:val="20"/>
                <w:szCs w:val="20"/>
                <w:lang w:val="sr-Cyrl-RS"/>
              </w:rPr>
              <w:t>2,8</w:t>
            </w:r>
          </w:p>
        </w:tc>
        <w:tc>
          <w:tcPr>
            <w:tcW w:w="654" w:type="pct"/>
            <w:noWrap/>
          </w:tcPr>
          <w:p w14:paraId="05B75292" w14:textId="1CC97396" w:rsidR="000A518D" w:rsidRPr="00652D12" w:rsidRDefault="000A518D" w:rsidP="000A518D">
            <w:pPr>
              <w:spacing w:after="0"/>
              <w:jc w:val="center"/>
              <w:rPr>
                <w:bCs/>
                <w:sz w:val="20"/>
                <w:szCs w:val="20"/>
                <w:lang w:val="sr-Cyrl-RS"/>
              </w:rPr>
            </w:pPr>
            <w:r>
              <w:rPr>
                <w:bCs/>
                <w:sz w:val="20"/>
                <w:szCs w:val="20"/>
                <w:lang w:val="sr-Cyrl-RS"/>
              </w:rPr>
              <w:t>2,6</w:t>
            </w:r>
          </w:p>
        </w:tc>
        <w:tc>
          <w:tcPr>
            <w:tcW w:w="655" w:type="pct"/>
            <w:noWrap/>
          </w:tcPr>
          <w:p w14:paraId="64E751A0" w14:textId="370E7BCA" w:rsidR="000A518D" w:rsidRPr="00652D12" w:rsidRDefault="000A518D" w:rsidP="000A518D">
            <w:pPr>
              <w:spacing w:after="0"/>
              <w:jc w:val="center"/>
              <w:rPr>
                <w:bCs/>
                <w:sz w:val="20"/>
                <w:szCs w:val="20"/>
                <w:lang w:val="sr-Cyrl-RS"/>
              </w:rPr>
            </w:pPr>
            <w:r>
              <w:rPr>
                <w:bCs/>
                <w:sz w:val="20"/>
                <w:szCs w:val="20"/>
                <w:lang w:val="sr-Cyrl-RS"/>
              </w:rPr>
              <w:t>2,3</w:t>
            </w:r>
          </w:p>
        </w:tc>
      </w:tr>
      <w:tr w:rsidR="000A518D" w:rsidRPr="00652D12" w14:paraId="4A6D5C11" w14:textId="77777777" w:rsidTr="000F4925">
        <w:trPr>
          <w:trHeight w:val="135"/>
        </w:trPr>
        <w:tc>
          <w:tcPr>
            <w:tcW w:w="2383" w:type="pct"/>
            <w:noWrap/>
            <w:hideMark/>
          </w:tcPr>
          <w:p w14:paraId="632B1F80" w14:textId="52AC9CFD" w:rsidR="000A518D" w:rsidRPr="00652D12" w:rsidRDefault="00CF6476" w:rsidP="000A518D">
            <w:pPr>
              <w:spacing w:after="0"/>
              <w:rPr>
                <w:sz w:val="20"/>
                <w:szCs w:val="20"/>
                <w:lang w:val="sr-Cyrl-RS"/>
              </w:rPr>
            </w:pPr>
            <w:r>
              <w:rPr>
                <w:sz w:val="20"/>
                <w:szCs w:val="20"/>
                <w:lang w:val="sr-Cyrl-RS"/>
              </w:rPr>
              <w:t xml:space="preserve"> </w:t>
            </w:r>
            <w:r w:rsidR="000A518D" w:rsidRPr="00652D12">
              <w:rPr>
                <w:sz w:val="20"/>
                <w:szCs w:val="20"/>
                <w:lang w:val="sr-Cyrl-RS"/>
              </w:rPr>
              <w:t xml:space="preserve"> Државна потрошња</w:t>
            </w:r>
          </w:p>
        </w:tc>
        <w:tc>
          <w:tcPr>
            <w:tcW w:w="654" w:type="pct"/>
            <w:noWrap/>
          </w:tcPr>
          <w:p w14:paraId="08644EDD" w14:textId="719CF740" w:rsidR="000A518D" w:rsidRPr="00652D12" w:rsidRDefault="000A518D" w:rsidP="000A518D">
            <w:pPr>
              <w:spacing w:after="0"/>
              <w:jc w:val="center"/>
              <w:rPr>
                <w:bCs/>
                <w:sz w:val="20"/>
                <w:szCs w:val="20"/>
                <w:lang w:val="sr-Cyrl-RS"/>
              </w:rPr>
            </w:pPr>
            <w:r>
              <w:rPr>
                <w:bCs/>
                <w:sz w:val="20"/>
                <w:szCs w:val="20"/>
                <w:lang w:val="sr-Cyrl-RS"/>
              </w:rPr>
              <w:t>3,1</w:t>
            </w:r>
          </w:p>
        </w:tc>
        <w:tc>
          <w:tcPr>
            <w:tcW w:w="654" w:type="pct"/>
            <w:noWrap/>
          </w:tcPr>
          <w:p w14:paraId="0B323434" w14:textId="528E1D73" w:rsidR="000A518D" w:rsidRPr="00652D12" w:rsidRDefault="000A518D" w:rsidP="000A518D">
            <w:pPr>
              <w:spacing w:after="0"/>
              <w:jc w:val="center"/>
              <w:rPr>
                <w:bCs/>
                <w:sz w:val="20"/>
                <w:szCs w:val="20"/>
                <w:lang w:val="sr-Cyrl-RS"/>
              </w:rPr>
            </w:pPr>
            <w:r>
              <w:rPr>
                <w:bCs/>
                <w:sz w:val="20"/>
                <w:szCs w:val="20"/>
                <w:lang w:val="sr-Cyrl-RS"/>
              </w:rPr>
              <w:t>2,0</w:t>
            </w:r>
          </w:p>
        </w:tc>
        <w:tc>
          <w:tcPr>
            <w:tcW w:w="654" w:type="pct"/>
            <w:noWrap/>
          </w:tcPr>
          <w:p w14:paraId="2009600C" w14:textId="5C507052" w:rsidR="000A518D" w:rsidRPr="00652D12" w:rsidRDefault="000A518D" w:rsidP="000A518D">
            <w:pPr>
              <w:spacing w:after="0"/>
              <w:jc w:val="center"/>
              <w:rPr>
                <w:bCs/>
                <w:sz w:val="20"/>
                <w:szCs w:val="20"/>
                <w:lang w:val="sr-Cyrl-RS"/>
              </w:rPr>
            </w:pPr>
            <w:r>
              <w:rPr>
                <w:bCs/>
                <w:sz w:val="20"/>
                <w:szCs w:val="20"/>
                <w:lang w:val="sr-Cyrl-RS"/>
              </w:rPr>
              <w:t>0,5</w:t>
            </w:r>
          </w:p>
        </w:tc>
        <w:tc>
          <w:tcPr>
            <w:tcW w:w="655" w:type="pct"/>
            <w:noWrap/>
          </w:tcPr>
          <w:p w14:paraId="22B665D5" w14:textId="177F8171" w:rsidR="000A518D" w:rsidRPr="00652D12" w:rsidRDefault="000A518D" w:rsidP="000A518D">
            <w:pPr>
              <w:spacing w:after="0"/>
              <w:jc w:val="center"/>
              <w:rPr>
                <w:bCs/>
                <w:sz w:val="20"/>
                <w:szCs w:val="20"/>
                <w:lang w:val="sr-Cyrl-RS"/>
              </w:rPr>
            </w:pPr>
            <w:r>
              <w:rPr>
                <w:bCs/>
                <w:sz w:val="20"/>
                <w:szCs w:val="20"/>
                <w:lang w:val="sr-Cyrl-RS"/>
              </w:rPr>
              <w:t>0,5</w:t>
            </w:r>
          </w:p>
        </w:tc>
      </w:tr>
      <w:tr w:rsidR="000A518D" w:rsidRPr="00652D12" w14:paraId="205F1DD0" w14:textId="77777777" w:rsidTr="000F4925">
        <w:trPr>
          <w:trHeight w:val="237"/>
        </w:trPr>
        <w:tc>
          <w:tcPr>
            <w:tcW w:w="2383" w:type="pct"/>
            <w:noWrap/>
            <w:hideMark/>
          </w:tcPr>
          <w:p w14:paraId="6071E126" w14:textId="434A3E65" w:rsidR="000A518D" w:rsidRPr="00652D12" w:rsidRDefault="00CF6476" w:rsidP="000A518D">
            <w:pPr>
              <w:spacing w:after="0"/>
              <w:rPr>
                <w:sz w:val="20"/>
                <w:szCs w:val="20"/>
                <w:lang w:val="sr-Cyrl-RS"/>
              </w:rPr>
            </w:pPr>
            <w:r>
              <w:rPr>
                <w:sz w:val="20"/>
                <w:szCs w:val="20"/>
                <w:lang w:val="sr-Cyrl-RS"/>
              </w:rPr>
              <w:t xml:space="preserve"> </w:t>
            </w:r>
            <w:r w:rsidR="000A518D" w:rsidRPr="00652D12">
              <w:rPr>
                <w:sz w:val="20"/>
                <w:szCs w:val="20"/>
                <w:lang w:val="sr-Cyrl-RS"/>
              </w:rPr>
              <w:t xml:space="preserve"> Бруто инвестиције у основна средства</w:t>
            </w:r>
          </w:p>
        </w:tc>
        <w:tc>
          <w:tcPr>
            <w:tcW w:w="654" w:type="pct"/>
            <w:noWrap/>
          </w:tcPr>
          <w:p w14:paraId="0BD75B01" w14:textId="54776462" w:rsidR="000A518D" w:rsidRPr="00652D12" w:rsidRDefault="000A518D" w:rsidP="000A518D">
            <w:pPr>
              <w:spacing w:after="0"/>
              <w:jc w:val="center"/>
              <w:rPr>
                <w:bCs/>
                <w:sz w:val="20"/>
                <w:szCs w:val="20"/>
                <w:lang w:val="sr-Cyrl-RS"/>
              </w:rPr>
            </w:pPr>
            <w:r>
              <w:rPr>
                <w:bCs/>
                <w:sz w:val="20"/>
                <w:szCs w:val="20"/>
                <w:lang w:val="sr-Cyrl-RS"/>
              </w:rPr>
              <w:t>9,2</w:t>
            </w:r>
          </w:p>
        </w:tc>
        <w:tc>
          <w:tcPr>
            <w:tcW w:w="654" w:type="pct"/>
            <w:noWrap/>
          </w:tcPr>
          <w:p w14:paraId="5FCAF3ED" w14:textId="4D4BF365" w:rsidR="000A518D" w:rsidRPr="00652D12" w:rsidRDefault="008B22E9" w:rsidP="000A518D">
            <w:pPr>
              <w:spacing w:after="0"/>
              <w:jc w:val="center"/>
              <w:rPr>
                <w:bCs/>
                <w:sz w:val="20"/>
                <w:szCs w:val="20"/>
                <w:lang w:val="sr-Cyrl-RS"/>
              </w:rPr>
            </w:pPr>
            <w:r>
              <w:rPr>
                <w:bCs/>
                <w:sz w:val="20"/>
                <w:szCs w:val="20"/>
                <w:lang w:val="sr-Cyrl-RS"/>
              </w:rPr>
              <w:t>4,3</w:t>
            </w:r>
          </w:p>
        </w:tc>
        <w:tc>
          <w:tcPr>
            <w:tcW w:w="654" w:type="pct"/>
            <w:noWrap/>
          </w:tcPr>
          <w:p w14:paraId="07FCBEA4" w14:textId="63053DC0" w:rsidR="000A518D" w:rsidRPr="000A518D" w:rsidRDefault="000A518D" w:rsidP="000A518D">
            <w:pPr>
              <w:spacing w:after="0"/>
              <w:jc w:val="center"/>
              <w:rPr>
                <w:bCs/>
                <w:sz w:val="20"/>
                <w:szCs w:val="20"/>
                <w:lang w:val="sr-Cyrl-RS"/>
              </w:rPr>
            </w:pPr>
            <w:r>
              <w:rPr>
                <w:bCs/>
                <w:sz w:val="20"/>
                <w:szCs w:val="20"/>
                <w:lang w:val="sr-Cyrl-RS"/>
              </w:rPr>
              <w:t>3,0</w:t>
            </w:r>
          </w:p>
        </w:tc>
        <w:tc>
          <w:tcPr>
            <w:tcW w:w="655" w:type="pct"/>
            <w:noWrap/>
          </w:tcPr>
          <w:p w14:paraId="062A5081" w14:textId="49B07C95" w:rsidR="000A518D" w:rsidRPr="00652D12" w:rsidRDefault="000A518D" w:rsidP="000A518D">
            <w:pPr>
              <w:spacing w:after="0"/>
              <w:jc w:val="center"/>
              <w:rPr>
                <w:bCs/>
                <w:sz w:val="20"/>
                <w:szCs w:val="20"/>
                <w:lang w:val="sr-Cyrl-RS"/>
              </w:rPr>
            </w:pPr>
            <w:r>
              <w:rPr>
                <w:bCs/>
                <w:sz w:val="20"/>
                <w:szCs w:val="20"/>
                <w:lang w:val="sr-Cyrl-RS"/>
              </w:rPr>
              <w:t>3,0</w:t>
            </w:r>
          </w:p>
        </w:tc>
      </w:tr>
      <w:tr w:rsidR="000A518D" w:rsidRPr="00652D12" w14:paraId="3199846C" w14:textId="77777777" w:rsidTr="000F4925">
        <w:trPr>
          <w:trHeight w:val="135"/>
        </w:trPr>
        <w:tc>
          <w:tcPr>
            <w:tcW w:w="2383" w:type="pct"/>
            <w:noWrap/>
            <w:hideMark/>
          </w:tcPr>
          <w:p w14:paraId="7C0769D5" w14:textId="02C18D36" w:rsidR="000A518D" w:rsidRPr="00652D12" w:rsidRDefault="00CF6476" w:rsidP="000A518D">
            <w:pPr>
              <w:spacing w:after="0"/>
              <w:rPr>
                <w:sz w:val="20"/>
                <w:szCs w:val="20"/>
                <w:lang w:val="sr-Cyrl-RS"/>
              </w:rPr>
            </w:pPr>
            <w:r>
              <w:rPr>
                <w:sz w:val="20"/>
                <w:szCs w:val="20"/>
                <w:lang w:val="sr-Cyrl-RS"/>
              </w:rPr>
              <w:t xml:space="preserve"> </w:t>
            </w:r>
            <w:r w:rsidR="000A518D" w:rsidRPr="00652D12">
              <w:rPr>
                <w:sz w:val="20"/>
                <w:szCs w:val="20"/>
                <w:lang w:val="sr-Cyrl-RS"/>
              </w:rPr>
              <w:t xml:space="preserve"> Извоз робе и услуга</w:t>
            </w:r>
          </w:p>
        </w:tc>
        <w:tc>
          <w:tcPr>
            <w:tcW w:w="654" w:type="pct"/>
            <w:noWrap/>
          </w:tcPr>
          <w:p w14:paraId="43741633" w14:textId="46BFDADD" w:rsidR="000A518D" w:rsidRPr="00652D12" w:rsidRDefault="000A518D" w:rsidP="000A518D">
            <w:pPr>
              <w:spacing w:after="0"/>
              <w:jc w:val="center"/>
              <w:rPr>
                <w:bCs/>
                <w:sz w:val="20"/>
                <w:szCs w:val="20"/>
                <w:lang w:val="sr-Cyrl-RS"/>
              </w:rPr>
            </w:pPr>
            <w:r>
              <w:rPr>
                <w:bCs/>
                <w:sz w:val="20"/>
                <w:szCs w:val="20"/>
                <w:lang w:val="sr-Cyrl-RS"/>
              </w:rPr>
              <w:t>4,4</w:t>
            </w:r>
          </w:p>
        </w:tc>
        <w:tc>
          <w:tcPr>
            <w:tcW w:w="654" w:type="pct"/>
            <w:noWrap/>
          </w:tcPr>
          <w:p w14:paraId="57848C40" w14:textId="6565B427" w:rsidR="000A518D" w:rsidRPr="00652D12" w:rsidRDefault="000A518D" w:rsidP="000A518D">
            <w:pPr>
              <w:spacing w:after="0"/>
              <w:jc w:val="center"/>
              <w:rPr>
                <w:bCs/>
                <w:sz w:val="20"/>
                <w:szCs w:val="20"/>
                <w:lang w:val="sr-Cyrl-RS"/>
              </w:rPr>
            </w:pPr>
            <w:r>
              <w:rPr>
                <w:bCs/>
                <w:sz w:val="20"/>
                <w:szCs w:val="20"/>
                <w:lang w:val="sr-Cyrl-RS"/>
              </w:rPr>
              <w:t>3,3</w:t>
            </w:r>
          </w:p>
        </w:tc>
        <w:tc>
          <w:tcPr>
            <w:tcW w:w="654" w:type="pct"/>
            <w:noWrap/>
          </w:tcPr>
          <w:p w14:paraId="13055868" w14:textId="39CBFEBE" w:rsidR="000A518D" w:rsidRPr="00652D12" w:rsidRDefault="000A518D" w:rsidP="000A518D">
            <w:pPr>
              <w:spacing w:after="0"/>
              <w:jc w:val="center"/>
              <w:rPr>
                <w:bCs/>
                <w:sz w:val="20"/>
                <w:szCs w:val="20"/>
                <w:lang w:val="sr-Cyrl-RS"/>
              </w:rPr>
            </w:pPr>
            <w:r>
              <w:rPr>
                <w:bCs/>
                <w:sz w:val="20"/>
                <w:szCs w:val="20"/>
                <w:lang w:val="sr-Cyrl-RS"/>
              </w:rPr>
              <w:t>3,9</w:t>
            </w:r>
          </w:p>
        </w:tc>
        <w:tc>
          <w:tcPr>
            <w:tcW w:w="655" w:type="pct"/>
            <w:noWrap/>
          </w:tcPr>
          <w:p w14:paraId="4F1D4980" w14:textId="2EC3D0E7" w:rsidR="000A518D" w:rsidRPr="00652D12" w:rsidRDefault="000A518D" w:rsidP="000A518D">
            <w:pPr>
              <w:spacing w:after="0"/>
              <w:jc w:val="center"/>
              <w:rPr>
                <w:bCs/>
                <w:sz w:val="20"/>
                <w:szCs w:val="20"/>
                <w:lang w:val="sr-Cyrl-RS"/>
              </w:rPr>
            </w:pPr>
            <w:r>
              <w:rPr>
                <w:bCs/>
                <w:sz w:val="20"/>
                <w:szCs w:val="20"/>
                <w:lang w:val="sr-Cyrl-RS"/>
              </w:rPr>
              <w:t>5,2</w:t>
            </w:r>
          </w:p>
        </w:tc>
      </w:tr>
      <w:tr w:rsidR="000A518D" w:rsidRPr="00652D12" w14:paraId="5236335C" w14:textId="77777777" w:rsidTr="000F4925">
        <w:trPr>
          <w:trHeight w:val="99"/>
        </w:trPr>
        <w:tc>
          <w:tcPr>
            <w:tcW w:w="2383" w:type="pct"/>
            <w:noWrap/>
            <w:hideMark/>
          </w:tcPr>
          <w:p w14:paraId="697A03AA" w14:textId="4A5DB80E" w:rsidR="000A518D" w:rsidRPr="00652D12" w:rsidRDefault="00CF6476" w:rsidP="000A518D">
            <w:pPr>
              <w:spacing w:after="0"/>
              <w:rPr>
                <w:sz w:val="20"/>
                <w:szCs w:val="20"/>
                <w:lang w:val="sr-Cyrl-RS"/>
              </w:rPr>
            </w:pPr>
            <w:r>
              <w:rPr>
                <w:sz w:val="20"/>
                <w:szCs w:val="20"/>
                <w:lang w:val="sr-Cyrl-RS"/>
              </w:rPr>
              <w:t xml:space="preserve"> </w:t>
            </w:r>
            <w:r w:rsidR="000A518D" w:rsidRPr="00652D12">
              <w:rPr>
                <w:sz w:val="20"/>
                <w:szCs w:val="20"/>
                <w:lang w:val="sr-Cyrl-RS"/>
              </w:rPr>
              <w:t xml:space="preserve"> Увоз робе и услуга</w:t>
            </w:r>
          </w:p>
        </w:tc>
        <w:tc>
          <w:tcPr>
            <w:tcW w:w="654" w:type="pct"/>
            <w:noWrap/>
          </w:tcPr>
          <w:p w14:paraId="08EB8832" w14:textId="60778990" w:rsidR="000A518D" w:rsidRPr="00652D12" w:rsidRDefault="000A518D" w:rsidP="000A518D">
            <w:pPr>
              <w:spacing w:after="0"/>
              <w:jc w:val="center"/>
              <w:rPr>
                <w:bCs/>
                <w:sz w:val="20"/>
                <w:szCs w:val="20"/>
                <w:lang w:val="sr-Cyrl-RS"/>
              </w:rPr>
            </w:pPr>
            <w:r>
              <w:rPr>
                <w:bCs/>
                <w:sz w:val="20"/>
                <w:szCs w:val="20"/>
                <w:lang w:val="sr-Cyrl-RS"/>
              </w:rPr>
              <w:t>8,0</w:t>
            </w:r>
          </w:p>
        </w:tc>
        <w:tc>
          <w:tcPr>
            <w:tcW w:w="654" w:type="pct"/>
            <w:noWrap/>
          </w:tcPr>
          <w:p w14:paraId="4ED4AE2B" w14:textId="62D91163" w:rsidR="000A518D" w:rsidRPr="00652D12" w:rsidRDefault="000A518D" w:rsidP="000A518D">
            <w:pPr>
              <w:spacing w:after="0"/>
              <w:jc w:val="center"/>
              <w:rPr>
                <w:bCs/>
                <w:sz w:val="20"/>
                <w:szCs w:val="20"/>
                <w:lang w:val="sr-Cyrl-RS"/>
              </w:rPr>
            </w:pPr>
            <w:r>
              <w:rPr>
                <w:bCs/>
                <w:sz w:val="20"/>
                <w:szCs w:val="20"/>
                <w:lang w:val="sr-Cyrl-RS"/>
              </w:rPr>
              <w:t>3,1</w:t>
            </w:r>
          </w:p>
        </w:tc>
        <w:tc>
          <w:tcPr>
            <w:tcW w:w="654" w:type="pct"/>
            <w:noWrap/>
          </w:tcPr>
          <w:p w14:paraId="502A96D0" w14:textId="2954B459" w:rsidR="000A518D" w:rsidRPr="00652D12" w:rsidRDefault="000A518D" w:rsidP="000A518D">
            <w:pPr>
              <w:spacing w:after="0"/>
              <w:jc w:val="center"/>
              <w:rPr>
                <w:bCs/>
                <w:sz w:val="20"/>
                <w:szCs w:val="20"/>
                <w:lang w:val="sr-Cyrl-RS"/>
              </w:rPr>
            </w:pPr>
            <w:r>
              <w:rPr>
                <w:bCs/>
                <w:sz w:val="20"/>
                <w:szCs w:val="20"/>
                <w:lang w:val="sr-Cyrl-RS"/>
              </w:rPr>
              <w:t>3,0</w:t>
            </w:r>
          </w:p>
        </w:tc>
        <w:tc>
          <w:tcPr>
            <w:tcW w:w="655" w:type="pct"/>
            <w:noWrap/>
          </w:tcPr>
          <w:p w14:paraId="0CE898AF" w14:textId="2F1DFBDC" w:rsidR="000A518D" w:rsidRPr="00652D12" w:rsidRDefault="000A518D" w:rsidP="000A518D">
            <w:pPr>
              <w:spacing w:after="0"/>
              <w:jc w:val="center"/>
              <w:rPr>
                <w:bCs/>
                <w:sz w:val="20"/>
                <w:szCs w:val="20"/>
                <w:lang w:val="sr-Cyrl-RS"/>
              </w:rPr>
            </w:pPr>
            <w:r>
              <w:rPr>
                <w:bCs/>
                <w:sz w:val="20"/>
                <w:szCs w:val="20"/>
                <w:lang w:val="sr-Cyrl-RS"/>
              </w:rPr>
              <w:t>3,0</w:t>
            </w:r>
          </w:p>
        </w:tc>
      </w:tr>
    </w:tbl>
    <w:p w14:paraId="5CE3B04A" w14:textId="00191F8C" w:rsidR="00DA545E" w:rsidRDefault="00DA545E" w:rsidP="00F16F51">
      <w:pPr>
        <w:rPr>
          <w:lang w:val="sr-Cyrl-RS" w:eastAsia="ja-JP"/>
        </w:rPr>
      </w:pPr>
    </w:p>
    <w:p w14:paraId="5EDBEC03" w14:textId="0EC70C59" w:rsidR="006D0778" w:rsidRDefault="006D0778" w:rsidP="00F16F51">
      <w:pPr>
        <w:rPr>
          <w:lang w:val="sr-Cyrl-RS" w:eastAsia="ja-JP"/>
        </w:rPr>
      </w:pPr>
    </w:p>
    <w:p w14:paraId="05317CD1" w14:textId="072F75EC" w:rsidR="006D0778" w:rsidRDefault="006D0778" w:rsidP="00F16F51">
      <w:pPr>
        <w:rPr>
          <w:lang w:val="sr-Cyrl-RS" w:eastAsia="ja-JP"/>
        </w:rPr>
      </w:pPr>
    </w:p>
    <w:p w14:paraId="42CB98E1" w14:textId="5E6B28B3" w:rsidR="006D0778" w:rsidRDefault="006D0778" w:rsidP="00F16F51">
      <w:pPr>
        <w:rPr>
          <w:lang w:val="sr-Cyrl-RS" w:eastAsia="ja-JP"/>
        </w:rPr>
      </w:pPr>
    </w:p>
    <w:p w14:paraId="500546A0" w14:textId="0034F425" w:rsidR="006D0778" w:rsidRDefault="006D0778" w:rsidP="00F16F51">
      <w:pPr>
        <w:rPr>
          <w:lang w:val="sr-Cyrl-RS" w:eastAsia="ja-JP"/>
        </w:rPr>
      </w:pPr>
    </w:p>
    <w:p w14:paraId="0A86EC23" w14:textId="0F9A5671" w:rsidR="006D0778" w:rsidRDefault="006D0778" w:rsidP="00F16F51">
      <w:pPr>
        <w:rPr>
          <w:lang w:val="sr-Cyrl-RS" w:eastAsia="ja-JP"/>
        </w:rPr>
      </w:pPr>
    </w:p>
    <w:p w14:paraId="2EF2E181" w14:textId="0E7A28E0" w:rsidR="006D0778" w:rsidRDefault="006D0778" w:rsidP="00F16F51">
      <w:pPr>
        <w:rPr>
          <w:lang w:val="sr-Cyrl-RS" w:eastAsia="ja-JP"/>
        </w:rPr>
      </w:pPr>
    </w:p>
    <w:p w14:paraId="1730B652" w14:textId="4CB50C86" w:rsidR="006D0778" w:rsidRPr="006D0778" w:rsidRDefault="006D0778" w:rsidP="006D0778">
      <w:pPr>
        <w:keepNext/>
        <w:keepLines/>
        <w:spacing w:before="240" w:after="240"/>
        <w:outlineLvl w:val="0"/>
        <w:rPr>
          <w:rFonts w:eastAsiaTheme="majorEastAsia" w:cs="Times New Roman"/>
          <w:b/>
          <w:sz w:val="26"/>
          <w:szCs w:val="26"/>
          <w:lang w:val="sr-Cyrl-RS"/>
        </w:rPr>
      </w:pPr>
      <w:bookmarkStart w:id="10" w:name="_Toc530635103"/>
      <w:r>
        <w:rPr>
          <w:rFonts w:eastAsiaTheme="majorEastAsia" w:cs="Times New Roman"/>
          <w:b/>
          <w:sz w:val="26"/>
          <w:szCs w:val="26"/>
          <w:lang w:val="sr-Cyrl-RS"/>
        </w:rPr>
        <w:lastRenderedPageBreak/>
        <w:t>I</w:t>
      </w:r>
      <w:r>
        <w:rPr>
          <w:rFonts w:eastAsiaTheme="majorEastAsia" w:cs="Times New Roman"/>
          <w:b/>
          <w:sz w:val="26"/>
          <w:szCs w:val="26"/>
          <w:lang w:val="sr-Latn-RS"/>
        </w:rPr>
        <w:t>V</w:t>
      </w:r>
      <w:r w:rsidRPr="006D0778">
        <w:rPr>
          <w:rFonts w:eastAsiaTheme="majorEastAsia" w:cs="Times New Roman"/>
          <w:b/>
          <w:sz w:val="26"/>
          <w:szCs w:val="26"/>
          <w:lang w:val="sr-Cyrl-RS"/>
        </w:rPr>
        <w:t>. ФИСКАЛНИ ОКВИР ЗА ПЕРИОД ОД 2025. ДО 2027. ГОДИНЕ</w:t>
      </w:r>
      <w:bookmarkEnd w:id="10"/>
    </w:p>
    <w:p w14:paraId="42CF2D06" w14:textId="77777777" w:rsidR="006D0778" w:rsidRPr="006D0778" w:rsidRDefault="006D0778" w:rsidP="006D0778">
      <w:pPr>
        <w:keepNext/>
        <w:keepLines/>
        <w:spacing w:before="40" w:after="160"/>
        <w:outlineLvl w:val="1"/>
        <w:rPr>
          <w:rFonts w:eastAsiaTheme="majorEastAsia" w:cs="Times New Roman"/>
          <w:szCs w:val="26"/>
          <w:lang w:val="sr-Cyrl-RS"/>
        </w:rPr>
      </w:pPr>
      <w:r w:rsidRPr="006D0778">
        <w:rPr>
          <w:rFonts w:eastAsiaTheme="majorEastAsia" w:cs="Times New Roman"/>
          <w:szCs w:val="26"/>
          <w:lang w:val="sr-Cyrl-RS"/>
        </w:rPr>
        <w:t>1. СТРАТЕГИЈА ЈАВНЕ ПОЛИТИКЕ И СРЕДЊОРОЧНИ ЦИЉЕВИ</w:t>
      </w:r>
    </w:p>
    <w:p w14:paraId="20FF12BA" w14:textId="77777777" w:rsidR="006D0778" w:rsidRPr="006D0778" w:rsidRDefault="006D0778" w:rsidP="006D0778">
      <w:pPr>
        <w:rPr>
          <w:bCs/>
          <w:lang w:val="sr-Cyrl-RS" w:eastAsia="ja-JP"/>
        </w:rPr>
      </w:pPr>
      <w:bookmarkStart w:id="11" w:name="_Toc530635106"/>
      <w:r w:rsidRPr="006D0778">
        <w:rPr>
          <w:bCs/>
          <w:lang w:val="sr-Cyrl-RS" w:eastAsia="ja-JP"/>
        </w:rPr>
        <w:t>Смиривање пандемије коронавируса, висока инфлација изазвана кризом на међународним тржиштима енергије и сировина и сукоб у Украјини обележили су претходни период у свету, уз неизвесност која би могла да потраје дужи временски период. У таквој ситуацији задатак економске и фискалне политике био је да обезбеди стабилност привредних токова и очува стандард грађана.</w:t>
      </w:r>
    </w:p>
    <w:p w14:paraId="747E3159" w14:textId="77777777" w:rsidR="006D0778" w:rsidRPr="006D0778" w:rsidRDefault="006D0778" w:rsidP="006D0778">
      <w:pPr>
        <w:rPr>
          <w:bCs/>
          <w:lang w:val="sr-Cyrl-RS" w:eastAsia="ja-JP"/>
        </w:rPr>
      </w:pPr>
      <w:r w:rsidRPr="006D0778">
        <w:rPr>
          <w:bCs/>
          <w:lang w:val="sr-Cyrl-RS" w:eastAsia="ja-JP"/>
        </w:rPr>
        <w:t>Претходна година је, ипак, била релативно стабилна у економском смислу, са очекиваном динамиком макроекономских кретања и нешто бољим резултатима фискалних агрегата. Повољни фискални трендови оличени у бољој наплати прихода од очекиване и уштедама на средствима која су намењена превазилажењу енергетске кризe довели су до нижих нивоа дефицита и дуга. Овакав развој догађаја омогућава бољу фискалну слику у средњорочном периоду, брже снижавање нивоа јавног дуга и већи фискални простор.</w:t>
      </w:r>
    </w:p>
    <w:p w14:paraId="283823FC" w14:textId="77777777" w:rsidR="006D0778" w:rsidRPr="006D0778" w:rsidRDefault="006D0778" w:rsidP="006D0778">
      <w:pPr>
        <w:rPr>
          <w:bCs/>
          <w:lang w:val="sr-Cyrl-RS" w:eastAsia="ja-JP"/>
        </w:rPr>
      </w:pPr>
      <w:r w:rsidRPr="006D0778">
        <w:rPr>
          <w:bCs/>
          <w:lang w:val="sr-Cyrl-RS" w:eastAsia="ja-JP"/>
        </w:rPr>
        <w:t>Већи фискални простор, односно целокупна добра фискална позиција уз очекивана повољна макроекономска кретања омогућавају нови инвестициони циклус оличен у програму „Скок у будућност - Србија 2027” и изложби ЕКСПО 2027. Овај програм ће бити окосница економског и друштвеног развоја државе у наредном периоду. С обзиром на предвиђена велика улагања у склопу програма и припрема за Експо привремено се очекује издашнија фискална политика, али уз поштовање принципа снижавања нивоа јавног дуга. Битно је да ће повећање дефицита бити резултат раста капиталних издатака, што ће додатно да помогне макроекономским токовима и убрза раст економије. Паралелно са тим потребно је обезбедити простор за правовремену реакцију фискалне политике на економске шокове. Међународно окружење је и даље неизвесно у погледу глобалних економских токова тако да би евентуална фискална интервенција државе у циљу минимизирања негативних екстерних ефеката свакако била комбинована са настојањима да се наставе развојни програми и инфраструктурни пројекти финансирани из буџета.</w:t>
      </w:r>
    </w:p>
    <w:p w14:paraId="0CC94FBE" w14:textId="77777777" w:rsidR="006D0778" w:rsidRPr="006D0778" w:rsidRDefault="006D0778" w:rsidP="006D0778">
      <w:pPr>
        <w:rPr>
          <w:bCs/>
          <w:lang w:val="sr-Cyrl-RS" w:eastAsia="ja-JP"/>
        </w:rPr>
      </w:pPr>
      <w:r w:rsidRPr="006D0778">
        <w:rPr>
          <w:bCs/>
          <w:lang w:val="sr-Cyrl-RS" w:eastAsia="ja-JP"/>
        </w:rPr>
        <w:t>С обзиром на неизвесну економску ситуацију, буџет ће свакако представљати „сигурносну мрежу” у случају ескалације неповољних кретања. Са једне стране обезбедиће се континуитет развојних и социјалних програма, а са друге стране одрживост јавних финансија и наставак смањења нивоа јавног дуга у смислу учешћа у БДП. Имајући у виду очекивана макроекономска кретања, предвиђени годишњи фискални дефицити омогућавају смањење учешћа дуга сектора државе у БДП и у наредном периоду.</w:t>
      </w:r>
    </w:p>
    <w:p w14:paraId="2204F3A8" w14:textId="77777777" w:rsidR="006D0778" w:rsidRPr="006D0778" w:rsidRDefault="006D0778" w:rsidP="006D0778">
      <w:pPr>
        <w:rPr>
          <w:bCs/>
          <w:lang w:val="sr-Cyrl-RS" w:eastAsia="ja-JP"/>
        </w:rPr>
      </w:pPr>
      <w:r w:rsidRPr="006D0778">
        <w:rPr>
          <w:bCs/>
          <w:lang w:val="sr-Cyrl-RS" w:eastAsia="ja-JP"/>
        </w:rPr>
        <w:t>Фискална политика ће у наредном периоду бити фокусирана, у складу са расположивим фискалним простором, и на даље смањење укупног пореског оптерећења рада чиме се додатно растерећује привреда, односно повећава конкурентност приватног сектора. На расходној страни, осим инфраструктурних и капиталних пројеката, приоритет ће бити политика пензија и плата, како би се наставио раст животног стандарда становништва.</w:t>
      </w:r>
    </w:p>
    <w:p w14:paraId="33044062" w14:textId="77777777" w:rsidR="006D0778" w:rsidRPr="006D0778" w:rsidRDefault="006D0778" w:rsidP="006D0778">
      <w:pPr>
        <w:rPr>
          <w:bCs/>
          <w:lang w:val="sr-Cyrl-RS" w:eastAsia="ja-JP"/>
        </w:rPr>
      </w:pPr>
      <w:r w:rsidRPr="006D0778">
        <w:rPr>
          <w:bCs/>
          <w:lang w:val="sr-Cyrl-RS" w:eastAsia="ja-JP"/>
        </w:rPr>
        <w:t xml:space="preserve"> </w:t>
      </w:r>
    </w:p>
    <w:p w14:paraId="4526CCF6" w14:textId="77777777" w:rsidR="006D0778" w:rsidRPr="006D0778" w:rsidRDefault="006D0778" w:rsidP="006D0778">
      <w:pPr>
        <w:rPr>
          <w:bCs/>
          <w:lang w:val="sr-Cyrl-RS" w:eastAsia="ja-JP"/>
        </w:rPr>
      </w:pPr>
    </w:p>
    <w:p w14:paraId="7C91DFA4" w14:textId="77777777" w:rsidR="006D0778" w:rsidRPr="006D0778" w:rsidRDefault="006D0778" w:rsidP="006D0778">
      <w:pPr>
        <w:keepNext/>
        <w:keepLines/>
        <w:spacing w:before="40" w:after="160"/>
        <w:outlineLvl w:val="1"/>
        <w:rPr>
          <w:rFonts w:eastAsia="Calibri" w:cs="Times New Roman"/>
          <w:szCs w:val="24"/>
          <w:lang w:val="sr-Cyrl-RS"/>
        </w:rPr>
      </w:pPr>
      <w:r w:rsidRPr="006D0778">
        <w:rPr>
          <w:rFonts w:eastAsia="Calibri" w:cs="Times New Roman"/>
          <w:szCs w:val="24"/>
          <w:lang w:val="sr-Cyrl-RS"/>
        </w:rPr>
        <w:lastRenderedPageBreak/>
        <w:t xml:space="preserve">2. </w:t>
      </w:r>
      <w:bookmarkEnd w:id="11"/>
      <w:r w:rsidRPr="006D0778">
        <w:rPr>
          <w:rFonts w:eastAsia="Calibri" w:cs="Times New Roman"/>
          <w:szCs w:val="24"/>
          <w:lang w:val="sr-Cyrl-RS"/>
        </w:rPr>
        <w:t>ИЗВРШЕЊЕ БУЏЕТА У 202</w:t>
      </w:r>
      <w:r w:rsidRPr="006D0778">
        <w:rPr>
          <w:rFonts w:eastAsia="Calibri" w:cs="Times New Roman"/>
          <w:szCs w:val="24"/>
          <w:lang w:val="sr-Latn-RS"/>
        </w:rPr>
        <w:t>4</w:t>
      </w:r>
      <w:r w:rsidRPr="006D0778">
        <w:rPr>
          <w:rFonts w:eastAsia="Calibri" w:cs="Times New Roman"/>
          <w:szCs w:val="24"/>
          <w:lang w:val="sr-Cyrl-RS"/>
        </w:rPr>
        <w:t>. ГОДИНИ</w:t>
      </w:r>
    </w:p>
    <w:p w14:paraId="033D9476" w14:textId="77777777" w:rsidR="006D0778" w:rsidRPr="006D0778" w:rsidRDefault="006D0778" w:rsidP="006D0778">
      <w:pPr>
        <w:keepNext/>
        <w:keepLines/>
        <w:rPr>
          <w:bCs/>
          <w:lang w:val="sr-Cyrl-RS" w:eastAsia="ja-JP"/>
        </w:rPr>
      </w:pPr>
      <w:r w:rsidRPr="006D0778">
        <w:rPr>
          <w:bCs/>
          <w:lang w:val="sr-Cyrl-RS" w:eastAsia="ja-JP"/>
        </w:rPr>
        <w:t>Фискални оквир за 2024. годину планиран је узимајући у обзир неизвесност како на домаћем тржишту, тако и у међународном окружењу. Планирању се приступило опрезно, како би се оставио неопходан простор за буџетске интервенције у случају неповољних догађаја. Макроекономским оквиром за 2024. годину било је предвиђено умерено убрзање економске активности, у односу на 2023. годину, уз постепено смиривање стопе инфлације, што би, поред осталог, деловало и на повећање реалне потрошње.</w:t>
      </w:r>
    </w:p>
    <w:p w14:paraId="6C752C56" w14:textId="77777777" w:rsidR="006D0778" w:rsidRPr="006D0778" w:rsidRDefault="006D0778" w:rsidP="006D0778">
      <w:pPr>
        <w:keepNext/>
        <w:keepLines/>
        <w:rPr>
          <w:bCs/>
          <w:lang w:val="sr-Cyrl-RS" w:eastAsia="ja-JP"/>
        </w:rPr>
      </w:pPr>
      <w:r w:rsidRPr="006D0778">
        <w:rPr>
          <w:bCs/>
          <w:lang w:val="sr-Cyrl-RS" w:eastAsia="ja-JP"/>
        </w:rPr>
        <w:t xml:space="preserve"> Мере спроведене крајем 2023. утицале су на планирање фискалног оквира за 2024. годину. Крајем претходне године спроведено је повећање зарада запосленима у просвети и делу здравства од 5,5%, ванредно повећање пензија од 5,5%, а почетком 2024. године, у складу са законском формулом за усклађивање, пензије су повећане за 14,8%. У циљу одржања стандарда и куповне моћи становништва усвојене су следеће мере: подизање минималне зараде у 2024. години за 17,8%, повећање зарада у јавном сектору од 10%, уз даље смањење пореског оптерећења зарада испод 60%. Ове мере делују на повећање личне потрошње и последично, на приходе од пореза на потрошњу. Очекиван је и позитиван тренд кретања прихода од опорезивања рада и поред смањења пореског оптерећења, услед дејства предложених мера на запосленост и зараде у приватном сектору. У 2024. години планирана су значајна средстава за интервенцију на тржишту енергије, међутим услед стабилизације цена и расположивости енергената, део неутрошених средстава је пренамењен.</w:t>
      </w:r>
    </w:p>
    <w:p w14:paraId="6632C54B" w14:textId="77777777" w:rsidR="006D0778" w:rsidRPr="006D0778" w:rsidRDefault="006D0778" w:rsidP="006D0778">
      <w:pPr>
        <w:keepNext/>
        <w:keepLines/>
        <w:rPr>
          <w:bCs/>
          <w:lang w:val="sr-Cyrl-RS" w:eastAsia="ja-JP"/>
        </w:rPr>
      </w:pPr>
      <w:r w:rsidRPr="006D0778">
        <w:rPr>
          <w:bCs/>
          <w:lang w:val="sr-Cyrl-RS" w:eastAsia="ja-JP"/>
        </w:rPr>
        <w:t>Акцизна политика враћена је у редовне токове, укључујући и делимично подизање реалних износа акцизних стопа. Усвојеном законском регулативом крајем претходне године, поред осталог, извршено је повећање износа акциза за 8%, и планирано додатно усклађивање са оствареном инфлацијом у 2023. години, почетком 2024. године. Овим повећањима се само делимично надокнађује реална вредност износа акциза, у поређењу са периодом пре избијања енергетске кризе и убрзаног раста инфлације, те висина акцизних стопа остаје 13% нижа у односу на стопу која би била у примени са редовном индексацијом у протеклом периоду. Процењени губитак прихода у 2022. и 2023. години, изостанком редовне индексације, износио је преко 100 млрд динара односно 1,3% БДП. Почетком 2024. године донета је одлука да се предвиђено усклађивање са инфлацијом одложи за три месеца, услед тога што је забележен солидан раст прихода од акциза крајем претходне године, а и како би се делимично ублажио и одложио инфлаторни ефекат подизања акциза.</w:t>
      </w:r>
    </w:p>
    <w:p w14:paraId="44C7CE4C" w14:textId="77777777" w:rsidR="006D0778" w:rsidRPr="006D0778" w:rsidRDefault="006D0778" w:rsidP="006D0778">
      <w:pPr>
        <w:keepNext/>
        <w:keepLines/>
        <w:rPr>
          <w:bCs/>
          <w:lang w:val="sr-Cyrl-RS" w:eastAsia="ja-JP"/>
        </w:rPr>
      </w:pPr>
      <w:r w:rsidRPr="006D0778">
        <w:rPr>
          <w:bCs/>
          <w:lang w:val="sr-Cyrl-RS" w:eastAsia="ja-JP"/>
        </w:rPr>
        <w:t>Ризици који су узети у обзир приликом планирања фискалног оквира за ову годину су и даље присутни, али са нешто мањим интензитетом. Раст економске активности и инфлације били су у нивоу пројектоване кварталне динамике. Процена привредног раста за ову годину благо је ревидирана навише у односу на оригиналну буџетску процену, а непромењена у односу на пролећну Фискалну стратегију.</w:t>
      </w:r>
    </w:p>
    <w:p w14:paraId="404223B5" w14:textId="77777777" w:rsidR="006D0778" w:rsidRPr="006D0778" w:rsidRDefault="006D0778" w:rsidP="006D0778">
      <w:pPr>
        <w:keepNext/>
        <w:keepLines/>
        <w:rPr>
          <w:bCs/>
          <w:lang w:val="sr-Cyrl-RS" w:eastAsia="ja-JP"/>
        </w:rPr>
      </w:pPr>
      <w:r w:rsidRPr="006D0778">
        <w:rPr>
          <w:bCs/>
          <w:lang w:val="sr-Cyrl-RS" w:eastAsia="ja-JP"/>
        </w:rPr>
        <w:lastRenderedPageBreak/>
        <w:t>Остварење прихода у првих девет месеци текуће године боље је од оригинално планираног. Кретања на тржишту рада су изнад очекивања, што, уз истовремени раст реалног дохотка, позитивно утиче на наплату свих прихода од пореза на потрошњу. Остварена профитабилност привредних друштава у 2023. години и наплата пореза на добит у првих девет месеци текуће године су значајан фактор ревизије прихода у 2024. години навише. Одлука о одлагању индексације акциза није имала негативан утицај на износ наплате овог пореског облика, пре свега због опоравка потрошње у последњем кварталу претходне и првој половини текуће године. Уобичајено, непланирани ванредни непорески приходи, наплаћени у протеклом периоду, као и боља реализација редовних прихода укључени су у ревидирану процену непореских прихода. Боље остварење на крају претходне године, такође је значајан фактор који је довео до ревизије прихода навише.</w:t>
      </w:r>
    </w:p>
    <w:p w14:paraId="4460B863" w14:textId="77777777" w:rsidR="006D0778" w:rsidRPr="006D0778" w:rsidRDefault="006D0778" w:rsidP="006D0778">
      <w:pPr>
        <w:keepNext/>
        <w:keepLines/>
        <w:rPr>
          <w:bCs/>
          <w:lang w:val="sr-Cyrl-RS" w:eastAsia="ja-JP"/>
        </w:rPr>
      </w:pPr>
      <w:r w:rsidRPr="006D0778">
        <w:rPr>
          <w:bCs/>
          <w:lang w:val="sr-Cyrl-RS" w:eastAsia="ja-JP"/>
        </w:rPr>
        <w:t>Ревидирани фискални оквир за 2024. годину, у складу са усвојеним ребалансом буџета, предвиђа фискални дефицит од 2,7% БДП, што је 0,6 п.п. више у односу на оригинални буџетски план. Учешће јавног дуга у БДП на крају 2024. године износиће 47,9%. Приходна страна повећана је за 166 млрд, а расходна страна за 232,1 млрд динара. Виши приходи и расходи, уз прерасподелу средстава предвиђених за енергетику, обезбедили су фискални простор за значајно повећање јавних инвестиција, као и појединих категорија текућих расхода (социјална помоћ и трансфери становништву). На овај начин, поред очувања и повећања животног стандарда појединих категорија становништва, убрзава се развој инфраструктуре и повећава привредни потенцијал земље. Спровођење ових мера уз остварење предвиђеног фискалног резултата сектора државе, неће нарушити успостављену путању смањења учешћа јавног дуга у БДП која је присутна од 2016 године. Анализом структурног фискалног резултата у 2024. години, идентификовано је да се око 0,47% БДП односи на једнократне и привремене ефекте на приходној и расходној страни.</w:t>
      </w:r>
    </w:p>
    <w:p w14:paraId="4D8E7B71" w14:textId="77777777" w:rsidR="006D0778" w:rsidRPr="006D0778" w:rsidRDefault="006D0778" w:rsidP="006D0778">
      <w:pPr>
        <w:keepNext/>
        <w:keepLines/>
        <w:rPr>
          <w:rFonts w:eastAsia="Calibri" w:cs="Times New Roman"/>
          <w:spacing w:val="-4"/>
          <w:szCs w:val="24"/>
          <w:lang w:val="sr-Cyrl-RS"/>
        </w:rPr>
      </w:pPr>
      <w:r w:rsidRPr="006D0778">
        <w:rPr>
          <w:rFonts w:eastAsia="Calibri" w:cs="Times New Roman"/>
          <w:spacing w:val="-4"/>
          <w:szCs w:val="24"/>
          <w:lang w:val="sr-Cyrl-RS"/>
        </w:rPr>
        <w:t>Графикон 5. Фискални резултат сектора државе у периоду од 2015. до 2024. године, % БДП</w:t>
      </w:r>
    </w:p>
    <w:p w14:paraId="6E2270D8" w14:textId="77777777" w:rsidR="006D0778" w:rsidRPr="006D0778" w:rsidRDefault="006D0778" w:rsidP="006D0778">
      <w:pPr>
        <w:spacing w:after="0" w:line="276" w:lineRule="auto"/>
        <w:jc w:val="center"/>
        <w:rPr>
          <w:rFonts w:eastAsia="Calibri" w:cs="Times New Roman"/>
          <w:szCs w:val="24"/>
          <w:lang w:val="sr-Cyrl-RS"/>
        </w:rPr>
      </w:pPr>
      <w:r w:rsidRPr="006D0778">
        <w:rPr>
          <w:noProof/>
        </w:rPr>
        <w:drawing>
          <wp:inline distT="0" distB="0" distL="0" distR="0" wp14:anchorId="7E92B0A3" wp14:editId="5C8F6C54">
            <wp:extent cx="5429250" cy="3057525"/>
            <wp:effectExtent l="0" t="0" r="0" b="0"/>
            <wp:docPr id="14" name="Chart 14"/>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3A5003A8" w14:textId="77777777" w:rsidR="006D0778" w:rsidRPr="006D0778" w:rsidRDefault="006D0778" w:rsidP="006D0778">
      <w:pPr>
        <w:spacing w:after="0"/>
        <w:rPr>
          <w:rFonts w:eastAsia="Calibri" w:cs="Times New Roman"/>
          <w:bCs/>
          <w:sz w:val="16"/>
          <w:szCs w:val="16"/>
          <w:lang w:val="sr-Cyrl-RS"/>
        </w:rPr>
      </w:pPr>
    </w:p>
    <w:p w14:paraId="2AA9212B" w14:textId="77777777" w:rsidR="006D0778" w:rsidRPr="006D0778" w:rsidRDefault="006D0778" w:rsidP="006D0778">
      <w:pPr>
        <w:spacing w:after="0"/>
        <w:rPr>
          <w:rFonts w:eastAsia="Calibri" w:cs="Times New Roman"/>
          <w:bCs/>
          <w:sz w:val="16"/>
          <w:szCs w:val="16"/>
          <w:lang w:val="sr-Cyrl-RS"/>
        </w:rPr>
      </w:pPr>
      <w:r w:rsidRPr="006D0778">
        <w:rPr>
          <w:rFonts w:eastAsia="Calibri" w:cs="Times New Roman"/>
          <w:bCs/>
          <w:sz w:val="16"/>
          <w:szCs w:val="16"/>
          <w:lang w:val="sr-Cyrl-RS"/>
        </w:rPr>
        <w:t>Извор: Министарство финансија</w:t>
      </w:r>
    </w:p>
    <w:p w14:paraId="356A3FFF" w14:textId="77777777" w:rsidR="006D0778" w:rsidRPr="006D0778" w:rsidRDefault="006D0778" w:rsidP="006D0778">
      <w:pPr>
        <w:spacing w:after="0"/>
        <w:rPr>
          <w:rFonts w:eastAsia="Calibri" w:cs="Times New Roman"/>
          <w:bCs/>
          <w:szCs w:val="24"/>
          <w:lang w:val="sr-Cyrl-RS"/>
        </w:rPr>
      </w:pPr>
    </w:p>
    <w:p w14:paraId="4825D727" w14:textId="77777777" w:rsidR="006D0778" w:rsidRPr="006D0778" w:rsidRDefault="006D0778" w:rsidP="006D0778">
      <w:pPr>
        <w:spacing w:after="0"/>
        <w:rPr>
          <w:rFonts w:eastAsia="Calibri" w:cs="Times New Roman"/>
          <w:bCs/>
          <w:szCs w:val="24"/>
          <w:lang w:val="sr-Cyrl-RS"/>
        </w:rPr>
      </w:pPr>
    </w:p>
    <w:p w14:paraId="6EBBD1E0" w14:textId="77777777" w:rsidR="006D0778" w:rsidRPr="006D0778" w:rsidRDefault="006D0778" w:rsidP="006D0778">
      <w:pPr>
        <w:spacing w:after="0"/>
        <w:rPr>
          <w:rFonts w:eastAsia="Calibri" w:cs="Times New Roman"/>
          <w:bCs/>
          <w:szCs w:val="24"/>
          <w:lang w:val="sr-Cyrl-RS"/>
        </w:rPr>
      </w:pPr>
    </w:p>
    <w:p w14:paraId="1F0B09B1" w14:textId="77777777" w:rsidR="006D0778" w:rsidRPr="006D0778" w:rsidRDefault="006D0778" w:rsidP="006D0778">
      <w:pPr>
        <w:rPr>
          <w:rFonts w:eastAsia="MS PGothic" w:cs="Times New Roman"/>
          <w:szCs w:val="24"/>
          <w:lang w:val="sr-Cyrl-RS" w:eastAsia="ja-JP"/>
        </w:rPr>
      </w:pPr>
      <w:r w:rsidRPr="006D0778">
        <w:rPr>
          <w:rFonts w:eastAsia="MS PGothic" w:cs="Times New Roman"/>
          <w:szCs w:val="24"/>
          <w:lang w:val="sr-Cyrl-RS" w:eastAsia="ja-JP"/>
        </w:rPr>
        <w:lastRenderedPageBreak/>
        <w:t>Табела 4. Приходи, расходи и резултат сектора државе у 2024. години, у млрд динара</w:t>
      </w:r>
    </w:p>
    <w:tbl>
      <w:tblPr>
        <w:tblW w:w="5000" w:type="pct"/>
        <w:jc w:val="center"/>
        <w:tblLook w:val="04A0" w:firstRow="1" w:lastRow="0" w:firstColumn="1" w:lastColumn="0" w:noHBand="0" w:noVBand="1"/>
      </w:tblPr>
      <w:tblGrid>
        <w:gridCol w:w="2842"/>
        <w:gridCol w:w="985"/>
        <w:gridCol w:w="983"/>
        <w:gridCol w:w="984"/>
        <w:gridCol w:w="1278"/>
        <w:gridCol w:w="986"/>
        <w:gridCol w:w="968"/>
      </w:tblGrid>
      <w:tr w:rsidR="006D0778" w:rsidRPr="006D0778" w14:paraId="59A78695" w14:textId="77777777" w:rsidTr="00D2109C">
        <w:trPr>
          <w:trHeight w:val="454"/>
          <w:tblHeader/>
          <w:jc w:val="center"/>
        </w:trPr>
        <w:tc>
          <w:tcPr>
            <w:tcW w:w="1340" w:type="pct"/>
            <w:tcBorders>
              <w:top w:val="single" w:sz="4" w:space="0" w:color="002060"/>
            </w:tcBorders>
            <w:shd w:val="clear" w:color="auto" w:fill="auto"/>
            <w:noWrap/>
            <w:vAlign w:val="center"/>
            <w:hideMark/>
          </w:tcPr>
          <w:p w14:paraId="057F945C" w14:textId="77777777" w:rsidR="006D0778" w:rsidRPr="006D0778" w:rsidRDefault="006D0778" w:rsidP="006D0778">
            <w:pPr>
              <w:spacing w:after="0"/>
              <w:jc w:val="center"/>
              <w:rPr>
                <w:rFonts w:eastAsia="Times New Roman" w:cstheme="minorHAnsi"/>
                <w:bCs/>
                <w:sz w:val="20"/>
                <w:szCs w:val="20"/>
                <w:lang w:eastAsia="sr-Cyrl-RS"/>
              </w:rPr>
            </w:pPr>
            <w:r w:rsidRPr="006D0778">
              <w:rPr>
                <w:rFonts w:eastAsia="MS PGothic" w:cstheme="minorHAnsi"/>
                <w:sz w:val="20"/>
                <w:szCs w:val="20"/>
                <w:lang w:eastAsia="ja-JP"/>
              </w:rPr>
              <w:t> </w:t>
            </w:r>
          </w:p>
        </w:tc>
        <w:tc>
          <w:tcPr>
            <w:tcW w:w="585" w:type="pct"/>
            <w:tcBorders>
              <w:top w:val="single" w:sz="4" w:space="0" w:color="002060"/>
              <w:bottom w:val="single" w:sz="4" w:space="0" w:color="002060"/>
            </w:tcBorders>
            <w:shd w:val="clear" w:color="auto" w:fill="auto"/>
            <w:vAlign w:val="center"/>
            <w:hideMark/>
          </w:tcPr>
          <w:p w14:paraId="0A6B44B9" w14:textId="77777777" w:rsidR="006D0778" w:rsidRPr="006D0778" w:rsidRDefault="006D0778" w:rsidP="006D0778">
            <w:pPr>
              <w:spacing w:after="0"/>
              <w:jc w:val="center"/>
              <w:rPr>
                <w:rFonts w:eastAsia="MS PGothic" w:cstheme="minorHAnsi"/>
                <w:sz w:val="20"/>
                <w:szCs w:val="20"/>
                <w:lang w:eastAsia="ja-JP"/>
              </w:rPr>
            </w:pPr>
            <w:r w:rsidRPr="006D0778">
              <w:rPr>
                <w:rFonts w:eastAsia="MS PGothic" w:cstheme="minorHAnsi"/>
                <w:sz w:val="20"/>
                <w:szCs w:val="20"/>
                <w:lang w:eastAsia="ja-JP"/>
              </w:rPr>
              <w:t>буџет 2024*</w:t>
            </w:r>
          </w:p>
        </w:tc>
        <w:tc>
          <w:tcPr>
            <w:tcW w:w="584" w:type="pct"/>
            <w:tcBorders>
              <w:top w:val="single" w:sz="4" w:space="0" w:color="002060"/>
              <w:bottom w:val="single" w:sz="4" w:space="0" w:color="002060"/>
            </w:tcBorders>
            <w:vAlign w:val="center"/>
          </w:tcPr>
          <w:p w14:paraId="503822A1" w14:textId="77777777" w:rsidR="006D0778" w:rsidRPr="006D0778" w:rsidRDefault="006D0778" w:rsidP="006D0778">
            <w:pPr>
              <w:spacing w:after="0"/>
              <w:jc w:val="center"/>
              <w:rPr>
                <w:rFonts w:eastAsia="MS PGothic" w:cstheme="minorHAnsi"/>
                <w:sz w:val="20"/>
                <w:szCs w:val="20"/>
                <w:lang w:eastAsia="ja-JP"/>
              </w:rPr>
            </w:pPr>
            <w:r w:rsidRPr="006D0778">
              <w:rPr>
                <w:rFonts w:eastAsia="MS PGothic" w:cstheme="minorHAnsi"/>
                <w:sz w:val="20"/>
                <w:szCs w:val="20"/>
                <w:lang w:eastAsia="ja-JP"/>
              </w:rPr>
              <w:t>процена мај 2024</w:t>
            </w:r>
          </w:p>
        </w:tc>
        <w:tc>
          <w:tcPr>
            <w:tcW w:w="584" w:type="pct"/>
            <w:tcBorders>
              <w:top w:val="single" w:sz="4" w:space="0" w:color="002060"/>
              <w:bottom w:val="single" w:sz="4" w:space="0" w:color="002060"/>
            </w:tcBorders>
            <w:vAlign w:val="center"/>
          </w:tcPr>
          <w:p w14:paraId="149567E3" w14:textId="77777777" w:rsidR="006D0778" w:rsidRPr="006D0778" w:rsidRDefault="006D0778" w:rsidP="006D0778">
            <w:pPr>
              <w:spacing w:after="0"/>
              <w:jc w:val="center"/>
              <w:rPr>
                <w:rFonts w:eastAsia="MS PGothic" w:cstheme="minorHAnsi"/>
                <w:sz w:val="20"/>
                <w:szCs w:val="20"/>
                <w:lang w:eastAsia="ja-JP"/>
              </w:rPr>
            </w:pPr>
            <w:r w:rsidRPr="006D0778">
              <w:rPr>
                <w:rFonts w:eastAsia="MS PGothic" w:cstheme="minorHAnsi"/>
                <w:sz w:val="20"/>
                <w:szCs w:val="20"/>
                <w:lang w:eastAsia="ja-JP"/>
              </w:rPr>
              <w:t>нова процена 2024</w:t>
            </w:r>
          </w:p>
        </w:tc>
        <w:tc>
          <w:tcPr>
            <w:tcW w:w="747" w:type="pct"/>
            <w:tcBorders>
              <w:top w:val="single" w:sz="4" w:space="0" w:color="002060"/>
              <w:bottom w:val="single" w:sz="4" w:space="0" w:color="002060"/>
            </w:tcBorders>
            <w:shd w:val="clear" w:color="auto" w:fill="auto"/>
            <w:vAlign w:val="center"/>
            <w:hideMark/>
          </w:tcPr>
          <w:p w14:paraId="42BF2A6F" w14:textId="77777777" w:rsidR="006D0778" w:rsidRPr="006D0778" w:rsidRDefault="006D0778" w:rsidP="006D0778">
            <w:pPr>
              <w:spacing w:after="0"/>
              <w:jc w:val="center"/>
              <w:rPr>
                <w:rFonts w:eastAsia="MS PGothic" w:cstheme="minorHAnsi"/>
                <w:sz w:val="20"/>
                <w:szCs w:val="20"/>
                <w:lang w:eastAsia="ja-JP"/>
              </w:rPr>
            </w:pPr>
            <w:r w:rsidRPr="006D0778">
              <w:rPr>
                <w:rFonts w:eastAsia="MS PGothic" w:cstheme="minorHAnsi"/>
                <w:sz w:val="20"/>
                <w:szCs w:val="20"/>
                <w:lang w:eastAsia="ja-JP"/>
              </w:rPr>
              <w:t>разлика нова процена /буџет</w:t>
            </w:r>
          </w:p>
        </w:tc>
        <w:tc>
          <w:tcPr>
            <w:tcW w:w="585" w:type="pct"/>
            <w:tcBorders>
              <w:top w:val="single" w:sz="4" w:space="0" w:color="002060"/>
              <w:bottom w:val="single" w:sz="4" w:space="0" w:color="002060"/>
            </w:tcBorders>
            <w:shd w:val="clear" w:color="auto" w:fill="auto"/>
            <w:vAlign w:val="center"/>
            <w:hideMark/>
          </w:tcPr>
          <w:p w14:paraId="3ACBBC4A" w14:textId="77777777" w:rsidR="006D0778" w:rsidRPr="006D0778" w:rsidRDefault="006D0778" w:rsidP="006D0778">
            <w:pPr>
              <w:spacing w:after="0"/>
              <w:jc w:val="center"/>
              <w:rPr>
                <w:rFonts w:eastAsia="MS PGothic" w:cstheme="minorHAnsi"/>
                <w:sz w:val="20"/>
                <w:szCs w:val="20"/>
                <w:lang w:eastAsia="ja-JP"/>
              </w:rPr>
            </w:pPr>
            <w:r w:rsidRPr="006D0778">
              <w:rPr>
                <w:rFonts w:eastAsia="MS PGothic" w:cstheme="minorHAnsi"/>
                <w:sz w:val="20"/>
                <w:szCs w:val="20"/>
                <w:lang w:eastAsia="ja-JP"/>
              </w:rPr>
              <w:t>% промена</w:t>
            </w:r>
          </w:p>
        </w:tc>
        <w:tc>
          <w:tcPr>
            <w:tcW w:w="575" w:type="pct"/>
            <w:tcBorders>
              <w:top w:val="single" w:sz="4" w:space="0" w:color="002060"/>
              <w:bottom w:val="single" w:sz="4" w:space="0" w:color="002060"/>
            </w:tcBorders>
            <w:shd w:val="clear" w:color="auto" w:fill="auto"/>
            <w:vAlign w:val="center"/>
            <w:hideMark/>
          </w:tcPr>
          <w:p w14:paraId="3503462A" w14:textId="77777777" w:rsidR="006D0778" w:rsidRPr="006D0778" w:rsidRDefault="006D0778" w:rsidP="006D0778">
            <w:pPr>
              <w:spacing w:after="0"/>
              <w:jc w:val="center"/>
              <w:rPr>
                <w:rFonts w:eastAsia="MS PGothic" w:cstheme="minorHAnsi"/>
                <w:sz w:val="20"/>
                <w:szCs w:val="20"/>
                <w:lang w:eastAsia="ja-JP"/>
              </w:rPr>
            </w:pPr>
            <w:r w:rsidRPr="006D0778">
              <w:rPr>
                <w:rFonts w:eastAsia="MS PGothic" w:cstheme="minorHAnsi"/>
                <w:sz w:val="20"/>
                <w:szCs w:val="20"/>
                <w:lang w:eastAsia="ja-JP"/>
              </w:rPr>
              <w:t>2024 нова пр. % БДП</w:t>
            </w:r>
          </w:p>
        </w:tc>
      </w:tr>
      <w:tr w:rsidR="006D0778" w:rsidRPr="006D0778" w14:paraId="7AA276E8" w14:textId="77777777" w:rsidTr="00D2109C">
        <w:trPr>
          <w:trHeight w:val="224"/>
          <w:jc w:val="center"/>
        </w:trPr>
        <w:tc>
          <w:tcPr>
            <w:tcW w:w="1340" w:type="pct"/>
            <w:shd w:val="clear" w:color="auto" w:fill="E7E6E6" w:themeFill="background2"/>
            <w:noWrap/>
            <w:vAlign w:val="center"/>
            <w:hideMark/>
          </w:tcPr>
          <w:p w14:paraId="0AE2ED5B" w14:textId="77777777" w:rsidR="006D0778" w:rsidRPr="006D0778" w:rsidRDefault="006D0778" w:rsidP="006D0778">
            <w:pPr>
              <w:spacing w:after="0"/>
              <w:jc w:val="left"/>
              <w:rPr>
                <w:rFonts w:cstheme="minorHAnsi"/>
                <w:sz w:val="20"/>
                <w:szCs w:val="20"/>
              </w:rPr>
            </w:pPr>
            <w:r w:rsidRPr="006D0778">
              <w:rPr>
                <w:rFonts w:eastAsia="MS PGothic" w:cstheme="minorHAnsi"/>
                <w:sz w:val="20"/>
                <w:szCs w:val="20"/>
                <w:lang w:eastAsia="ja-JP"/>
              </w:rPr>
              <w:t>ЈАВНИ ПРИХОДИ</w:t>
            </w:r>
          </w:p>
        </w:tc>
        <w:tc>
          <w:tcPr>
            <w:tcW w:w="585" w:type="pct"/>
            <w:tcBorders>
              <w:top w:val="single" w:sz="4" w:space="0" w:color="002060"/>
            </w:tcBorders>
            <w:shd w:val="clear" w:color="auto" w:fill="E7E6E6" w:themeFill="background2"/>
            <w:hideMark/>
          </w:tcPr>
          <w:p w14:paraId="3EB86CC3"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3.756,1</w:t>
            </w:r>
          </w:p>
        </w:tc>
        <w:tc>
          <w:tcPr>
            <w:tcW w:w="584" w:type="pct"/>
            <w:tcBorders>
              <w:top w:val="single" w:sz="4" w:space="0" w:color="002060"/>
            </w:tcBorders>
            <w:shd w:val="clear" w:color="auto" w:fill="E7E6E6" w:themeFill="background2"/>
          </w:tcPr>
          <w:p w14:paraId="4431513A"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3.823,0</w:t>
            </w:r>
          </w:p>
        </w:tc>
        <w:tc>
          <w:tcPr>
            <w:tcW w:w="584" w:type="pct"/>
            <w:tcBorders>
              <w:top w:val="single" w:sz="4" w:space="0" w:color="002060"/>
            </w:tcBorders>
            <w:shd w:val="clear" w:color="auto" w:fill="E7E6E6" w:themeFill="background2"/>
          </w:tcPr>
          <w:p w14:paraId="3305F67D"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3.922,2</w:t>
            </w:r>
          </w:p>
        </w:tc>
        <w:tc>
          <w:tcPr>
            <w:tcW w:w="747" w:type="pct"/>
            <w:tcBorders>
              <w:top w:val="single" w:sz="4" w:space="0" w:color="002060"/>
            </w:tcBorders>
            <w:shd w:val="clear" w:color="auto" w:fill="E7E6E6" w:themeFill="background2"/>
            <w:hideMark/>
          </w:tcPr>
          <w:p w14:paraId="06CDD9C7"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166,0</w:t>
            </w:r>
          </w:p>
        </w:tc>
        <w:tc>
          <w:tcPr>
            <w:tcW w:w="585" w:type="pct"/>
            <w:tcBorders>
              <w:top w:val="single" w:sz="4" w:space="0" w:color="002060"/>
            </w:tcBorders>
            <w:shd w:val="clear" w:color="auto" w:fill="E7E6E6" w:themeFill="background2"/>
            <w:hideMark/>
          </w:tcPr>
          <w:p w14:paraId="22285BE5"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4,4</w:t>
            </w:r>
          </w:p>
        </w:tc>
        <w:tc>
          <w:tcPr>
            <w:tcW w:w="575" w:type="pct"/>
            <w:tcBorders>
              <w:top w:val="single" w:sz="4" w:space="0" w:color="002060"/>
            </w:tcBorders>
            <w:shd w:val="clear" w:color="auto" w:fill="E7E6E6" w:themeFill="background2"/>
            <w:noWrap/>
            <w:hideMark/>
          </w:tcPr>
          <w:p w14:paraId="015A274D"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40,8</w:t>
            </w:r>
          </w:p>
        </w:tc>
      </w:tr>
      <w:tr w:rsidR="006D0778" w:rsidRPr="006D0778" w14:paraId="36E6F38B" w14:textId="77777777" w:rsidTr="00D2109C">
        <w:trPr>
          <w:trHeight w:val="224"/>
          <w:jc w:val="center"/>
        </w:trPr>
        <w:tc>
          <w:tcPr>
            <w:tcW w:w="1340" w:type="pct"/>
            <w:shd w:val="clear" w:color="auto" w:fill="auto"/>
            <w:noWrap/>
            <w:vAlign w:val="center"/>
            <w:hideMark/>
          </w:tcPr>
          <w:p w14:paraId="45B89C7E" w14:textId="77777777" w:rsidR="006D0778" w:rsidRPr="006D0778" w:rsidRDefault="006D0778" w:rsidP="006D0778">
            <w:pPr>
              <w:spacing w:after="0"/>
              <w:jc w:val="left"/>
              <w:rPr>
                <w:rFonts w:eastAsia="MS PGothic" w:cstheme="minorHAnsi"/>
                <w:sz w:val="20"/>
                <w:szCs w:val="20"/>
                <w:lang w:eastAsia="ja-JP"/>
              </w:rPr>
            </w:pPr>
            <w:r w:rsidRPr="006D0778">
              <w:rPr>
                <w:rFonts w:eastAsia="MS PGothic" w:cstheme="minorHAnsi"/>
                <w:sz w:val="20"/>
                <w:szCs w:val="20"/>
                <w:lang w:eastAsia="ja-JP"/>
              </w:rPr>
              <w:t>Текући приходи</w:t>
            </w:r>
          </w:p>
        </w:tc>
        <w:tc>
          <w:tcPr>
            <w:tcW w:w="585" w:type="pct"/>
            <w:shd w:val="clear" w:color="auto" w:fill="auto"/>
            <w:hideMark/>
          </w:tcPr>
          <w:p w14:paraId="565856AD"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3.717,0</w:t>
            </w:r>
          </w:p>
        </w:tc>
        <w:tc>
          <w:tcPr>
            <w:tcW w:w="584" w:type="pct"/>
          </w:tcPr>
          <w:p w14:paraId="160220F0"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3.784,0</w:t>
            </w:r>
          </w:p>
        </w:tc>
        <w:tc>
          <w:tcPr>
            <w:tcW w:w="584" w:type="pct"/>
          </w:tcPr>
          <w:p w14:paraId="6AB654DA"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3.885,9</w:t>
            </w:r>
          </w:p>
        </w:tc>
        <w:tc>
          <w:tcPr>
            <w:tcW w:w="747" w:type="pct"/>
            <w:shd w:val="clear" w:color="auto" w:fill="auto"/>
            <w:hideMark/>
          </w:tcPr>
          <w:p w14:paraId="6FE21BD7"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168,8</w:t>
            </w:r>
          </w:p>
        </w:tc>
        <w:tc>
          <w:tcPr>
            <w:tcW w:w="585" w:type="pct"/>
            <w:shd w:val="clear" w:color="auto" w:fill="auto"/>
            <w:hideMark/>
          </w:tcPr>
          <w:p w14:paraId="5052EF7B"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4,5</w:t>
            </w:r>
          </w:p>
        </w:tc>
        <w:tc>
          <w:tcPr>
            <w:tcW w:w="575" w:type="pct"/>
            <w:shd w:val="clear" w:color="auto" w:fill="auto"/>
            <w:noWrap/>
            <w:hideMark/>
          </w:tcPr>
          <w:p w14:paraId="18BA1C93"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40,5</w:t>
            </w:r>
          </w:p>
        </w:tc>
      </w:tr>
      <w:tr w:rsidR="006D0778" w:rsidRPr="006D0778" w14:paraId="609C83C2" w14:textId="77777777" w:rsidTr="00D2109C">
        <w:trPr>
          <w:trHeight w:val="224"/>
          <w:jc w:val="center"/>
        </w:trPr>
        <w:tc>
          <w:tcPr>
            <w:tcW w:w="1340" w:type="pct"/>
            <w:shd w:val="clear" w:color="auto" w:fill="auto"/>
            <w:noWrap/>
            <w:vAlign w:val="center"/>
            <w:hideMark/>
          </w:tcPr>
          <w:p w14:paraId="5519E18E" w14:textId="77777777" w:rsidR="006D0778" w:rsidRPr="006D0778" w:rsidRDefault="006D0778" w:rsidP="006D0778">
            <w:pPr>
              <w:spacing w:after="0"/>
              <w:jc w:val="left"/>
              <w:rPr>
                <w:rFonts w:eastAsia="MS PGothic" w:cstheme="minorHAnsi"/>
                <w:sz w:val="20"/>
                <w:szCs w:val="20"/>
                <w:lang w:eastAsia="ja-JP"/>
              </w:rPr>
            </w:pPr>
            <w:r w:rsidRPr="006D0778">
              <w:rPr>
                <w:rFonts w:eastAsia="MS PGothic" w:cstheme="minorHAnsi"/>
                <w:sz w:val="20"/>
                <w:szCs w:val="20"/>
                <w:lang w:eastAsia="ja-JP"/>
              </w:rPr>
              <w:t xml:space="preserve"> Порески приходи</w:t>
            </w:r>
          </w:p>
        </w:tc>
        <w:tc>
          <w:tcPr>
            <w:tcW w:w="585" w:type="pct"/>
            <w:shd w:val="clear" w:color="auto" w:fill="auto"/>
            <w:hideMark/>
          </w:tcPr>
          <w:p w14:paraId="5CEED80E"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3.330,5</w:t>
            </w:r>
          </w:p>
        </w:tc>
        <w:tc>
          <w:tcPr>
            <w:tcW w:w="584" w:type="pct"/>
          </w:tcPr>
          <w:p w14:paraId="51E37843"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3.392,2</w:t>
            </w:r>
          </w:p>
        </w:tc>
        <w:tc>
          <w:tcPr>
            <w:tcW w:w="584" w:type="pct"/>
          </w:tcPr>
          <w:p w14:paraId="1E8980C0"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3.478,9</w:t>
            </w:r>
          </w:p>
        </w:tc>
        <w:tc>
          <w:tcPr>
            <w:tcW w:w="747" w:type="pct"/>
            <w:shd w:val="clear" w:color="auto" w:fill="auto"/>
            <w:hideMark/>
          </w:tcPr>
          <w:p w14:paraId="1C1D1A7F"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148,3</w:t>
            </w:r>
          </w:p>
        </w:tc>
        <w:tc>
          <w:tcPr>
            <w:tcW w:w="585" w:type="pct"/>
            <w:shd w:val="clear" w:color="auto" w:fill="auto"/>
            <w:hideMark/>
          </w:tcPr>
          <w:p w14:paraId="238E3E53"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4,5</w:t>
            </w:r>
          </w:p>
        </w:tc>
        <w:tc>
          <w:tcPr>
            <w:tcW w:w="575" w:type="pct"/>
            <w:shd w:val="clear" w:color="auto" w:fill="auto"/>
            <w:noWrap/>
            <w:hideMark/>
          </w:tcPr>
          <w:p w14:paraId="22F9B4DF"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36,2</w:t>
            </w:r>
          </w:p>
        </w:tc>
      </w:tr>
      <w:tr w:rsidR="006D0778" w:rsidRPr="006D0778" w14:paraId="6DFF1569" w14:textId="77777777" w:rsidTr="00D2109C">
        <w:trPr>
          <w:trHeight w:val="224"/>
          <w:jc w:val="center"/>
        </w:trPr>
        <w:tc>
          <w:tcPr>
            <w:tcW w:w="1340" w:type="pct"/>
            <w:shd w:val="clear" w:color="auto" w:fill="auto"/>
            <w:noWrap/>
            <w:vAlign w:val="center"/>
            <w:hideMark/>
          </w:tcPr>
          <w:p w14:paraId="6F77A4E2" w14:textId="05D4E24E" w:rsidR="006D0778" w:rsidRPr="006D0778" w:rsidRDefault="00CF6476" w:rsidP="006D0778">
            <w:pPr>
              <w:spacing w:after="0"/>
              <w:jc w:val="left"/>
              <w:rPr>
                <w:rFonts w:eastAsia="MS PGothic" w:cstheme="minorHAnsi"/>
                <w:sz w:val="20"/>
                <w:szCs w:val="20"/>
                <w:lang w:eastAsia="ja-JP"/>
              </w:rPr>
            </w:pPr>
            <w:r>
              <w:rPr>
                <w:rFonts w:eastAsia="MS PGothic" w:cstheme="minorHAnsi"/>
                <w:sz w:val="20"/>
                <w:szCs w:val="20"/>
                <w:lang w:eastAsia="ja-JP"/>
              </w:rPr>
              <w:t xml:space="preserve"> </w:t>
            </w:r>
            <w:r w:rsidR="006D0778" w:rsidRPr="006D0778">
              <w:rPr>
                <w:rFonts w:eastAsia="MS PGothic" w:cstheme="minorHAnsi"/>
                <w:sz w:val="20"/>
                <w:szCs w:val="20"/>
                <w:lang w:eastAsia="ja-JP"/>
              </w:rPr>
              <w:t>Порез на доходак грађана</w:t>
            </w:r>
          </w:p>
        </w:tc>
        <w:tc>
          <w:tcPr>
            <w:tcW w:w="585" w:type="pct"/>
            <w:shd w:val="clear" w:color="auto" w:fill="auto"/>
            <w:hideMark/>
          </w:tcPr>
          <w:p w14:paraId="5BFD5229"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378,6</w:t>
            </w:r>
          </w:p>
        </w:tc>
        <w:tc>
          <w:tcPr>
            <w:tcW w:w="584" w:type="pct"/>
          </w:tcPr>
          <w:p w14:paraId="2045C3A4"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382,0</w:t>
            </w:r>
          </w:p>
        </w:tc>
        <w:tc>
          <w:tcPr>
            <w:tcW w:w="584" w:type="pct"/>
          </w:tcPr>
          <w:p w14:paraId="2F6F2EC4"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396,3</w:t>
            </w:r>
          </w:p>
        </w:tc>
        <w:tc>
          <w:tcPr>
            <w:tcW w:w="747" w:type="pct"/>
            <w:shd w:val="clear" w:color="auto" w:fill="auto"/>
            <w:hideMark/>
          </w:tcPr>
          <w:p w14:paraId="5761D3EB"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17,7</w:t>
            </w:r>
          </w:p>
        </w:tc>
        <w:tc>
          <w:tcPr>
            <w:tcW w:w="585" w:type="pct"/>
            <w:shd w:val="clear" w:color="auto" w:fill="auto"/>
            <w:hideMark/>
          </w:tcPr>
          <w:p w14:paraId="5F0BB97B"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4,7</w:t>
            </w:r>
          </w:p>
        </w:tc>
        <w:tc>
          <w:tcPr>
            <w:tcW w:w="575" w:type="pct"/>
            <w:shd w:val="clear" w:color="auto" w:fill="auto"/>
            <w:noWrap/>
            <w:hideMark/>
          </w:tcPr>
          <w:p w14:paraId="5FD79F17"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4,1</w:t>
            </w:r>
          </w:p>
        </w:tc>
      </w:tr>
      <w:tr w:rsidR="006D0778" w:rsidRPr="006D0778" w14:paraId="5046C6E4" w14:textId="77777777" w:rsidTr="00D2109C">
        <w:trPr>
          <w:trHeight w:val="224"/>
          <w:jc w:val="center"/>
        </w:trPr>
        <w:tc>
          <w:tcPr>
            <w:tcW w:w="1340" w:type="pct"/>
            <w:shd w:val="clear" w:color="auto" w:fill="auto"/>
            <w:noWrap/>
            <w:vAlign w:val="center"/>
            <w:hideMark/>
          </w:tcPr>
          <w:p w14:paraId="6DE55819" w14:textId="6F9F5BE3" w:rsidR="006D0778" w:rsidRPr="006D0778" w:rsidRDefault="00CF6476" w:rsidP="006D0778">
            <w:pPr>
              <w:spacing w:after="0"/>
              <w:jc w:val="left"/>
              <w:rPr>
                <w:rFonts w:eastAsia="MS PGothic" w:cstheme="minorHAnsi"/>
                <w:sz w:val="20"/>
                <w:szCs w:val="20"/>
                <w:lang w:eastAsia="ja-JP"/>
              </w:rPr>
            </w:pPr>
            <w:r>
              <w:rPr>
                <w:rFonts w:eastAsia="MS PGothic" w:cstheme="minorHAnsi"/>
                <w:sz w:val="20"/>
                <w:szCs w:val="20"/>
                <w:lang w:eastAsia="ja-JP"/>
              </w:rPr>
              <w:t xml:space="preserve"> </w:t>
            </w:r>
            <w:r w:rsidR="006D0778" w:rsidRPr="006D0778">
              <w:rPr>
                <w:rFonts w:eastAsia="MS PGothic" w:cstheme="minorHAnsi"/>
                <w:sz w:val="20"/>
                <w:szCs w:val="20"/>
                <w:lang w:eastAsia="ja-JP"/>
              </w:rPr>
              <w:t>Порез на добит правних лица</w:t>
            </w:r>
          </w:p>
        </w:tc>
        <w:tc>
          <w:tcPr>
            <w:tcW w:w="585" w:type="pct"/>
            <w:shd w:val="clear" w:color="auto" w:fill="auto"/>
            <w:hideMark/>
          </w:tcPr>
          <w:p w14:paraId="1271BA22"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256,7</w:t>
            </w:r>
          </w:p>
        </w:tc>
        <w:tc>
          <w:tcPr>
            <w:tcW w:w="584" w:type="pct"/>
          </w:tcPr>
          <w:p w14:paraId="2FFE785A"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256,7</w:t>
            </w:r>
          </w:p>
        </w:tc>
        <w:tc>
          <w:tcPr>
            <w:tcW w:w="584" w:type="pct"/>
          </w:tcPr>
          <w:p w14:paraId="505BF1E8"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292,2</w:t>
            </w:r>
          </w:p>
        </w:tc>
        <w:tc>
          <w:tcPr>
            <w:tcW w:w="747" w:type="pct"/>
            <w:shd w:val="clear" w:color="auto" w:fill="auto"/>
            <w:hideMark/>
          </w:tcPr>
          <w:p w14:paraId="725C299E"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35,5</w:t>
            </w:r>
          </w:p>
        </w:tc>
        <w:tc>
          <w:tcPr>
            <w:tcW w:w="585" w:type="pct"/>
            <w:shd w:val="clear" w:color="auto" w:fill="auto"/>
            <w:hideMark/>
          </w:tcPr>
          <w:p w14:paraId="54B59885"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13,8</w:t>
            </w:r>
          </w:p>
        </w:tc>
        <w:tc>
          <w:tcPr>
            <w:tcW w:w="575" w:type="pct"/>
            <w:shd w:val="clear" w:color="auto" w:fill="auto"/>
            <w:noWrap/>
            <w:hideMark/>
          </w:tcPr>
          <w:p w14:paraId="55A9058D"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3,0</w:t>
            </w:r>
          </w:p>
        </w:tc>
      </w:tr>
      <w:tr w:rsidR="006D0778" w:rsidRPr="006D0778" w14:paraId="7DE861AC" w14:textId="77777777" w:rsidTr="00D2109C">
        <w:trPr>
          <w:trHeight w:val="224"/>
          <w:jc w:val="center"/>
        </w:trPr>
        <w:tc>
          <w:tcPr>
            <w:tcW w:w="1340" w:type="pct"/>
            <w:shd w:val="clear" w:color="auto" w:fill="auto"/>
            <w:noWrap/>
            <w:vAlign w:val="center"/>
            <w:hideMark/>
          </w:tcPr>
          <w:p w14:paraId="4648FC68" w14:textId="21A540F6" w:rsidR="006D0778" w:rsidRPr="006D0778" w:rsidRDefault="00CF6476" w:rsidP="006D0778">
            <w:pPr>
              <w:spacing w:after="0"/>
              <w:jc w:val="left"/>
              <w:rPr>
                <w:rFonts w:eastAsia="MS PGothic" w:cstheme="minorHAnsi"/>
                <w:sz w:val="20"/>
                <w:szCs w:val="20"/>
                <w:lang w:eastAsia="ja-JP"/>
              </w:rPr>
            </w:pPr>
            <w:r>
              <w:rPr>
                <w:rFonts w:eastAsia="MS PGothic" w:cstheme="minorHAnsi"/>
                <w:sz w:val="20"/>
                <w:szCs w:val="20"/>
                <w:lang w:eastAsia="ja-JP"/>
              </w:rPr>
              <w:t xml:space="preserve"> </w:t>
            </w:r>
            <w:r w:rsidR="006D0778" w:rsidRPr="006D0778">
              <w:rPr>
                <w:rFonts w:eastAsia="MS PGothic" w:cstheme="minorHAnsi"/>
                <w:sz w:val="20"/>
                <w:szCs w:val="20"/>
                <w:lang w:eastAsia="ja-JP"/>
              </w:rPr>
              <w:t>ПДВ</w:t>
            </w:r>
          </w:p>
        </w:tc>
        <w:tc>
          <w:tcPr>
            <w:tcW w:w="585" w:type="pct"/>
            <w:shd w:val="clear" w:color="auto" w:fill="auto"/>
            <w:hideMark/>
          </w:tcPr>
          <w:p w14:paraId="79080AFA"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908,0</w:t>
            </w:r>
          </w:p>
        </w:tc>
        <w:tc>
          <w:tcPr>
            <w:tcW w:w="584" w:type="pct"/>
          </w:tcPr>
          <w:p w14:paraId="449A19EC"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950,0</w:t>
            </w:r>
          </w:p>
        </w:tc>
        <w:tc>
          <w:tcPr>
            <w:tcW w:w="584" w:type="pct"/>
          </w:tcPr>
          <w:p w14:paraId="66E14B5F"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960,0</w:t>
            </w:r>
          </w:p>
        </w:tc>
        <w:tc>
          <w:tcPr>
            <w:tcW w:w="747" w:type="pct"/>
            <w:shd w:val="clear" w:color="auto" w:fill="auto"/>
            <w:hideMark/>
          </w:tcPr>
          <w:p w14:paraId="6C157724"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52,0</w:t>
            </w:r>
          </w:p>
        </w:tc>
        <w:tc>
          <w:tcPr>
            <w:tcW w:w="585" w:type="pct"/>
            <w:shd w:val="clear" w:color="auto" w:fill="auto"/>
            <w:hideMark/>
          </w:tcPr>
          <w:p w14:paraId="0E88950B"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5,7</w:t>
            </w:r>
          </w:p>
        </w:tc>
        <w:tc>
          <w:tcPr>
            <w:tcW w:w="575" w:type="pct"/>
            <w:shd w:val="clear" w:color="auto" w:fill="auto"/>
            <w:noWrap/>
            <w:hideMark/>
          </w:tcPr>
          <w:p w14:paraId="28CA8F4E"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10,0</w:t>
            </w:r>
          </w:p>
        </w:tc>
      </w:tr>
      <w:tr w:rsidR="006D0778" w:rsidRPr="006D0778" w14:paraId="4FB81647" w14:textId="77777777" w:rsidTr="00D2109C">
        <w:trPr>
          <w:trHeight w:val="224"/>
          <w:jc w:val="center"/>
        </w:trPr>
        <w:tc>
          <w:tcPr>
            <w:tcW w:w="1340" w:type="pct"/>
            <w:shd w:val="clear" w:color="auto" w:fill="auto"/>
            <w:noWrap/>
            <w:vAlign w:val="center"/>
            <w:hideMark/>
          </w:tcPr>
          <w:p w14:paraId="56F8087B" w14:textId="054280FA" w:rsidR="006D0778" w:rsidRPr="006D0778" w:rsidRDefault="00CF6476" w:rsidP="006D0778">
            <w:pPr>
              <w:spacing w:after="0"/>
              <w:jc w:val="left"/>
              <w:rPr>
                <w:rFonts w:eastAsia="MS PGothic" w:cstheme="minorHAnsi"/>
                <w:sz w:val="20"/>
                <w:szCs w:val="20"/>
                <w:lang w:eastAsia="ja-JP"/>
              </w:rPr>
            </w:pPr>
            <w:r>
              <w:rPr>
                <w:rFonts w:eastAsia="MS PGothic" w:cstheme="minorHAnsi"/>
                <w:sz w:val="20"/>
                <w:szCs w:val="20"/>
                <w:lang w:eastAsia="ja-JP"/>
              </w:rPr>
              <w:t xml:space="preserve"> </w:t>
            </w:r>
            <w:r w:rsidR="006D0778" w:rsidRPr="006D0778">
              <w:rPr>
                <w:rFonts w:eastAsia="MS PGothic" w:cstheme="minorHAnsi"/>
                <w:sz w:val="20"/>
                <w:szCs w:val="20"/>
                <w:lang w:eastAsia="ja-JP"/>
              </w:rPr>
              <w:t>Акцизе</w:t>
            </w:r>
          </w:p>
        </w:tc>
        <w:tc>
          <w:tcPr>
            <w:tcW w:w="585" w:type="pct"/>
            <w:shd w:val="clear" w:color="auto" w:fill="auto"/>
            <w:hideMark/>
          </w:tcPr>
          <w:p w14:paraId="046A4069"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395,0</w:t>
            </w:r>
          </w:p>
        </w:tc>
        <w:tc>
          <w:tcPr>
            <w:tcW w:w="584" w:type="pct"/>
          </w:tcPr>
          <w:p w14:paraId="7B35BAEE"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400,0</w:t>
            </w:r>
          </w:p>
        </w:tc>
        <w:tc>
          <w:tcPr>
            <w:tcW w:w="584" w:type="pct"/>
          </w:tcPr>
          <w:p w14:paraId="575144E7"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407,0</w:t>
            </w:r>
          </w:p>
        </w:tc>
        <w:tc>
          <w:tcPr>
            <w:tcW w:w="747" w:type="pct"/>
            <w:shd w:val="clear" w:color="auto" w:fill="auto"/>
            <w:hideMark/>
          </w:tcPr>
          <w:p w14:paraId="63CD4947"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12,0</w:t>
            </w:r>
          </w:p>
        </w:tc>
        <w:tc>
          <w:tcPr>
            <w:tcW w:w="585" w:type="pct"/>
            <w:shd w:val="clear" w:color="auto" w:fill="auto"/>
            <w:hideMark/>
          </w:tcPr>
          <w:p w14:paraId="55811031"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3,0</w:t>
            </w:r>
          </w:p>
        </w:tc>
        <w:tc>
          <w:tcPr>
            <w:tcW w:w="575" w:type="pct"/>
            <w:shd w:val="clear" w:color="auto" w:fill="auto"/>
            <w:noWrap/>
            <w:hideMark/>
          </w:tcPr>
          <w:p w14:paraId="53571B1D"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4,2</w:t>
            </w:r>
          </w:p>
        </w:tc>
      </w:tr>
      <w:tr w:rsidR="006D0778" w:rsidRPr="006D0778" w14:paraId="798B2A65" w14:textId="77777777" w:rsidTr="00D2109C">
        <w:trPr>
          <w:trHeight w:val="224"/>
          <w:jc w:val="center"/>
        </w:trPr>
        <w:tc>
          <w:tcPr>
            <w:tcW w:w="1340" w:type="pct"/>
            <w:shd w:val="clear" w:color="auto" w:fill="auto"/>
            <w:noWrap/>
            <w:vAlign w:val="center"/>
            <w:hideMark/>
          </w:tcPr>
          <w:p w14:paraId="643B8D77" w14:textId="28D690B0" w:rsidR="006D0778" w:rsidRPr="006D0778" w:rsidRDefault="00CF6476" w:rsidP="006D0778">
            <w:pPr>
              <w:spacing w:after="0"/>
              <w:jc w:val="left"/>
              <w:rPr>
                <w:rFonts w:eastAsia="MS PGothic" w:cstheme="minorHAnsi"/>
                <w:sz w:val="20"/>
                <w:szCs w:val="20"/>
                <w:lang w:eastAsia="ja-JP"/>
              </w:rPr>
            </w:pPr>
            <w:r>
              <w:rPr>
                <w:rFonts w:eastAsia="MS PGothic" w:cstheme="minorHAnsi"/>
                <w:sz w:val="20"/>
                <w:szCs w:val="20"/>
                <w:lang w:eastAsia="ja-JP"/>
              </w:rPr>
              <w:t xml:space="preserve"> </w:t>
            </w:r>
            <w:r w:rsidR="006D0778" w:rsidRPr="006D0778">
              <w:rPr>
                <w:rFonts w:eastAsia="MS PGothic" w:cstheme="minorHAnsi"/>
                <w:sz w:val="20"/>
                <w:szCs w:val="20"/>
                <w:lang w:eastAsia="ja-JP"/>
              </w:rPr>
              <w:t>Царине</w:t>
            </w:r>
          </w:p>
        </w:tc>
        <w:tc>
          <w:tcPr>
            <w:tcW w:w="585" w:type="pct"/>
            <w:shd w:val="clear" w:color="auto" w:fill="auto"/>
            <w:hideMark/>
          </w:tcPr>
          <w:p w14:paraId="5BAEE8BE"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88,0</w:t>
            </w:r>
          </w:p>
        </w:tc>
        <w:tc>
          <w:tcPr>
            <w:tcW w:w="584" w:type="pct"/>
          </w:tcPr>
          <w:p w14:paraId="6023AB0C"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89,0</w:t>
            </w:r>
          </w:p>
        </w:tc>
        <w:tc>
          <w:tcPr>
            <w:tcW w:w="584" w:type="pct"/>
          </w:tcPr>
          <w:p w14:paraId="5365C606"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88,0</w:t>
            </w:r>
          </w:p>
        </w:tc>
        <w:tc>
          <w:tcPr>
            <w:tcW w:w="747" w:type="pct"/>
            <w:shd w:val="clear" w:color="auto" w:fill="auto"/>
            <w:hideMark/>
          </w:tcPr>
          <w:p w14:paraId="026AA5C8"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0,0</w:t>
            </w:r>
          </w:p>
        </w:tc>
        <w:tc>
          <w:tcPr>
            <w:tcW w:w="585" w:type="pct"/>
            <w:shd w:val="clear" w:color="auto" w:fill="auto"/>
            <w:hideMark/>
          </w:tcPr>
          <w:p w14:paraId="506695B7"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0,0</w:t>
            </w:r>
          </w:p>
        </w:tc>
        <w:tc>
          <w:tcPr>
            <w:tcW w:w="575" w:type="pct"/>
            <w:shd w:val="clear" w:color="auto" w:fill="auto"/>
            <w:noWrap/>
            <w:hideMark/>
          </w:tcPr>
          <w:p w14:paraId="0A8A5FD5"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0,9</w:t>
            </w:r>
          </w:p>
        </w:tc>
      </w:tr>
      <w:tr w:rsidR="006D0778" w:rsidRPr="006D0778" w14:paraId="1D49D8E9" w14:textId="77777777" w:rsidTr="00D2109C">
        <w:trPr>
          <w:trHeight w:val="224"/>
          <w:jc w:val="center"/>
        </w:trPr>
        <w:tc>
          <w:tcPr>
            <w:tcW w:w="1340" w:type="pct"/>
            <w:shd w:val="clear" w:color="auto" w:fill="auto"/>
            <w:noWrap/>
            <w:vAlign w:val="center"/>
            <w:hideMark/>
          </w:tcPr>
          <w:p w14:paraId="6AE6517C" w14:textId="30D5E96D" w:rsidR="006D0778" w:rsidRPr="006D0778" w:rsidRDefault="00CF6476" w:rsidP="006D0778">
            <w:pPr>
              <w:spacing w:after="0"/>
              <w:jc w:val="left"/>
              <w:rPr>
                <w:rFonts w:eastAsia="MS PGothic" w:cstheme="minorHAnsi"/>
                <w:sz w:val="20"/>
                <w:szCs w:val="20"/>
                <w:lang w:eastAsia="ja-JP"/>
              </w:rPr>
            </w:pPr>
            <w:r>
              <w:rPr>
                <w:rFonts w:eastAsia="MS PGothic" w:cstheme="minorHAnsi"/>
                <w:sz w:val="20"/>
                <w:szCs w:val="20"/>
                <w:lang w:eastAsia="ja-JP"/>
              </w:rPr>
              <w:t xml:space="preserve"> </w:t>
            </w:r>
            <w:r w:rsidR="006D0778" w:rsidRPr="006D0778">
              <w:rPr>
                <w:rFonts w:eastAsia="MS PGothic" w:cstheme="minorHAnsi"/>
                <w:sz w:val="20"/>
                <w:szCs w:val="20"/>
                <w:lang w:eastAsia="ja-JP"/>
              </w:rPr>
              <w:t>Остали порески приходи</w:t>
            </w:r>
          </w:p>
        </w:tc>
        <w:tc>
          <w:tcPr>
            <w:tcW w:w="585" w:type="pct"/>
            <w:shd w:val="clear" w:color="auto" w:fill="auto"/>
            <w:hideMark/>
          </w:tcPr>
          <w:p w14:paraId="20D0F85C"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114,0</w:t>
            </w:r>
          </w:p>
        </w:tc>
        <w:tc>
          <w:tcPr>
            <w:tcW w:w="584" w:type="pct"/>
          </w:tcPr>
          <w:p w14:paraId="0BD4B412"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114,5</w:t>
            </w:r>
          </w:p>
        </w:tc>
        <w:tc>
          <w:tcPr>
            <w:tcW w:w="584" w:type="pct"/>
          </w:tcPr>
          <w:p w14:paraId="7A0CD76C"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115,2</w:t>
            </w:r>
          </w:p>
        </w:tc>
        <w:tc>
          <w:tcPr>
            <w:tcW w:w="747" w:type="pct"/>
            <w:shd w:val="clear" w:color="auto" w:fill="auto"/>
            <w:hideMark/>
          </w:tcPr>
          <w:p w14:paraId="59B155F9"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1,2</w:t>
            </w:r>
          </w:p>
        </w:tc>
        <w:tc>
          <w:tcPr>
            <w:tcW w:w="585" w:type="pct"/>
            <w:shd w:val="clear" w:color="auto" w:fill="auto"/>
            <w:hideMark/>
          </w:tcPr>
          <w:p w14:paraId="033C2886"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1,1</w:t>
            </w:r>
          </w:p>
        </w:tc>
        <w:tc>
          <w:tcPr>
            <w:tcW w:w="575" w:type="pct"/>
            <w:shd w:val="clear" w:color="auto" w:fill="auto"/>
            <w:noWrap/>
            <w:hideMark/>
          </w:tcPr>
          <w:p w14:paraId="35EB41D8"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1,2</w:t>
            </w:r>
          </w:p>
        </w:tc>
      </w:tr>
      <w:tr w:rsidR="006D0778" w:rsidRPr="006D0778" w14:paraId="7ABBA933" w14:textId="77777777" w:rsidTr="00D2109C">
        <w:trPr>
          <w:trHeight w:val="224"/>
          <w:jc w:val="center"/>
        </w:trPr>
        <w:tc>
          <w:tcPr>
            <w:tcW w:w="1340" w:type="pct"/>
            <w:shd w:val="clear" w:color="auto" w:fill="auto"/>
            <w:noWrap/>
            <w:vAlign w:val="center"/>
            <w:hideMark/>
          </w:tcPr>
          <w:p w14:paraId="35131A2B" w14:textId="6562C197" w:rsidR="006D0778" w:rsidRPr="006D0778" w:rsidRDefault="00CF6476" w:rsidP="006D0778">
            <w:pPr>
              <w:spacing w:after="0"/>
              <w:jc w:val="left"/>
              <w:rPr>
                <w:rFonts w:eastAsia="MS PGothic" w:cstheme="minorHAnsi"/>
                <w:sz w:val="20"/>
                <w:szCs w:val="20"/>
                <w:lang w:eastAsia="ja-JP"/>
              </w:rPr>
            </w:pPr>
            <w:r>
              <w:rPr>
                <w:rFonts w:eastAsia="MS PGothic" w:cstheme="minorHAnsi"/>
                <w:sz w:val="20"/>
                <w:szCs w:val="20"/>
                <w:lang w:eastAsia="ja-JP"/>
              </w:rPr>
              <w:t xml:space="preserve"> </w:t>
            </w:r>
            <w:r w:rsidR="006D0778" w:rsidRPr="006D0778">
              <w:rPr>
                <w:rFonts w:eastAsia="MS PGothic" w:cstheme="minorHAnsi"/>
                <w:sz w:val="20"/>
                <w:szCs w:val="20"/>
                <w:lang w:eastAsia="ja-JP"/>
              </w:rPr>
              <w:t>Доприноси</w:t>
            </w:r>
          </w:p>
        </w:tc>
        <w:tc>
          <w:tcPr>
            <w:tcW w:w="585" w:type="pct"/>
            <w:shd w:val="clear" w:color="auto" w:fill="auto"/>
            <w:hideMark/>
          </w:tcPr>
          <w:p w14:paraId="38DFADF3"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1.190,2</w:t>
            </w:r>
          </w:p>
        </w:tc>
        <w:tc>
          <w:tcPr>
            <w:tcW w:w="584" w:type="pct"/>
          </w:tcPr>
          <w:p w14:paraId="7821244E"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1.200,0</w:t>
            </w:r>
          </w:p>
        </w:tc>
        <w:tc>
          <w:tcPr>
            <w:tcW w:w="584" w:type="pct"/>
          </w:tcPr>
          <w:p w14:paraId="2A7ACD28"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1.220,1</w:t>
            </w:r>
          </w:p>
        </w:tc>
        <w:tc>
          <w:tcPr>
            <w:tcW w:w="747" w:type="pct"/>
            <w:shd w:val="clear" w:color="auto" w:fill="auto"/>
            <w:hideMark/>
          </w:tcPr>
          <w:p w14:paraId="441D4515"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30,0</w:t>
            </w:r>
          </w:p>
        </w:tc>
        <w:tc>
          <w:tcPr>
            <w:tcW w:w="585" w:type="pct"/>
            <w:shd w:val="clear" w:color="auto" w:fill="auto"/>
            <w:hideMark/>
          </w:tcPr>
          <w:p w14:paraId="31F01065"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2,5</w:t>
            </w:r>
          </w:p>
        </w:tc>
        <w:tc>
          <w:tcPr>
            <w:tcW w:w="575" w:type="pct"/>
            <w:shd w:val="clear" w:color="auto" w:fill="auto"/>
            <w:noWrap/>
            <w:hideMark/>
          </w:tcPr>
          <w:p w14:paraId="61B1BD65"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12,7</w:t>
            </w:r>
          </w:p>
        </w:tc>
      </w:tr>
      <w:tr w:rsidR="006D0778" w:rsidRPr="006D0778" w14:paraId="14198223" w14:textId="77777777" w:rsidTr="00D2109C">
        <w:trPr>
          <w:trHeight w:val="224"/>
          <w:jc w:val="center"/>
        </w:trPr>
        <w:tc>
          <w:tcPr>
            <w:tcW w:w="1340" w:type="pct"/>
            <w:shd w:val="clear" w:color="auto" w:fill="auto"/>
            <w:noWrap/>
            <w:vAlign w:val="center"/>
            <w:hideMark/>
          </w:tcPr>
          <w:p w14:paraId="0C56FDBF" w14:textId="77777777" w:rsidR="006D0778" w:rsidRPr="006D0778" w:rsidRDefault="006D0778" w:rsidP="006D0778">
            <w:pPr>
              <w:spacing w:after="0"/>
              <w:jc w:val="left"/>
              <w:rPr>
                <w:rFonts w:eastAsia="MS PGothic" w:cstheme="minorHAnsi"/>
                <w:sz w:val="20"/>
                <w:szCs w:val="20"/>
                <w:lang w:eastAsia="ja-JP"/>
              </w:rPr>
            </w:pPr>
            <w:r w:rsidRPr="006D0778">
              <w:rPr>
                <w:rFonts w:eastAsia="MS PGothic" w:cstheme="minorHAnsi"/>
                <w:sz w:val="20"/>
                <w:szCs w:val="20"/>
                <w:lang w:eastAsia="ja-JP"/>
              </w:rPr>
              <w:t xml:space="preserve"> Непорески приходи</w:t>
            </w:r>
          </w:p>
        </w:tc>
        <w:tc>
          <w:tcPr>
            <w:tcW w:w="585" w:type="pct"/>
            <w:shd w:val="clear" w:color="auto" w:fill="auto"/>
            <w:hideMark/>
          </w:tcPr>
          <w:p w14:paraId="00513160"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386,5</w:t>
            </w:r>
          </w:p>
        </w:tc>
        <w:tc>
          <w:tcPr>
            <w:tcW w:w="584" w:type="pct"/>
          </w:tcPr>
          <w:p w14:paraId="45DFF110"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391,8</w:t>
            </w:r>
          </w:p>
        </w:tc>
        <w:tc>
          <w:tcPr>
            <w:tcW w:w="584" w:type="pct"/>
          </w:tcPr>
          <w:p w14:paraId="3B2FCDB4"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407,0</w:t>
            </w:r>
          </w:p>
        </w:tc>
        <w:tc>
          <w:tcPr>
            <w:tcW w:w="747" w:type="pct"/>
            <w:shd w:val="clear" w:color="auto" w:fill="auto"/>
            <w:hideMark/>
          </w:tcPr>
          <w:p w14:paraId="33F340EB"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20,5</w:t>
            </w:r>
          </w:p>
        </w:tc>
        <w:tc>
          <w:tcPr>
            <w:tcW w:w="585" w:type="pct"/>
            <w:shd w:val="clear" w:color="auto" w:fill="auto"/>
            <w:hideMark/>
          </w:tcPr>
          <w:p w14:paraId="160E38A3"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5,3</w:t>
            </w:r>
          </w:p>
        </w:tc>
        <w:tc>
          <w:tcPr>
            <w:tcW w:w="575" w:type="pct"/>
            <w:shd w:val="clear" w:color="auto" w:fill="auto"/>
            <w:noWrap/>
            <w:hideMark/>
          </w:tcPr>
          <w:p w14:paraId="3A9F80B5"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4,2</w:t>
            </w:r>
          </w:p>
        </w:tc>
      </w:tr>
      <w:tr w:rsidR="006D0778" w:rsidRPr="006D0778" w14:paraId="09718C11" w14:textId="77777777" w:rsidTr="00D2109C">
        <w:trPr>
          <w:trHeight w:val="224"/>
          <w:jc w:val="center"/>
        </w:trPr>
        <w:tc>
          <w:tcPr>
            <w:tcW w:w="1340" w:type="pct"/>
            <w:shd w:val="clear" w:color="auto" w:fill="auto"/>
            <w:noWrap/>
            <w:vAlign w:val="center"/>
            <w:hideMark/>
          </w:tcPr>
          <w:p w14:paraId="31A23F26" w14:textId="77777777" w:rsidR="006D0778" w:rsidRPr="006D0778" w:rsidRDefault="006D0778" w:rsidP="006D0778">
            <w:pPr>
              <w:spacing w:after="0"/>
              <w:jc w:val="left"/>
              <w:rPr>
                <w:rFonts w:eastAsia="MS PGothic" w:cstheme="minorHAnsi"/>
                <w:sz w:val="20"/>
                <w:szCs w:val="20"/>
                <w:lang w:eastAsia="ja-JP"/>
              </w:rPr>
            </w:pPr>
            <w:r w:rsidRPr="006D0778">
              <w:rPr>
                <w:rFonts w:eastAsia="MS PGothic" w:cstheme="minorHAnsi"/>
                <w:sz w:val="20"/>
                <w:szCs w:val="20"/>
                <w:lang w:eastAsia="ja-JP"/>
              </w:rPr>
              <w:t xml:space="preserve"> Донације</w:t>
            </w:r>
          </w:p>
        </w:tc>
        <w:tc>
          <w:tcPr>
            <w:tcW w:w="585" w:type="pct"/>
            <w:shd w:val="clear" w:color="auto" w:fill="auto"/>
            <w:hideMark/>
          </w:tcPr>
          <w:p w14:paraId="385D64C1"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39,1</w:t>
            </w:r>
          </w:p>
        </w:tc>
        <w:tc>
          <w:tcPr>
            <w:tcW w:w="584" w:type="pct"/>
          </w:tcPr>
          <w:p w14:paraId="71EF12AE"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39,1</w:t>
            </w:r>
          </w:p>
        </w:tc>
        <w:tc>
          <w:tcPr>
            <w:tcW w:w="584" w:type="pct"/>
          </w:tcPr>
          <w:p w14:paraId="7BACA3DB"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36,3</w:t>
            </w:r>
          </w:p>
        </w:tc>
        <w:tc>
          <w:tcPr>
            <w:tcW w:w="747" w:type="pct"/>
            <w:shd w:val="clear" w:color="auto" w:fill="auto"/>
            <w:hideMark/>
          </w:tcPr>
          <w:p w14:paraId="2916F222"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-2,8</w:t>
            </w:r>
          </w:p>
        </w:tc>
        <w:tc>
          <w:tcPr>
            <w:tcW w:w="585" w:type="pct"/>
            <w:shd w:val="clear" w:color="auto" w:fill="auto"/>
            <w:hideMark/>
          </w:tcPr>
          <w:p w14:paraId="7053D9A4"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-7,2</w:t>
            </w:r>
          </w:p>
        </w:tc>
        <w:tc>
          <w:tcPr>
            <w:tcW w:w="575" w:type="pct"/>
            <w:shd w:val="clear" w:color="auto" w:fill="auto"/>
            <w:noWrap/>
            <w:hideMark/>
          </w:tcPr>
          <w:p w14:paraId="5BD159DE"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0,4</w:t>
            </w:r>
          </w:p>
        </w:tc>
      </w:tr>
      <w:tr w:rsidR="006D0778" w:rsidRPr="006D0778" w14:paraId="1BA35BAC" w14:textId="77777777" w:rsidTr="00D2109C">
        <w:trPr>
          <w:trHeight w:val="224"/>
          <w:jc w:val="center"/>
        </w:trPr>
        <w:tc>
          <w:tcPr>
            <w:tcW w:w="1340" w:type="pct"/>
            <w:shd w:val="clear" w:color="auto" w:fill="E7E6E6" w:themeFill="background2"/>
            <w:noWrap/>
            <w:vAlign w:val="center"/>
            <w:hideMark/>
          </w:tcPr>
          <w:p w14:paraId="641729A9" w14:textId="77777777" w:rsidR="006D0778" w:rsidRPr="006D0778" w:rsidRDefault="006D0778" w:rsidP="006D0778">
            <w:pPr>
              <w:spacing w:after="0"/>
              <w:jc w:val="left"/>
              <w:rPr>
                <w:rFonts w:cstheme="minorHAnsi"/>
                <w:sz w:val="20"/>
                <w:szCs w:val="20"/>
              </w:rPr>
            </w:pPr>
            <w:r w:rsidRPr="006D0778">
              <w:rPr>
                <w:rFonts w:eastAsia="MS PGothic" w:cstheme="minorHAnsi"/>
                <w:sz w:val="20"/>
                <w:szCs w:val="20"/>
                <w:lang w:eastAsia="ja-JP"/>
              </w:rPr>
              <w:t>ЈАВНИ РАСХОДИ</w:t>
            </w:r>
          </w:p>
        </w:tc>
        <w:tc>
          <w:tcPr>
            <w:tcW w:w="585" w:type="pct"/>
            <w:shd w:val="clear" w:color="auto" w:fill="E7E6E6" w:themeFill="background2"/>
            <w:hideMark/>
          </w:tcPr>
          <w:p w14:paraId="67A62F27"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3.953,1</w:t>
            </w:r>
          </w:p>
        </w:tc>
        <w:tc>
          <w:tcPr>
            <w:tcW w:w="584" w:type="pct"/>
            <w:shd w:val="clear" w:color="auto" w:fill="E7E6E6" w:themeFill="background2"/>
          </w:tcPr>
          <w:p w14:paraId="6D6BE78C"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4.020,0</w:t>
            </w:r>
          </w:p>
        </w:tc>
        <w:tc>
          <w:tcPr>
            <w:tcW w:w="584" w:type="pct"/>
            <w:shd w:val="clear" w:color="auto" w:fill="E7E6E6" w:themeFill="background2"/>
          </w:tcPr>
          <w:p w14:paraId="5F9ED3C7"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4.185,2</w:t>
            </w:r>
          </w:p>
        </w:tc>
        <w:tc>
          <w:tcPr>
            <w:tcW w:w="747" w:type="pct"/>
            <w:shd w:val="clear" w:color="auto" w:fill="E7E6E6" w:themeFill="background2"/>
            <w:hideMark/>
          </w:tcPr>
          <w:p w14:paraId="6B2F651D"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232,1</w:t>
            </w:r>
          </w:p>
        </w:tc>
        <w:tc>
          <w:tcPr>
            <w:tcW w:w="585" w:type="pct"/>
            <w:shd w:val="clear" w:color="auto" w:fill="E7E6E6" w:themeFill="background2"/>
            <w:hideMark/>
          </w:tcPr>
          <w:p w14:paraId="1446F1FD"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5,9</w:t>
            </w:r>
          </w:p>
        </w:tc>
        <w:tc>
          <w:tcPr>
            <w:tcW w:w="575" w:type="pct"/>
            <w:shd w:val="clear" w:color="auto" w:fill="E7E6E6" w:themeFill="background2"/>
            <w:noWrap/>
            <w:hideMark/>
          </w:tcPr>
          <w:p w14:paraId="00BE327B"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43,6</w:t>
            </w:r>
          </w:p>
        </w:tc>
      </w:tr>
      <w:tr w:rsidR="006D0778" w:rsidRPr="006D0778" w14:paraId="651D289D" w14:textId="77777777" w:rsidTr="00D2109C">
        <w:trPr>
          <w:trHeight w:val="224"/>
          <w:jc w:val="center"/>
        </w:trPr>
        <w:tc>
          <w:tcPr>
            <w:tcW w:w="1340" w:type="pct"/>
            <w:shd w:val="clear" w:color="auto" w:fill="auto"/>
            <w:noWrap/>
            <w:vAlign w:val="center"/>
            <w:hideMark/>
          </w:tcPr>
          <w:p w14:paraId="650097CC" w14:textId="77777777" w:rsidR="006D0778" w:rsidRPr="006D0778" w:rsidRDefault="006D0778" w:rsidP="006D0778">
            <w:pPr>
              <w:spacing w:after="0"/>
              <w:jc w:val="left"/>
              <w:rPr>
                <w:rFonts w:eastAsia="MS PGothic" w:cstheme="minorHAnsi"/>
                <w:sz w:val="20"/>
                <w:szCs w:val="20"/>
                <w:lang w:eastAsia="ja-JP"/>
              </w:rPr>
            </w:pPr>
            <w:r w:rsidRPr="006D0778">
              <w:rPr>
                <w:rFonts w:eastAsia="MS PGothic" w:cstheme="minorHAnsi"/>
                <w:sz w:val="20"/>
                <w:szCs w:val="20"/>
                <w:lang w:eastAsia="ja-JP"/>
              </w:rPr>
              <w:t>Текући расходи</w:t>
            </w:r>
          </w:p>
        </w:tc>
        <w:tc>
          <w:tcPr>
            <w:tcW w:w="585" w:type="pct"/>
            <w:shd w:val="clear" w:color="auto" w:fill="auto"/>
            <w:hideMark/>
          </w:tcPr>
          <w:p w14:paraId="62CC48EF"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3.283,5</w:t>
            </w:r>
          </w:p>
        </w:tc>
        <w:tc>
          <w:tcPr>
            <w:tcW w:w="584" w:type="pct"/>
          </w:tcPr>
          <w:p w14:paraId="5216D67C"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3.318,1</w:t>
            </w:r>
          </w:p>
        </w:tc>
        <w:tc>
          <w:tcPr>
            <w:tcW w:w="584" w:type="pct"/>
          </w:tcPr>
          <w:p w14:paraId="512F2ED5"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3.431,6</w:t>
            </w:r>
          </w:p>
        </w:tc>
        <w:tc>
          <w:tcPr>
            <w:tcW w:w="747" w:type="pct"/>
            <w:shd w:val="clear" w:color="auto" w:fill="auto"/>
            <w:hideMark/>
          </w:tcPr>
          <w:p w14:paraId="1A248EC7"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148,1</w:t>
            </w:r>
          </w:p>
        </w:tc>
        <w:tc>
          <w:tcPr>
            <w:tcW w:w="585" w:type="pct"/>
            <w:shd w:val="clear" w:color="auto" w:fill="auto"/>
            <w:hideMark/>
          </w:tcPr>
          <w:p w14:paraId="07862344"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4,5</w:t>
            </w:r>
          </w:p>
        </w:tc>
        <w:tc>
          <w:tcPr>
            <w:tcW w:w="575" w:type="pct"/>
            <w:shd w:val="clear" w:color="auto" w:fill="auto"/>
            <w:noWrap/>
            <w:hideMark/>
          </w:tcPr>
          <w:p w14:paraId="4003994E"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35,7</w:t>
            </w:r>
          </w:p>
        </w:tc>
      </w:tr>
      <w:tr w:rsidR="006D0778" w:rsidRPr="006D0778" w14:paraId="6253C274" w14:textId="77777777" w:rsidTr="00D2109C">
        <w:trPr>
          <w:trHeight w:val="224"/>
          <w:jc w:val="center"/>
        </w:trPr>
        <w:tc>
          <w:tcPr>
            <w:tcW w:w="1340" w:type="pct"/>
            <w:shd w:val="clear" w:color="auto" w:fill="auto"/>
            <w:noWrap/>
            <w:vAlign w:val="center"/>
            <w:hideMark/>
          </w:tcPr>
          <w:p w14:paraId="2AAC02BA" w14:textId="77777777" w:rsidR="006D0778" w:rsidRPr="006D0778" w:rsidRDefault="006D0778" w:rsidP="006D0778">
            <w:pPr>
              <w:spacing w:after="0"/>
              <w:jc w:val="left"/>
              <w:rPr>
                <w:rFonts w:eastAsia="MS PGothic" w:cstheme="minorHAnsi"/>
                <w:sz w:val="20"/>
                <w:szCs w:val="20"/>
                <w:lang w:eastAsia="ja-JP"/>
              </w:rPr>
            </w:pPr>
            <w:r w:rsidRPr="006D0778">
              <w:rPr>
                <w:rFonts w:eastAsia="MS PGothic" w:cstheme="minorHAnsi"/>
                <w:sz w:val="20"/>
                <w:szCs w:val="20"/>
                <w:lang w:eastAsia="ja-JP"/>
              </w:rPr>
              <w:t xml:space="preserve"> Расходи за запослене</w:t>
            </w:r>
          </w:p>
        </w:tc>
        <w:tc>
          <w:tcPr>
            <w:tcW w:w="585" w:type="pct"/>
            <w:shd w:val="clear" w:color="auto" w:fill="auto"/>
            <w:hideMark/>
          </w:tcPr>
          <w:p w14:paraId="23F15E6E"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890,7</w:t>
            </w:r>
          </w:p>
        </w:tc>
        <w:tc>
          <w:tcPr>
            <w:tcW w:w="584" w:type="pct"/>
          </w:tcPr>
          <w:p w14:paraId="7DC07906"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900,7</w:t>
            </w:r>
          </w:p>
        </w:tc>
        <w:tc>
          <w:tcPr>
            <w:tcW w:w="584" w:type="pct"/>
          </w:tcPr>
          <w:p w14:paraId="5BEFDDEE"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911,3</w:t>
            </w:r>
          </w:p>
        </w:tc>
        <w:tc>
          <w:tcPr>
            <w:tcW w:w="747" w:type="pct"/>
            <w:shd w:val="clear" w:color="auto" w:fill="auto"/>
            <w:hideMark/>
          </w:tcPr>
          <w:p w14:paraId="1C21CBF4"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20,7</w:t>
            </w:r>
          </w:p>
        </w:tc>
        <w:tc>
          <w:tcPr>
            <w:tcW w:w="585" w:type="pct"/>
            <w:shd w:val="clear" w:color="auto" w:fill="auto"/>
            <w:hideMark/>
          </w:tcPr>
          <w:p w14:paraId="579A16F9"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2,3</w:t>
            </w:r>
          </w:p>
        </w:tc>
        <w:tc>
          <w:tcPr>
            <w:tcW w:w="575" w:type="pct"/>
            <w:shd w:val="clear" w:color="auto" w:fill="auto"/>
            <w:noWrap/>
            <w:hideMark/>
          </w:tcPr>
          <w:p w14:paraId="4D70254C"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9,5</w:t>
            </w:r>
          </w:p>
        </w:tc>
      </w:tr>
      <w:tr w:rsidR="006D0778" w:rsidRPr="006D0778" w14:paraId="5BBB2EC4" w14:textId="77777777" w:rsidTr="00D2109C">
        <w:trPr>
          <w:trHeight w:val="224"/>
          <w:jc w:val="center"/>
        </w:trPr>
        <w:tc>
          <w:tcPr>
            <w:tcW w:w="1340" w:type="pct"/>
            <w:shd w:val="clear" w:color="auto" w:fill="auto"/>
            <w:noWrap/>
            <w:vAlign w:val="center"/>
            <w:hideMark/>
          </w:tcPr>
          <w:p w14:paraId="4257C0EB" w14:textId="77777777" w:rsidR="006D0778" w:rsidRPr="006D0778" w:rsidRDefault="006D0778" w:rsidP="006D0778">
            <w:pPr>
              <w:spacing w:after="0"/>
              <w:jc w:val="left"/>
              <w:rPr>
                <w:rFonts w:eastAsia="MS PGothic" w:cstheme="minorHAnsi"/>
                <w:sz w:val="20"/>
                <w:szCs w:val="20"/>
                <w:lang w:eastAsia="ja-JP"/>
              </w:rPr>
            </w:pPr>
            <w:r w:rsidRPr="006D0778">
              <w:rPr>
                <w:rFonts w:eastAsia="MS PGothic" w:cstheme="minorHAnsi"/>
                <w:sz w:val="20"/>
                <w:szCs w:val="20"/>
                <w:lang w:eastAsia="ja-JP"/>
              </w:rPr>
              <w:t xml:space="preserve"> Куповина робе и услуга</w:t>
            </w:r>
          </w:p>
        </w:tc>
        <w:tc>
          <w:tcPr>
            <w:tcW w:w="585" w:type="pct"/>
            <w:shd w:val="clear" w:color="auto" w:fill="auto"/>
            <w:hideMark/>
          </w:tcPr>
          <w:p w14:paraId="3B90DCF9"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672,6</w:t>
            </w:r>
          </w:p>
        </w:tc>
        <w:tc>
          <w:tcPr>
            <w:tcW w:w="584" w:type="pct"/>
          </w:tcPr>
          <w:p w14:paraId="3F7A21FC"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672,6</w:t>
            </w:r>
          </w:p>
        </w:tc>
        <w:tc>
          <w:tcPr>
            <w:tcW w:w="584" w:type="pct"/>
          </w:tcPr>
          <w:p w14:paraId="4B769F1B"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706,7</w:t>
            </w:r>
          </w:p>
        </w:tc>
        <w:tc>
          <w:tcPr>
            <w:tcW w:w="747" w:type="pct"/>
            <w:shd w:val="clear" w:color="auto" w:fill="auto"/>
            <w:hideMark/>
          </w:tcPr>
          <w:p w14:paraId="20C2B17E"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34,1</w:t>
            </w:r>
          </w:p>
        </w:tc>
        <w:tc>
          <w:tcPr>
            <w:tcW w:w="585" w:type="pct"/>
            <w:shd w:val="clear" w:color="auto" w:fill="auto"/>
            <w:hideMark/>
          </w:tcPr>
          <w:p w14:paraId="681FEAB7"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5,1</w:t>
            </w:r>
          </w:p>
        </w:tc>
        <w:tc>
          <w:tcPr>
            <w:tcW w:w="575" w:type="pct"/>
            <w:shd w:val="clear" w:color="auto" w:fill="auto"/>
            <w:noWrap/>
            <w:hideMark/>
          </w:tcPr>
          <w:p w14:paraId="2B7C544F"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7,4</w:t>
            </w:r>
          </w:p>
        </w:tc>
      </w:tr>
      <w:tr w:rsidR="006D0778" w:rsidRPr="006D0778" w14:paraId="392420DB" w14:textId="77777777" w:rsidTr="00D2109C">
        <w:trPr>
          <w:trHeight w:val="224"/>
          <w:jc w:val="center"/>
        </w:trPr>
        <w:tc>
          <w:tcPr>
            <w:tcW w:w="1340" w:type="pct"/>
            <w:shd w:val="clear" w:color="auto" w:fill="auto"/>
            <w:noWrap/>
            <w:vAlign w:val="center"/>
            <w:hideMark/>
          </w:tcPr>
          <w:p w14:paraId="36FE0DC3" w14:textId="77777777" w:rsidR="006D0778" w:rsidRPr="006D0778" w:rsidRDefault="006D0778" w:rsidP="006D0778">
            <w:pPr>
              <w:spacing w:after="0"/>
              <w:jc w:val="left"/>
              <w:rPr>
                <w:rFonts w:eastAsia="MS PGothic" w:cstheme="minorHAnsi"/>
                <w:sz w:val="20"/>
                <w:szCs w:val="20"/>
                <w:lang w:eastAsia="ja-JP"/>
              </w:rPr>
            </w:pPr>
            <w:r w:rsidRPr="006D0778">
              <w:rPr>
                <w:rFonts w:eastAsia="MS PGothic" w:cstheme="minorHAnsi"/>
                <w:sz w:val="20"/>
                <w:szCs w:val="20"/>
                <w:lang w:eastAsia="ja-JP"/>
              </w:rPr>
              <w:t xml:space="preserve"> Отплата камата</w:t>
            </w:r>
          </w:p>
        </w:tc>
        <w:tc>
          <w:tcPr>
            <w:tcW w:w="585" w:type="pct"/>
            <w:shd w:val="clear" w:color="auto" w:fill="auto"/>
            <w:hideMark/>
          </w:tcPr>
          <w:p w14:paraId="4B62D5A5"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185,9</w:t>
            </w:r>
          </w:p>
        </w:tc>
        <w:tc>
          <w:tcPr>
            <w:tcW w:w="584" w:type="pct"/>
          </w:tcPr>
          <w:p w14:paraId="29AAF2AF"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186,0</w:t>
            </w:r>
          </w:p>
        </w:tc>
        <w:tc>
          <w:tcPr>
            <w:tcW w:w="584" w:type="pct"/>
          </w:tcPr>
          <w:p w14:paraId="1E2CF1F4"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187,6</w:t>
            </w:r>
          </w:p>
        </w:tc>
        <w:tc>
          <w:tcPr>
            <w:tcW w:w="747" w:type="pct"/>
            <w:shd w:val="clear" w:color="auto" w:fill="auto"/>
            <w:hideMark/>
          </w:tcPr>
          <w:p w14:paraId="3D4AD0F8"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1,7</w:t>
            </w:r>
          </w:p>
        </w:tc>
        <w:tc>
          <w:tcPr>
            <w:tcW w:w="585" w:type="pct"/>
            <w:shd w:val="clear" w:color="auto" w:fill="auto"/>
            <w:hideMark/>
          </w:tcPr>
          <w:p w14:paraId="7A3F7DD3"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0,9</w:t>
            </w:r>
          </w:p>
        </w:tc>
        <w:tc>
          <w:tcPr>
            <w:tcW w:w="575" w:type="pct"/>
            <w:shd w:val="clear" w:color="auto" w:fill="auto"/>
            <w:noWrap/>
            <w:hideMark/>
          </w:tcPr>
          <w:p w14:paraId="70CB0FA5"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2,0</w:t>
            </w:r>
          </w:p>
        </w:tc>
      </w:tr>
      <w:tr w:rsidR="006D0778" w:rsidRPr="006D0778" w14:paraId="404BD6C6" w14:textId="77777777" w:rsidTr="00D2109C">
        <w:trPr>
          <w:trHeight w:val="224"/>
          <w:jc w:val="center"/>
        </w:trPr>
        <w:tc>
          <w:tcPr>
            <w:tcW w:w="1340" w:type="pct"/>
            <w:shd w:val="clear" w:color="auto" w:fill="auto"/>
            <w:noWrap/>
            <w:vAlign w:val="center"/>
            <w:hideMark/>
          </w:tcPr>
          <w:p w14:paraId="3A0D4B66" w14:textId="77777777" w:rsidR="006D0778" w:rsidRPr="006D0778" w:rsidRDefault="006D0778" w:rsidP="006D0778">
            <w:pPr>
              <w:spacing w:after="0"/>
              <w:jc w:val="left"/>
              <w:rPr>
                <w:rFonts w:eastAsia="MS PGothic" w:cstheme="minorHAnsi"/>
                <w:sz w:val="20"/>
                <w:szCs w:val="20"/>
                <w:lang w:eastAsia="ja-JP"/>
              </w:rPr>
            </w:pPr>
            <w:r w:rsidRPr="006D0778">
              <w:rPr>
                <w:rFonts w:eastAsia="MS PGothic" w:cstheme="minorHAnsi"/>
                <w:sz w:val="20"/>
                <w:szCs w:val="20"/>
                <w:lang w:eastAsia="ja-JP"/>
              </w:rPr>
              <w:t xml:space="preserve"> Субвенције</w:t>
            </w:r>
          </w:p>
        </w:tc>
        <w:tc>
          <w:tcPr>
            <w:tcW w:w="585" w:type="pct"/>
            <w:shd w:val="clear" w:color="auto" w:fill="auto"/>
            <w:hideMark/>
          </w:tcPr>
          <w:p w14:paraId="2B1259BA"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209,9</w:t>
            </w:r>
          </w:p>
        </w:tc>
        <w:tc>
          <w:tcPr>
            <w:tcW w:w="584" w:type="pct"/>
          </w:tcPr>
          <w:p w14:paraId="7A090DF5"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210,0</w:t>
            </w:r>
          </w:p>
        </w:tc>
        <w:tc>
          <w:tcPr>
            <w:tcW w:w="584" w:type="pct"/>
          </w:tcPr>
          <w:p w14:paraId="48696498"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243,6</w:t>
            </w:r>
          </w:p>
        </w:tc>
        <w:tc>
          <w:tcPr>
            <w:tcW w:w="747" w:type="pct"/>
            <w:shd w:val="clear" w:color="auto" w:fill="auto"/>
            <w:hideMark/>
          </w:tcPr>
          <w:p w14:paraId="0E44E6FA"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33,7</w:t>
            </w:r>
          </w:p>
        </w:tc>
        <w:tc>
          <w:tcPr>
            <w:tcW w:w="585" w:type="pct"/>
            <w:shd w:val="clear" w:color="auto" w:fill="auto"/>
            <w:hideMark/>
          </w:tcPr>
          <w:p w14:paraId="045DAA70"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16,1</w:t>
            </w:r>
          </w:p>
        </w:tc>
        <w:tc>
          <w:tcPr>
            <w:tcW w:w="575" w:type="pct"/>
            <w:shd w:val="clear" w:color="auto" w:fill="auto"/>
            <w:noWrap/>
            <w:hideMark/>
          </w:tcPr>
          <w:p w14:paraId="18604536"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2,5</w:t>
            </w:r>
          </w:p>
        </w:tc>
      </w:tr>
      <w:tr w:rsidR="006D0778" w:rsidRPr="006D0778" w14:paraId="13F5DB72" w14:textId="77777777" w:rsidTr="00D2109C">
        <w:trPr>
          <w:trHeight w:val="224"/>
          <w:jc w:val="center"/>
        </w:trPr>
        <w:tc>
          <w:tcPr>
            <w:tcW w:w="1340" w:type="pct"/>
            <w:shd w:val="clear" w:color="auto" w:fill="auto"/>
            <w:noWrap/>
            <w:vAlign w:val="center"/>
            <w:hideMark/>
          </w:tcPr>
          <w:p w14:paraId="387B3F93" w14:textId="77777777" w:rsidR="006D0778" w:rsidRPr="006D0778" w:rsidRDefault="006D0778" w:rsidP="006D0778">
            <w:pPr>
              <w:spacing w:after="0"/>
              <w:jc w:val="left"/>
              <w:rPr>
                <w:rFonts w:eastAsia="MS PGothic" w:cstheme="minorHAnsi"/>
                <w:sz w:val="20"/>
                <w:szCs w:val="20"/>
                <w:lang w:eastAsia="ja-JP"/>
              </w:rPr>
            </w:pPr>
            <w:r w:rsidRPr="006D0778">
              <w:rPr>
                <w:rFonts w:eastAsia="MS PGothic" w:cstheme="minorHAnsi"/>
                <w:sz w:val="20"/>
                <w:szCs w:val="20"/>
                <w:lang w:eastAsia="ja-JP"/>
              </w:rPr>
              <w:t xml:space="preserve"> Социјална помоћ и трансфери</w:t>
            </w:r>
          </w:p>
        </w:tc>
        <w:tc>
          <w:tcPr>
            <w:tcW w:w="585" w:type="pct"/>
            <w:shd w:val="clear" w:color="auto" w:fill="auto"/>
            <w:hideMark/>
          </w:tcPr>
          <w:p w14:paraId="6B42B57A"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1.212,5</w:t>
            </w:r>
          </w:p>
        </w:tc>
        <w:tc>
          <w:tcPr>
            <w:tcW w:w="584" w:type="pct"/>
          </w:tcPr>
          <w:p w14:paraId="793909AB"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1.234,7</w:t>
            </w:r>
          </w:p>
        </w:tc>
        <w:tc>
          <w:tcPr>
            <w:tcW w:w="584" w:type="pct"/>
          </w:tcPr>
          <w:p w14:paraId="1C34EB2C"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1.250,0</w:t>
            </w:r>
          </w:p>
        </w:tc>
        <w:tc>
          <w:tcPr>
            <w:tcW w:w="747" w:type="pct"/>
            <w:shd w:val="clear" w:color="auto" w:fill="auto"/>
            <w:hideMark/>
          </w:tcPr>
          <w:p w14:paraId="352EA8D0"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37,5</w:t>
            </w:r>
          </w:p>
        </w:tc>
        <w:tc>
          <w:tcPr>
            <w:tcW w:w="585" w:type="pct"/>
            <w:shd w:val="clear" w:color="auto" w:fill="auto"/>
            <w:hideMark/>
          </w:tcPr>
          <w:p w14:paraId="5A0F0562"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3,1</w:t>
            </w:r>
          </w:p>
        </w:tc>
        <w:tc>
          <w:tcPr>
            <w:tcW w:w="575" w:type="pct"/>
            <w:shd w:val="clear" w:color="auto" w:fill="auto"/>
            <w:noWrap/>
            <w:hideMark/>
          </w:tcPr>
          <w:p w14:paraId="0D4E67EE"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13,0</w:t>
            </w:r>
          </w:p>
        </w:tc>
      </w:tr>
      <w:tr w:rsidR="006D0778" w:rsidRPr="006D0778" w14:paraId="50DB32CB" w14:textId="77777777" w:rsidTr="00D2109C">
        <w:trPr>
          <w:trHeight w:val="224"/>
          <w:jc w:val="center"/>
        </w:trPr>
        <w:tc>
          <w:tcPr>
            <w:tcW w:w="1340" w:type="pct"/>
            <w:shd w:val="clear" w:color="auto" w:fill="auto"/>
            <w:noWrap/>
            <w:vAlign w:val="center"/>
            <w:hideMark/>
          </w:tcPr>
          <w:p w14:paraId="59F070EA" w14:textId="410D0CB8" w:rsidR="006D0778" w:rsidRPr="006D0778" w:rsidRDefault="00CF6476" w:rsidP="006D0778">
            <w:pPr>
              <w:spacing w:after="0"/>
              <w:jc w:val="left"/>
              <w:rPr>
                <w:rFonts w:eastAsia="MS PGothic" w:cstheme="minorHAnsi"/>
                <w:i/>
                <w:sz w:val="20"/>
                <w:szCs w:val="20"/>
                <w:lang w:eastAsia="ja-JP"/>
              </w:rPr>
            </w:pPr>
            <w:r>
              <w:rPr>
                <w:rFonts w:eastAsia="MS PGothic" w:cstheme="minorHAnsi"/>
                <w:i/>
                <w:sz w:val="20"/>
                <w:szCs w:val="20"/>
                <w:lang w:eastAsia="ja-JP"/>
              </w:rPr>
              <w:t xml:space="preserve"> </w:t>
            </w:r>
            <w:r w:rsidR="006D0778" w:rsidRPr="006D0778">
              <w:rPr>
                <w:rFonts w:eastAsia="MS PGothic" w:cstheme="minorHAnsi"/>
                <w:i/>
                <w:sz w:val="20"/>
                <w:szCs w:val="20"/>
                <w:lang w:eastAsia="ja-JP"/>
              </w:rPr>
              <w:t>од чега пензије</w:t>
            </w:r>
          </w:p>
        </w:tc>
        <w:tc>
          <w:tcPr>
            <w:tcW w:w="585" w:type="pct"/>
            <w:shd w:val="clear" w:color="auto" w:fill="auto"/>
            <w:hideMark/>
          </w:tcPr>
          <w:p w14:paraId="7828AC4D"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926,7</w:t>
            </w:r>
          </w:p>
        </w:tc>
        <w:tc>
          <w:tcPr>
            <w:tcW w:w="584" w:type="pct"/>
          </w:tcPr>
          <w:p w14:paraId="4B670A5F"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926,7</w:t>
            </w:r>
          </w:p>
        </w:tc>
        <w:tc>
          <w:tcPr>
            <w:tcW w:w="584" w:type="pct"/>
          </w:tcPr>
          <w:p w14:paraId="4B05B6DA"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930,6</w:t>
            </w:r>
          </w:p>
        </w:tc>
        <w:tc>
          <w:tcPr>
            <w:tcW w:w="747" w:type="pct"/>
            <w:shd w:val="clear" w:color="auto" w:fill="auto"/>
            <w:hideMark/>
          </w:tcPr>
          <w:p w14:paraId="3544A8F4"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3,9</w:t>
            </w:r>
          </w:p>
        </w:tc>
        <w:tc>
          <w:tcPr>
            <w:tcW w:w="585" w:type="pct"/>
            <w:shd w:val="clear" w:color="auto" w:fill="auto"/>
            <w:hideMark/>
          </w:tcPr>
          <w:p w14:paraId="261277BA"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0,4</w:t>
            </w:r>
          </w:p>
        </w:tc>
        <w:tc>
          <w:tcPr>
            <w:tcW w:w="575" w:type="pct"/>
            <w:shd w:val="clear" w:color="auto" w:fill="auto"/>
            <w:noWrap/>
            <w:hideMark/>
          </w:tcPr>
          <w:p w14:paraId="2D87E14E"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9,7</w:t>
            </w:r>
          </w:p>
        </w:tc>
      </w:tr>
      <w:tr w:rsidR="006D0778" w:rsidRPr="006D0778" w14:paraId="1E3DA6EC" w14:textId="77777777" w:rsidTr="00D2109C">
        <w:trPr>
          <w:trHeight w:val="224"/>
          <w:jc w:val="center"/>
        </w:trPr>
        <w:tc>
          <w:tcPr>
            <w:tcW w:w="1340" w:type="pct"/>
            <w:shd w:val="clear" w:color="auto" w:fill="auto"/>
            <w:noWrap/>
            <w:vAlign w:val="center"/>
            <w:hideMark/>
          </w:tcPr>
          <w:p w14:paraId="04387E33" w14:textId="77777777" w:rsidR="006D0778" w:rsidRPr="006D0778" w:rsidRDefault="006D0778" w:rsidP="006D0778">
            <w:pPr>
              <w:spacing w:after="0"/>
              <w:jc w:val="left"/>
              <w:rPr>
                <w:rFonts w:eastAsia="MS PGothic" w:cstheme="minorHAnsi"/>
                <w:sz w:val="20"/>
                <w:szCs w:val="20"/>
                <w:lang w:eastAsia="ja-JP"/>
              </w:rPr>
            </w:pPr>
            <w:r w:rsidRPr="006D0778">
              <w:rPr>
                <w:rFonts w:eastAsia="MS PGothic" w:cstheme="minorHAnsi"/>
                <w:sz w:val="20"/>
                <w:szCs w:val="20"/>
                <w:lang w:eastAsia="ja-JP"/>
              </w:rPr>
              <w:t xml:space="preserve"> Остали текући расходи</w:t>
            </w:r>
          </w:p>
        </w:tc>
        <w:tc>
          <w:tcPr>
            <w:tcW w:w="585" w:type="pct"/>
            <w:shd w:val="clear" w:color="auto" w:fill="auto"/>
            <w:hideMark/>
          </w:tcPr>
          <w:p w14:paraId="064E25F3"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111,9</w:t>
            </w:r>
          </w:p>
        </w:tc>
        <w:tc>
          <w:tcPr>
            <w:tcW w:w="584" w:type="pct"/>
          </w:tcPr>
          <w:p w14:paraId="7F129053"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114,1</w:t>
            </w:r>
          </w:p>
        </w:tc>
        <w:tc>
          <w:tcPr>
            <w:tcW w:w="584" w:type="pct"/>
          </w:tcPr>
          <w:p w14:paraId="0637B113"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132,4</w:t>
            </w:r>
          </w:p>
        </w:tc>
        <w:tc>
          <w:tcPr>
            <w:tcW w:w="747" w:type="pct"/>
            <w:shd w:val="clear" w:color="auto" w:fill="auto"/>
            <w:hideMark/>
          </w:tcPr>
          <w:p w14:paraId="2190CF31"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20,5</w:t>
            </w:r>
          </w:p>
        </w:tc>
        <w:tc>
          <w:tcPr>
            <w:tcW w:w="585" w:type="pct"/>
            <w:shd w:val="clear" w:color="auto" w:fill="auto"/>
            <w:hideMark/>
          </w:tcPr>
          <w:p w14:paraId="4B694180"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18,3</w:t>
            </w:r>
          </w:p>
        </w:tc>
        <w:tc>
          <w:tcPr>
            <w:tcW w:w="575" w:type="pct"/>
            <w:shd w:val="clear" w:color="auto" w:fill="auto"/>
            <w:noWrap/>
            <w:hideMark/>
          </w:tcPr>
          <w:p w14:paraId="200295E8"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1,4</w:t>
            </w:r>
          </w:p>
        </w:tc>
      </w:tr>
      <w:tr w:rsidR="006D0778" w:rsidRPr="006D0778" w14:paraId="01B32E4D" w14:textId="77777777" w:rsidTr="00D2109C">
        <w:trPr>
          <w:trHeight w:val="224"/>
          <w:jc w:val="center"/>
        </w:trPr>
        <w:tc>
          <w:tcPr>
            <w:tcW w:w="1340" w:type="pct"/>
            <w:shd w:val="clear" w:color="auto" w:fill="auto"/>
            <w:noWrap/>
            <w:vAlign w:val="center"/>
            <w:hideMark/>
          </w:tcPr>
          <w:p w14:paraId="3E3963B5" w14:textId="77777777" w:rsidR="006D0778" w:rsidRPr="006D0778" w:rsidRDefault="006D0778" w:rsidP="006D0778">
            <w:pPr>
              <w:spacing w:after="0"/>
              <w:jc w:val="left"/>
              <w:rPr>
                <w:rFonts w:eastAsia="MS PGothic" w:cstheme="minorHAnsi"/>
                <w:sz w:val="20"/>
                <w:szCs w:val="20"/>
                <w:lang w:eastAsia="ja-JP"/>
              </w:rPr>
            </w:pPr>
            <w:r w:rsidRPr="006D0778">
              <w:rPr>
                <w:rFonts w:eastAsia="MS PGothic" w:cstheme="minorHAnsi"/>
                <w:sz w:val="20"/>
                <w:szCs w:val="20"/>
                <w:lang w:eastAsia="ja-JP"/>
              </w:rPr>
              <w:t>Капитални расходи</w:t>
            </w:r>
          </w:p>
        </w:tc>
        <w:tc>
          <w:tcPr>
            <w:tcW w:w="585" w:type="pct"/>
            <w:shd w:val="clear" w:color="auto" w:fill="auto"/>
            <w:hideMark/>
          </w:tcPr>
          <w:p w14:paraId="3AB2E488"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595,2</w:t>
            </w:r>
          </w:p>
        </w:tc>
        <w:tc>
          <w:tcPr>
            <w:tcW w:w="584" w:type="pct"/>
          </w:tcPr>
          <w:p w14:paraId="7BF5FDB5"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652,3</w:t>
            </w:r>
          </w:p>
        </w:tc>
        <w:tc>
          <w:tcPr>
            <w:tcW w:w="584" w:type="pct"/>
          </w:tcPr>
          <w:p w14:paraId="271313D3"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706,3</w:t>
            </w:r>
          </w:p>
        </w:tc>
        <w:tc>
          <w:tcPr>
            <w:tcW w:w="747" w:type="pct"/>
            <w:shd w:val="clear" w:color="auto" w:fill="auto"/>
            <w:hideMark/>
          </w:tcPr>
          <w:p w14:paraId="21EC3DED"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111,1</w:t>
            </w:r>
          </w:p>
        </w:tc>
        <w:tc>
          <w:tcPr>
            <w:tcW w:w="585" w:type="pct"/>
            <w:shd w:val="clear" w:color="auto" w:fill="auto"/>
            <w:hideMark/>
          </w:tcPr>
          <w:p w14:paraId="7F107061"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18,7</w:t>
            </w:r>
          </w:p>
        </w:tc>
        <w:tc>
          <w:tcPr>
            <w:tcW w:w="575" w:type="pct"/>
            <w:shd w:val="clear" w:color="auto" w:fill="auto"/>
            <w:noWrap/>
            <w:hideMark/>
          </w:tcPr>
          <w:p w14:paraId="34B43DCA"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7,4</w:t>
            </w:r>
          </w:p>
        </w:tc>
      </w:tr>
      <w:tr w:rsidR="006D0778" w:rsidRPr="006D0778" w14:paraId="3340C605" w14:textId="77777777" w:rsidTr="00D2109C">
        <w:trPr>
          <w:trHeight w:val="224"/>
          <w:jc w:val="center"/>
        </w:trPr>
        <w:tc>
          <w:tcPr>
            <w:tcW w:w="1340" w:type="pct"/>
            <w:shd w:val="clear" w:color="auto" w:fill="auto"/>
            <w:noWrap/>
            <w:vAlign w:val="center"/>
            <w:hideMark/>
          </w:tcPr>
          <w:p w14:paraId="5203F120" w14:textId="77777777" w:rsidR="006D0778" w:rsidRPr="006D0778" w:rsidRDefault="006D0778" w:rsidP="006D0778">
            <w:pPr>
              <w:spacing w:after="0"/>
              <w:jc w:val="left"/>
              <w:rPr>
                <w:rFonts w:eastAsia="MS PGothic" w:cstheme="minorHAnsi"/>
                <w:sz w:val="20"/>
                <w:szCs w:val="20"/>
                <w:lang w:eastAsia="ja-JP"/>
              </w:rPr>
            </w:pPr>
            <w:r w:rsidRPr="006D0778">
              <w:rPr>
                <w:rFonts w:eastAsia="MS PGothic" w:cstheme="minorHAnsi"/>
                <w:sz w:val="20"/>
                <w:szCs w:val="20"/>
                <w:lang w:eastAsia="ja-JP"/>
              </w:rPr>
              <w:t>Нето буџетске позајмице</w:t>
            </w:r>
          </w:p>
        </w:tc>
        <w:tc>
          <w:tcPr>
            <w:tcW w:w="585" w:type="pct"/>
            <w:shd w:val="clear" w:color="auto" w:fill="auto"/>
            <w:hideMark/>
          </w:tcPr>
          <w:p w14:paraId="7C463875"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46,9</w:t>
            </w:r>
          </w:p>
        </w:tc>
        <w:tc>
          <w:tcPr>
            <w:tcW w:w="584" w:type="pct"/>
          </w:tcPr>
          <w:p w14:paraId="2CF0DD90"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20,1</w:t>
            </w:r>
          </w:p>
        </w:tc>
        <w:tc>
          <w:tcPr>
            <w:tcW w:w="584" w:type="pct"/>
          </w:tcPr>
          <w:p w14:paraId="2F7096EF"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18,7</w:t>
            </w:r>
          </w:p>
        </w:tc>
        <w:tc>
          <w:tcPr>
            <w:tcW w:w="747" w:type="pct"/>
            <w:shd w:val="clear" w:color="auto" w:fill="auto"/>
            <w:hideMark/>
          </w:tcPr>
          <w:p w14:paraId="0D5B1C74"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-28,2</w:t>
            </w:r>
          </w:p>
        </w:tc>
        <w:tc>
          <w:tcPr>
            <w:tcW w:w="585" w:type="pct"/>
            <w:shd w:val="clear" w:color="auto" w:fill="auto"/>
            <w:hideMark/>
          </w:tcPr>
          <w:p w14:paraId="7B5F4882"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-60,1</w:t>
            </w:r>
          </w:p>
        </w:tc>
        <w:tc>
          <w:tcPr>
            <w:tcW w:w="575" w:type="pct"/>
            <w:shd w:val="clear" w:color="auto" w:fill="auto"/>
            <w:noWrap/>
            <w:hideMark/>
          </w:tcPr>
          <w:p w14:paraId="116D902D"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0,2</w:t>
            </w:r>
          </w:p>
        </w:tc>
      </w:tr>
      <w:tr w:rsidR="006D0778" w:rsidRPr="006D0778" w14:paraId="10FBF6CE" w14:textId="77777777" w:rsidTr="00D2109C">
        <w:trPr>
          <w:trHeight w:val="224"/>
          <w:jc w:val="center"/>
        </w:trPr>
        <w:tc>
          <w:tcPr>
            <w:tcW w:w="1340" w:type="pct"/>
            <w:shd w:val="clear" w:color="auto" w:fill="auto"/>
            <w:noWrap/>
            <w:vAlign w:val="center"/>
            <w:hideMark/>
          </w:tcPr>
          <w:p w14:paraId="56F98615" w14:textId="77777777" w:rsidR="006D0778" w:rsidRPr="006D0778" w:rsidRDefault="006D0778" w:rsidP="006D0778">
            <w:pPr>
              <w:spacing w:after="0"/>
              <w:jc w:val="left"/>
              <w:rPr>
                <w:rFonts w:eastAsia="MS PGothic" w:cstheme="minorHAnsi"/>
                <w:sz w:val="20"/>
                <w:szCs w:val="20"/>
                <w:lang w:eastAsia="ja-JP"/>
              </w:rPr>
            </w:pPr>
            <w:r w:rsidRPr="006D0778">
              <w:rPr>
                <w:rFonts w:eastAsia="MS PGothic" w:cstheme="minorHAnsi"/>
                <w:sz w:val="20"/>
                <w:szCs w:val="20"/>
                <w:lang w:eastAsia="ja-JP"/>
              </w:rPr>
              <w:t>Активиране гаранције</w:t>
            </w:r>
          </w:p>
        </w:tc>
        <w:tc>
          <w:tcPr>
            <w:tcW w:w="585" w:type="pct"/>
            <w:shd w:val="clear" w:color="auto" w:fill="auto"/>
            <w:hideMark/>
          </w:tcPr>
          <w:p w14:paraId="3D99AC6B"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27,5</w:t>
            </w:r>
          </w:p>
        </w:tc>
        <w:tc>
          <w:tcPr>
            <w:tcW w:w="584" w:type="pct"/>
          </w:tcPr>
          <w:p w14:paraId="4B786813"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29,5</w:t>
            </w:r>
          </w:p>
        </w:tc>
        <w:tc>
          <w:tcPr>
            <w:tcW w:w="584" w:type="pct"/>
          </w:tcPr>
          <w:p w14:paraId="653D8D9F"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28,5</w:t>
            </w:r>
          </w:p>
        </w:tc>
        <w:tc>
          <w:tcPr>
            <w:tcW w:w="747" w:type="pct"/>
            <w:shd w:val="clear" w:color="auto" w:fill="auto"/>
            <w:hideMark/>
          </w:tcPr>
          <w:p w14:paraId="056EFC1C"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1,0</w:t>
            </w:r>
          </w:p>
        </w:tc>
        <w:tc>
          <w:tcPr>
            <w:tcW w:w="585" w:type="pct"/>
            <w:shd w:val="clear" w:color="auto" w:fill="auto"/>
            <w:hideMark/>
          </w:tcPr>
          <w:p w14:paraId="0DCA6E81"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3,6</w:t>
            </w:r>
          </w:p>
        </w:tc>
        <w:tc>
          <w:tcPr>
            <w:tcW w:w="575" w:type="pct"/>
            <w:shd w:val="clear" w:color="auto" w:fill="auto"/>
            <w:noWrap/>
            <w:hideMark/>
          </w:tcPr>
          <w:p w14:paraId="29FE0469"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0,3</w:t>
            </w:r>
          </w:p>
        </w:tc>
      </w:tr>
      <w:tr w:rsidR="006D0778" w:rsidRPr="006D0778" w14:paraId="64AFDFAA" w14:textId="77777777" w:rsidTr="00D2109C">
        <w:trPr>
          <w:trHeight w:val="224"/>
          <w:jc w:val="center"/>
        </w:trPr>
        <w:tc>
          <w:tcPr>
            <w:tcW w:w="1340" w:type="pct"/>
            <w:shd w:val="clear" w:color="auto" w:fill="E7E6E6" w:themeFill="background2"/>
            <w:noWrap/>
            <w:vAlign w:val="center"/>
            <w:hideMark/>
          </w:tcPr>
          <w:p w14:paraId="2D37FB54" w14:textId="77777777" w:rsidR="006D0778" w:rsidRPr="006D0778" w:rsidRDefault="006D0778" w:rsidP="006D0778">
            <w:pPr>
              <w:spacing w:after="0"/>
              <w:jc w:val="left"/>
              <w:rPr>
                <w:rFonts w:cstheme="minorHAnsi"/>
                <w:sz w:val="20"/>
                <w:szCs w:val="20"/>
              </w:rPr>
            </w:pPr>
            <w:r w:rsidRPr="006D0778">
              <w:rPr>
                <w:rFonts w:eastAsia="MS PGothic" w:cstheme="minorHAnsi"/>
                <w:sz w:val="20"/>
                <w:szCs w:val="20"/>
                <w:lang w:eastAsia="ja-JP"/>
              </w:rPr>
              <w:t>Резултат</w:t>
            </w:r>
          </w:p>
        </w:tc>
        <w:tc>
          <w:tcPr>
            <w:tcW w:w="585" w:type="pct"/>
            <w:shd w:val="clear" w:color="auto" w:fill="E7E6E6" w:themeFill="background2"/>
            <w:hideMark/>
          </w:tcPr>
          <w:p w14:paraId="57B18BB9"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-197,0</w:t>
            </w:r>
          </w:p>
        </w:tc>
        <w:tc>
          <w:tcPr>
            <w:tcW w:w="584" w:type="pct"/>
            <w:shd w:val="clear" w:color="auto" w:fill="E7E6E6" w:themeFill="background2"/>
          </w:tcPr>
          <w:p w14:paraId="514A199D"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-197,0</w:t>
            </w:r>
          </w:p>
        </w:tc>
        <w:tc>
          <w:tcPr>
            <w:tcW w:w="584" w:type="pct"/>
            <w:shd w:val="clear" w:color="auto" w:fill="E7E6E6" w:themeFill="background2"/>
          </w:tcPr>
          <w:p w14:paraId="22C57AF9"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-263,0</w:t>
            </w:r>
          </w:p>
        </w:tc>
        <w:tc>
          <w:tcPr>
            <w:tcW w:w="747" w:type="pct"/>
            <w:shd w:val="clear" w:color="auto" w:fill="E7E6E6" w:themeFill="background2"/>
            <w:hideMark/>
          </w:tcPr>
          <w:p w14:paraId="0D0B5B42"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-66,0</w:t>
            </w:r>
          </w:p>
        </w:tc>
        <w:tc>
          <w:tcPr>
            <w:tcW w:w="585" w:type="pct"/>
            <w:shd w:val="clear" w:color="auto" w:fill="E7E6E6" w:themeFill="background2"/>
            <w:hideMark/>
          </w:tcPr>
          <w:p w14:paraId="07B89A51" w14:textId="77777777" w:rsidR="006D0778" w:rsidRPr="006D0778" w:rsidRDefault="006D0778" w:rsidP="006D0778">
            <w:pPr>
              <w:spacing w:after="0"/>
              <w:jc w:val="right"/>
              <w:rPr>
                <w:rFonts w:eastAsia="MS PGothic" w:cstheme="minorHAnsi"/>
                <w:sz w:val="20"/>
                <w:szCs w:val="20"/>
                <w:lang w:eastAsia="ja-JP"/>
              </w:rPr>
            </w:pPr>
          </w:p>
        </w:tc>
        <w:tc>
          <w:tcPr>
            <w:tcW w:w="575" w:type="pct"/>
            <w:shd w:val="clear" w:color="auto" w:fill="E7E6E6" w:themeFill="background2"/>
            <w:noWrap/>
            <w:hideMark/>
          </w:tcPr>
          <w:p w14:paraId="5004D6C3"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-2,7</w:t>
            </w:r>
          </w:p>
        </w:tc>
      </w:tr>
      <w:tr w:rsidR="006D0778" w:rsidRPr="006D0778" w14:paraId="1C4E2D34" w14:textId="77777777" w:rsidTr="00D2109C">
        <w:trPr>
          <w:trHeight w:val="224"/>
          <w:jc w:val="center"/>
        </w:trPr>
        <w:tc>
          <w:tcPr>
            <w:tcW w:w="1340" w:type="pct"/>
            <w:tcBorders>
              <w:bottom w:val="single" w:sz="4" w:space="0" w:color="002060"/>
            </w:tcBorders>
            <w:shd w:val="clear" w:color="auto" w:fill="auto"/>
            <w:noWrap/>
            <w:vAlign w:val="center"/>
            <w:hideMark/>
          </w:tcPr>
          <w:p w14:paraId="4A245B04" w14:textId="77777777" w:rsidR="006D0778" w:rsidRPr="006D0778" w:rsidRDefault="006D0778" w:rsidP="006D0778">
            <w:pPr>
              <w:spacing w:after="0"/>
              <w:jc w:val="left"/>
              <w:rPr>
                <w:rFonts w:cstheme="minorHAnsi"/>
                <w:sz w:val="20"/>
                <w:szCs w:val="20"/>
              </w:rPr>
            </w:pPr>
            <w:r w:rsidRPr="006D0778">
              <w:rPr>
                <w:rFonts w:eastAsia="MS PGothic" w:cstheme="minorHAnsi"/>
                <w:sz w:val="20"/>
                <w:szCs w:val="20"/>
                <w:lang w:eastAsia="ja-JP"/>
              </w:rPr>
              <w:t>Резултат у % БДП**</w:t>
            </w:r>
          </w:p>
        </w:tc>
        <w:tc>
          <w:tcPr>
            <w:tcW w:w="585" w:type="pct"/>
            <w:tcBorders>
              <w:bottom w:val="single" w:sz="4" w:space="0" w:color="002060"/>
            </w:tcBorders>
            <w:shd w:val="clear" w:color="auto" w:fill="auto"/>
            <w:hideMark/>
          </w:tcPr>
          <w:p w14:paraId="6FC4959F"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-2,1</w:t>
            </w:r>
          </w:p>
        </w:tc>
        <w:tc>
          <w:tcPr>
            <w:tcW w:w="584" w:type="pct"/>
            <w:tcBorders>
              <w:bottom w:val="single" w:sz="4" w:space="0" w:color="002060"/>
            </w:tcBorders>
          </w:tcPr>
          <w:p w14:paraId="63ACE78D"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-2,1</w:t>
            </w:r>
          </w:p>
        </w:tc>
        <w:tc>
          <w:tcPr>
            <w:tcW w:w="584" w:type="pct"/>
            <w:tcBorders>
              <w:bottom w:val="single" w:sz="4" w:space="0" w:color="002060"/>
            </w:tcBorders>
          </w:tcPr>
          <w:p w14:paraId="7B3BF08C"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-2,7</w:t>
            </w:r>
          </w:p>
        </w:tc>
        <w:tc>
          <w:tcPr>
            <w:tcW w:w="747" w:type="pct"/>
            <w:tcBorders>
              <w:bottom w:val="single" w:sz="4" w:space="0" w:color="002060"/>
            </w:tcBorders>
            <w:shd w:val="clear" w:color="auto" w:fill="auto"/>
            <w:hideMark/>
          </w:tcPr>
          <w:p w14:paraId="45883361" w14:textId="77777777" w:rsidR="006D0778" w:rsidRPr="006D0778" w:rsidRDefault="006D0778" w:rsidP="006D0778">
            <w:pPr>
              <w:spacing w:after="0"/>
              <w:jc w:val="right"/>
              <w:rPr>
                <w:rFonts w:eastAsia="MS PGothic" w:cstheme="minorHAnsi"/>
                <w:sz w:val="20"/>
                <w:szCs w:val="20"/>
                <w:lang w:eastAsia="ja-JP"/>
              </w:rPr>
            </w:pPr>
            <w:r w:rsidRPr="006D0778">
              <w:rPr>
                <w:rFonts w:eastAsia="MS PGothic" w:cstheme="minorHAnsi"/>
                <w:sz w:val="20"/>
                <w:szCs w:val="20"/>
                <w:lang w:eastAsia="ja-JP"/>
              </w:rPr>
              <w:t>-0,6</w:t>
            </w:r>
          </w:p>
        </w:tc>
        <w:tc>
          <w:tcPr>
            <w:tcW w:w="585" w:type="pct"/>
            <w:tcBorders>
              <w:bottom w:val="single" w:sz="4" w:space="0" w:color="002060"/>
            </w:tcBorders>
            <w:shd w:val="clear" w:color="auto" w:fill="auto"/>
            <w:hideMark/>
          </w:tcPr>
          <w:p w14:paraId="1527E848" w14:textId="77777777" w:rsidR="006D0778" w:rsidRPr="006D0778" w:rsidRDefault="006D0778" w:rsidP="006D0778">
            <w:pPr>
              <w:spacing w:after="0"/>
              <w:ind w:right="284"/>
              <w:jc w:val="right"/>
              <w:rPr>
                <w:rFonts w:eastAsia="MS PGothic" w:cstheme="minorHAnsi"/>
                <w:sz w:val="20"/>
                <w:szCs w:val="20"/>
                <w:lang w:eastAsia="ja-JP"/>
              </w:rPr>
            </w:pPr>
          </w:p>
        </w:tc>
        <w:tc>
          <w:tcPr>
            <w:tcW w:w="575" w:type="pct"/>
            <w:tcBorders>
              <w:bottom w:val="single" w:sz="4" w:space="0" w:color="002060"/>
            </w:tcBorders>
            <w:shd w:val="clear" w:color="auto" w:fill="auto"/>
            <w:hideMark/>
          </w:tcPr>
          <w:p w14:paraId="3706D60B" w14:textId="77777777" w:rsidR="006D0778" w:rsidRPr="006D0778" w:rsidRDefault="006D0778" w:rsidP="006D0778">
            <w:pPr>
              <w:spacing w:after="0"/>
              <w:ind w:right="284"/>
              <w:jc w:val="right"/>
              <w:rPr>
                <w:rFonts w:eastAsia="MS PGothic" w:cstheme="minorHAnsi"/>
                <w:sz w:val="20"/>
                <w:szCs w:val="20"/>
                <w:lang w:eastAsia="ja-JP"/>
              </w:rPr>
            </w:pPr>
          </w:p>
        </w:tc>
      </w:tr>
    </w:tbl>
    <w:p w14:paraId="7E28E91F" w14:textId="77777777" w:rsidR="006D0778" w:rsidRPr="006D0778" w:rsidRDefault="006D0778" w:rsidP="006D0778">
      <w:pPr>
        <w:rPr>
          <w:rFonts w:eastAsia="Calibri" w:cs="Times New Roman"/>
          <w:sz w:val="16"/>
          <w:szCs w:val="16"/>
          <w:lang w:val="sr-Cyrl-RS"/>
        </w:rPr>
      </w:pPr>
      <w:r w:rsidRPr="006D0778">
        <w:rPr>
          <w:rFonts w:eastAsia="Calibri" w:cs="Times New Roman"/>
          <w:bCs/>
          <w:sz w:val="16"/>
          <w:szCs w:val="16"/>
          <w:lang w:val="sr-Cyrl-RS" w:eastAsia="ja-JP"/>
        </w:rPr>
        <w:t xml:space="preserve">Извор: </w:t>
      </w:r>
      <w:r w:rsidRPr="006D0778">
        <w:rPr>
          <w:rFonts w:eastAsia="Calibri" w:cs="Times New Roman"/>
          <w:sz w:val="16"/>
          <w:szCs w:val="16"/>
          <w:lang w:val="sr-Cyrl-RS"/>
        </w:rPr>
        <w:t>Министарство финансија</w:t>
      </w:r>
    </w:p>
    <w:p w14:paraId="0284442D" w14:textId="77777777" w:rsidR="006D0778" w:rsidRPr="006D0778" w:rsidRDefault="006D0778" w:rsidP="006D0778">
      <w:pPr>
        <w:spacing w:after="0"/>
        <w:rPr>
          <w:sz w:val="18"/>
          <w:szCs w:val="16"/>
        </w:rPr>
      </w:pPr>
      <w:r w:rsidRPr="006D0778">
        <w:rPr>
          <w:rFonts w:cstheme="minorHAnsi"/>
          <w:sz w:val="18"/>
          <w:szCs w:val="16"/>
          <w:lang w:val="sr-Cyrl-RS"/>
        </w:rPr>
        <w:t xml:space="preserve">* </w:t>
      </w:r>
      <w:r w:rsidRPr="006D0778">
        <w:rPr>
          <w:sz w:val="18"/>
          <w:szCs w:val="16"/>
        </w:rPr>
        <w:t>Оригинални буџет за 2024. годину је, у сврхе упоредивости са новом проценом за текућу годину, коригован за износе настале проширењем обухвата сектора државе који се односи на укључивање и извештавање о сопственим средствима (приходи и расходи) ванбуџетских корисника (јавне агенције и институти). Укупан обим тих средстава износи 20,2 млрд и на приходној и расходној страни.</w:t>
      </w:r>
    </w:p>
    <w:p w14:paraId="273813D8" w14:textId="218E5809" w:rsidR="006D0778" w:rsidRPr="006D0778" w:rsidRDefault="006D0778" w:rsidP="006D0778">
      <w:pPr>
        <w:spacing w:after="0"/>
        <w:rPr>
          <w:rFonts w:cstheme="minorHAnsi"/>
          <w:sz w:val="18"/>
          <w:szCs w:val="16"/>
          <w:lang w:val="sr-Cyrl-RS"/>
        </w:rPr>
      </w:pPr>
      <w:r w:rsidRPr="006D0778">
        <w:rPr>
          <w:sz w:val="18"/>
          <w:szCs w:val="16"/>
        </w:rPr>
        <w:t>**</w:t>
      </w:r>
      <w:r w:rsidR="00CF6476">
        <w:rPr>
          <w:sz w:val="18"/>
          <w:szCs w:val="16"/>
        </w:rPr>
        <w:t xml:space="preserve"> </w:t>
      </w:r>
      <w:r w:rsidRPr="006D0778">
        <w:rPr>
          <w:sz w:val="18"/>
          <w:szCs w:val="16"/>
          <w:lang w:val="sr-Cyrl-RS"/>
        </w:rPr>
        <w:t>Р</w:t>
      </w:r>
      <w:r w:rsidRPr="006D0778">
        <w:rPr>
          <w:sz w:val="18"/>
          <w:szCs w:val="16"/>
        </w:rPr>
        <w:t>ади лакше упоредивости, а услед значајне статистичке ревизије номиналног износа БДП, сва учешћа изражена су као проценат тренутне процене висине БДП за 2024. годину</w:t>
      </w:r>
      <w:r w:rsidRPr="006D0778">
        <w:rPr>
          <w:sz w:val="18"/>
          <w:szCs w:val="16"/>
          <w:lang w:val="sr-Cyrl-RS"/>
        </w:rPr>
        <w:t>.</w:t>
      </w:r>
    </w:p>
    <w:p w14:paraId="2D5E005E" w14:textId="77777777" w:rsidR="006D0778" w:rsidRPr="006D0778" w:rsidRDefault="006D0778" w:rsidP="006D0778">
      <w:pPr>
        <w:rPr>
          <w:rFonts w:eastAsia="Calibri" w:cs="Times New Roman"/>
          <w:sz w:val="16"/>
          <w:szCs w:val="16"/>
          <w:lang w:val="sr-Cyrl-RS"/>
        </w:rPr>
      </w:pPr>
    </w:p>
    <w:p w14:paraId="0A40D7CA" w14:textId="77777777" w:rsidR="006D0778" w:rsidRPr="006D0778" w:rsidRDefault="006D0778" w:rsidP="006D0778">
      <w:pPr>
        <w:rPr>
          <w:rFonts w:eastAsia="MS PGothic" w:cstheme="minorHAnsi"/>
          <w:szCs w:val="20"/>
          <w:lang w:eastAsia="ja-JP"/>
        </w:rPr>
      </w:pPr>
      <w:r w:rsidRPr="006D0778">
        <w:rPr>
          <w:rFonts w:eastAsia="MS PGothic" w:cstheme="minorHAnsi"/>
          <w:szCs w:val="20"/>
          <w:lang w:eastAsia="ja-JP"/>
        </w:rPr>
        <w:t>Пројекција прихода сектора државе овим фискалним оквиром повећана је за 166 млрд динара (4,4%) у односу на оригиналну. Све категорије прихода, осим прихода од царина и донација ревидиране су навише у односу на оригиналну пројекцију. Највећу процентуалну промену навише бележе приходи од пореза на добит, а у апсолутном износу приходи од ПДВ. Поред тога значајно су повећани и непорески приходи и приходи од акциза. Најважнији фактори који су довели до измене у висини и структури прихода сектора државе су:</w:t>
      </w:r>
    </w:p>
    <w:p w14:paraId="74A3185A" w14:textId="77777777" w:rsidR="006D0778" w:rsidRPr="006D0778" w:rsidRDefault="006D0778" w:rsidP="006D0778">
      <w:pPr>
        <w:numPr>
          <w:ilvl w:val="0"/>
          <w:numId w:val="31"/>
        </w:numPr>
        <w:spacing w:after="160" w:line="259" w:lineRule="auto"/>
        <w:contextualSpacing/>
        <w:rPr>
          <w:rFonts w:eastAsia="MS PGothic" w:cstheme="minorHAnsi"/>
          <w:szCs w:val="20"/>
          <w:lang w:eastAsia="ja-JP"/>
        </w:rPr>
      </w:pPr>
      <w:r w:rsidRPr="006D0778">
        <w:rPr>
          <w:rFonts w:eastAsia="MS PGothic" w:cstheme="minorHAnsi"/>
          <w:szCs w:val="20"/>
          <w:lang w:eastAsia="ja-JP"/>
        </w:rPr>
        <w:t>базни ефекат (остварење на крају претходне године) и остварење у периоду јануар–</w:t>
      </w:r>
      <w:r w:rsidRPr="006D0778">
        <w:rPr>
          <w:rFonts w:eastAsia="MS PGothic" w:cstheme="minorHAnsi"/>
          <w:szCs w:val="20"/>
          <w:lang w:val="sr-Cyrl-RS" w:eastAsia="ja-JP"/>
        </w:rPr>
        <w:t>септембар</w:t>
      </w:r>
      <w:r w:rsidRPr="006D0778">
        <w:rPr>
          <w:rFonts w:eastAsia="MS PGothic" w:cstheme="minorHAnsi"/>
          <w:szCs w:val="20"/>
          <w:lang w:eastAsia="ja-JP"/>
        </w:rPr>
        <w:t xml:space="preserve"> 2024. године;</w:t>
      </w:r>
    </w:p>
    <w:p w14:paraId="2FEA28D6" w14:textId="77777777" w:rsidR="006D0778" w:rsidRPr="006D0778" w:rsidRDefault="006D0778" w:rsidP="006D0778">
      <w:pPr>
        <w:numPr>
          <w:ilvl w:val="0"/>
          <w:numId w:val="31"/>
        </w:numPr>
        <w:spacing w:after="160" w:line="259" w:lineRule="auto"/>
        <w:contextualSpacing/>
        <w:rPr>
          <w:rFonts w:eastAsia="MS PGothic" w:cstheme="minorHAnsi"/>
          <w:szCs w:val="20"/>
          <w:lang w:eastAsia="ja-JP"/>
        </w:rPr>
      </w:pPr>
      <w:r w:rsidRPr="006D0778">
        <w:rPr>
          <w:rFonts w:eastAsia="MS PGothic" w:cstheme="minorHAnsi"/>
          <w:szCs w:val="20"/>
          <w:lang w:eastAsia="ja-JP"/>
        </w:rPr>
        <w:t>корпоративна профитабилност у 2023. години;</w:t>
      </w:r>
    </w:p>
    <w:p w14:paraId="452D6233" w14:textId="77777777" w:rsidR="006D0778" w:rsidRPr="006D0778" w:rsidRDefault="006D0778" w:rsidP="006D0778">
      <w:pPr>
        <w:numPr>
          <w:ilvl w:val="0"/>
          <w:numId w:val="31"/>
        </w:numPr>
        <w:spacing w:after="160" w:line="259" w:lineRule="auto"/>
        <w:contextualSpacing/>
        <w:rPr>
          <w:rFonts w:eastAsia="MS PGothic" w:cstheme="minorHAnsi"/>
          <w:szCs w:val="20"/>
          <w:lang w:eastAsia="ja-JP"/>
        </w:rPr>
      </w:pPr>
      <w:r w:rsidRPr="006D0778">
        <w:rPr>
          <w:rFonts w:eastAsia="MS PGothic" w:cstheme="minorHAnsi"/>
          <w:szCs w:val="20"/>
          <w:lang w:eastAsia="ja-JP"/>
        </w:rPr>
        <w:t>бржи раст личне потрошње од предвиђеног;</w:t>
      </w:r>
    </w:p>
    <w:p w14:paraId="791D0ACD" w14:textId="77777777" w:rsidR="006D0778" w:rsidRPr="006D0778" w:rsidRDefault="006D0778" w:rsidP="006D0778">
      <w:pPr>
        <w:numPr>
          <w:ilvl w:val="0"/>
          <w:numId w:val="31"/>
        </w:numPr>
        <w:spacing w:after="160" w:line="259" w:lineRule="auto"/>
        <w:contextualSpacing/>
        <w:rPr>
          <w:rFonts w:eastAsia="MS PGothic" w:cstheme="minorHAnsi"/>
          <w:szCs w:val="20"/>
          <w:lang w:eastAsia="ja-JP"/>
        </w:rPr>
      </w:pPr>
      <w:r w:rsidRPr="006D0778">
        <w:rPr>
          <w:rFonts w:eastAsia="MS PGothic" w:cstheme="minorHAnsi"/>
          <w:szCs w:val="20"/>
          <w:lang w:eastAsia="ja-JP"/>
        </w:rPr>
        <w:t>већа потрошња акцизних производа;</w:t>
      </w:r>
    </w:p>
    <w:p w14:paraId="6A34573A" w14:textId="77777777" w:rsidR="006D0778" w:rsidRPr="006D0778" w:rsidRDefault="006D0778" w:rsidP="006D0778">
      <w:pPr>
        <w:numPr>
          <w:ilvl w:val="0"/>
          <w:numId w:val="31"/>
        </w:numPr>
        <w:spacing w:after="160" w:line="259" w:lineRule="auto"/>
        <w:contextualSpacing/>
        <w:rPr>
          <w:rFonts w:eastAsia="MS PGothic" w:cstheme="minorHAnsi"/>
          <w:szCs w:val="20"/>
          <w:lang w:eastAsia="ja-JP"/>
        </w:rPr>
      </w:pPr>
      <w:r w:rsidRPr="006D0778">
        <w:rPr>
          <w:rFonts w:eastAsia="MS PGothic" w:cstheme="minorHAnsi"/>
          <w:szCs w:val="20"/>
          <w:lang w:eastAsia="ja-JP"/>
        </w:rPr>
        <w:t>снажнији раст наплате редовних непореских прихода, и уплата одређених ванредних и једнократних непореских прихода;</w:t>
      </w:r>
    </w:p>
    <w:p w14:paraId="7503368A" w14:textId="77777777" w:rsidR="006D0778" w:rsidRPr="006D0778" w:rsidRDefault="006D0778" w:rsidP="006D0778">
      <w:pPr>
        <w:numPr>
          <w:ilvl w:val="0"/>
          <w:numId w:val="31"/>
        </w:numPr>
        <w:spacing w:after="160" w:line="259" w:lineRule="auto"/>
        <w:contextualSpacing/>
        <w:rPr>
          <w:rFonts w:eastAsia="MS PGothic" w:cstheme="minorHAnsi"/>
          <w:szCs w:val="20"/>
          <w:lang w:eastAsia="ja-JP"/>
        </w:rPr>
      </w:pPr>
      <w:r w:rsidRPr="006D0778">
        <w:rPr>
          <w:rFonts w:eastAsia="MS PGothic" w:cstheme="minorHAnsi"/>
          <w:szCs w:val="20"/>
          <w:lang w:eastAsia="ja-JP"/>
        </w:rPr>
        <w:t>повољнија кретања на тржишту рада.</w:t>
      </w:r>
    </w:p>
    <w:p w14:paraId="1750509C" w14:textId="77777777" w:rsidR="006D0778" w:rsidRPr="006D0778" w:rsidRDefault="006D0778" w:rsidP="00E417E0">
      <w:pPr>
        <w:widowControl w:val="0"/>
        <w:rPr>
          <w:rFonts w:eastAsia="MS PGothic" w:cstheme="minorHAnsi"/>
          <w:szCs w:val="20"/>
          <w:lang w:eastAsia="ja-JP"/>
        </w:rPr>
      </w:pPr>
      <w:r w:rsidRPr="006D0778">
        <w:rPr>
          <w:rFonts w:eastAsia="MS PGothic" w:cstheme="minorHAnsi"/>
          <w:szCs w:val="20"/>
          <w:lang w:eastAsia="ja-JP"/>
        </w:rPr>
        <w:lastRenderedPageBreak/>
        <w:t>Пројекција прихода од пореза на доходак грађана повећана је за 17,7 млрд динара у односу на буџетски износ, док је пројекција прихода од социјалних доприноса увећана 30 млрд динара. Претпоставке оригиналне пројекције ових прихода, кретања просечних зарада и запослености, током протеклог дела 2024. године, су изнад очекиваних. У обзир су узете и процене ефеката смањења пореског оптерећења зарада у 2024. години. Основни разлог за повећање пројекције пореза на зараде и социјалних доприноса је базни ефекат, као и кретања на тржишту рада у протеклом делу године.</w:t>
      </w:r>
      <w:r w:rsidRPr="006D0778">
        <w:rPr>
          <w:rFonts w:eastAsia="Times New Roman" w:cs="Times New Roman"/>
          <w:szCs w:val="24"/>
        </w:rPr>
        <w:t xml:space="preserve"> </w:t>
      </w:r>
      <w:r w:rsidRPr="006D0778">
        <w:rPr>
          <w:rFonts w:eastAsia="MS PGothic" w:cstheme="minorHAnsi"/>
          <w:szCs w:val="20"/>
          <w:lang w:eastAsia="ja-JP"/>
        </w:rPr>
        <w:t>Други приходи, изузев пореза на зараде, који припадају категорији пореза на доходак (порез на дивиденде, порез на приходе од камата, годишњи порез на доходак, порез на приходе од закупа непокретности и др.)</w:t>
      </w:r>
      <w:r w:rsidRPr="006D0778">
        <w:t xml:space="preserve"> ревидирани су навише, такође због утицаја базног ефекта и </w:t>
      </w:r>
      <w:r w:rsidRPr="006D0778">
        <w:rPr>
          <w:rFonts w:eastAsia="MS PGothic" w:cstheme="minorHAnsi"/>
          <w:szCs w:val="20"/>
          <w:lang w:eastAsia="ja-JP"/>
        </w:rPr>
        <w:t>бољег остварења у протеклом делу године, пре свега код наплате годишњег пореза на доходак грађана.</w:t>
      </w:r>
    </w:p>
    <w:p w14:paraId="7F31298A" w14:textId="1C904785" w:rsidR="006D0778" w:rsidRPr="006D0778" w:rsidRDefault="006D0778" w:rsidP="00E417E0">
      <w:pPr>
        <w:widowControl w:val="0"/>
        <w:rPr>
          <w:rFonts w:eastAsia="MS PGothic" w:cstheme="minorHAnsi"/>
          <w:szCs w:val="20"/>
          <w:lang w:eastAsia="ja-JP"/>
        </w:rPr>
      </w:pPr>
      <w:r w:rsidRPr="006D0778">
        <w:rPr>
          <w:rFonts w:eastAsia="MS PGothic" w:cstheme="minorHAnsi"/>
          <w:szCs w:val="20"/>
          <w:lang w:eastAsia="ja-JP"/>
        </w:rPr>
        <w:t>Процена прихода од пореза на добит, за разлику од претходне ревизије, знатно је повећана у односу на оригиналну процену. При томе је процентуално повећање од 13,8% највише од свих пореских облика, док апсолутни износ повећања износи 35,5 млрд динара. Коначни подаци о профитабилности нису познати у тренутку планирања буџета, те се ови приходи планирају конзервативно.</w:t>
      </w:r>
      <w:r w:rsidR="00CF6476">
        <w:rPr>
          <w:rFonts w:eastAsia="MS PGothic" w:cstheme="minorHAnsi"/>
          <w:szCs w:val="20"/>
          <w:lang w:eastAsia="ja-JP"/>
        </w:rPr>
        <w:t xml:space="preserve"> </w:t>
      </w:r>
      <w:r w:rsidRPr="006D0778">
        <w:rPr>
          <w:rFonts w:eastAsia="MS PGothic" w:cstheme="minorHAnsi"/>
          <w:szCs w:val="20"/>
          <w:lang w:eastAsia="ja-JP"/>
        </w:rPr>
        <w:t>Висок износ пореза на добит, који је остварен у 2022. и 2023. години, довео је до повећања учешћа овог пореза у БДП (око 3%) изнад просечних вредности забележених у претходном периоду. Водећи се принципом опрезности, приликом првобитне пројекције предвиђено је постепено смањење учешћа овог пореског облика у БДП, тј. враћање на просечан ниво претходног периода. Након уплате пореза на добит по коначном обрачуну за 2023. годину (крај јуна текуће године), ревидирана је и годишња процена овог пореза. Добит привредних друштава, која су пословала позитивно, у 2023. години, према објављеним подацима АПР, износила је 1.297 млрд динара и већа је за 3,6% у односу на 2022. годину. Остварена нето добит износила је 972,4 млрд динара што представља раст од 12,3%.</w:t>
      </w:r>
    </w:p>
    <w:p w14:paraId="1C138E2B" w14:textId="77777777" w:rsidR="006D0778" w:rsidRPr="006D0778" w:rsidRDefault="006D0778" w:rsidP="00E417E0">
      <w:pPr>
        <w:widowControl w:val="0"/>
        <w:rPr>
          <w:rFonts w:eastAsia="MS PGothic" w:cstheme="minorHAnsi"/>
          <w:bCs/>
          <w:szCs w:val="20"/>
          <w:lang w:eastAsia="ja-JP"/>
        </w:rPr>
      </w:pPr>
      <w:r w:rsidRPr="006D0778">
        <w:rPr>
          <w:rFonts w:eastAsia="MS PGothic" w:cstheme="minorHAnsi"/>
          <w:bCs/>
          <w:szCs w:val="20"/>
          <w:lang w:eastAsia="ja-JP"/>
        </w:rPr>
        <w:t xml:space="preserve">Приходи од пореза на додату вредност су ревидирани навише за 52 млрд динара, односно 5,7% у односу на буџетски план. Крајем претходне године забележена је значајно већа наплата ПДВ од планиране, која је служила као основа за планирање текуће године. Боље остварење дугује се значајнијем опоравку личне потрошње у последњем кварталу 2023. године. Овај тренд се наставља и у 2024. години. За разлику од претходне две године, у којима је услед различитих фактора („панична” потрошња, потрошња нерезидената итд.) дошло до нарушавања устаљене динамике потрошње и наплате ПДВ, он се сада креће у очекиваним обрасцима. Реалан раст дохотка становништва кључно доприноси расту личне потрошње и снажнијем расту прихода од ПДВ. </w:t>
      </w:r>
    </w:p>
    <w:p w14:paraId="3541C4FD" w14:textId="77777777" w:rsidR="006D0778" w:rsidRPr="006D0778" w:rsidRDefault="006D0778" w:rsidP="00E417E0">
      <w:pPr>
        <w:widowControl w:val="0"/>
        <w:rPr>
          <w:rFonts w:eastAsia="MS PGothic" w:cstheme="minorHAnsi"/>
          <w:bCs/>
          <w:szCs w:val="20"/>
          <w:lang w:eastAsia="ja-JP"/>
        </w:rPr>
      </w:pPr>
      <w:r w:rsidRPr="006D0778">
        <w:rPr>
          <w:rFonts w:eastAsia="MS PGothic" w:cstheme="minorHAnsi"/>
          <w:bCs/>
          <w:szCs w:val="20"/>
          <w:lang w:eastAsia="ja-JP"/>
        </w:rPr>
        <w:t xml:space="preserve">Приходи од царина остају на нивоу планираном буџетом за 2024. годину. Реализација прихода током 2024. године у складу је са очекиваном. Ови приходи у највећој мери, иако не у потпуности, прате динамику ПДВ из увоза. У </w:t>
      </w:r>
      <w:r w:rsidRPr="006D0778">
        <w:rPr>
          <w:rFonts w:eastAsia="MS PGothic" w:cstheme="minorHAnsi"/>
          <w:bCs/>
          <w:szCs w:val="20"/>
          <w:lang w:val="sr-Cyrl-RS" w:eastAsia="ja-JP"/>
        </w:rPr>
        <w:t>последње две године,</w:t>
      </w:r>
      <w:r w:rsidRPr="006D0778">
        <w:rPr>
          <w:rFonts w:eastAsia="MS PGothic" w:cstheme="minorHAnsi"/>
          <w:bCs/>
          <w:szCs w:val="20"/>
          <w:lang w:eastAsia="ja-JP"/>
        </w:rPr>
        <w:t xml:space="preserve"> међутим</w:t>
      </w:r>
      <w:r w:rsidRPr="006D0778">
        <w:rPr>
          <w:rFonts w:eastAsia="MS PGothic" w:cstheme="minorHAnsi"/>
          <w:bCs/>
          <w:szCs w:val="20"/>
          <w:lang w:val="sr-Cyrl-RS" w:eastAsia="ja-JP"/>
        </w:rPr>
        <w:t>,</w:t>
      </w:r>
      <w:r w:rsidRPr="006D0778">
        <w:rPr>
          <w:rFonts w:eastAsia="MS PGothic" w:cstheme="minorHAnsi"/>
          <w:bCs/>
          <w:szCs w:val="20"/>
          <w:lang w:eastAsia="ja-JP"/>
        </w:rPr>
        <w:t xml:space="preserve"> долази до измена у структури увозне тражње (врста робе, географско подручје) чиме је овај однос у одређеној мери измењен, па приходи од царина бележе више стопе раста од увозног ПДВ.</w:t>
      </w:r>
    </w:p>
    <w:p w14:paraId="372EEEAF" w14:textId="77777777" w:rsidR="006D0778" w:rsidRPr="006D0778" w:rsidRDefault="006D0778" w:rsidP="00E417E0">
      <w:pPr>
        <w:widowControl w:val="0"/>
        <w:rPr>
          <w:rFonts w:eastAsia="MS PGothic" w:cstheme="minorHAnsi"/>
          <w:bCs/>
          <w:szCs w:val="20"/>
          <w:lang w:eastAsia="ja-JP"/>
        </w:rPr>
      </w:pPr>
      <w:r w:rsidRPr="006D0778">
        <w:rPr>
          <w:rFonts w:eastAsia="MS PGothic" w:cstheme="minorHAnsi"/>
          <w:bCs/>
          <w:szCs w:val="20"/>
          <w:lang w:eastAsia="ja-JP"/>
        </w:rPr>
        <w:t xml:space="preserve">Процена прихода од акциза повећана је за 12 млрд динара у односу на буџетски план. Акцизе на деривате нафте су повећане за 5,5 млрд динара, акцизе на дуванске производе за 5 млрд динара, док је пројекција прихода од осталих акциза увећана за 1,5 млрд динара. Приходи од акциза на деривате нафте увећани су првенствено по основу знатно бољег извршења на крају претходне године. Овај тренд кретања наплате и потрошње се наставља код већине акцизних производа и током 2024. године. За разлику од претходне </w:t>
      </w:r>
      <w:r w:rsidRPr="006D0778">
        <w:rPr>
          <w:rFonts w:eastAsia="MS PGothic" w:cstheme="minorHAnsi"/>
          <w:bCs/>
          <w:szCs w:val="20"/>
          <w:lang w:eastAsia="ja-JP"/>
        </w:rPr>
        <w:lastRenderedPageBreak/>
        <w:t>две године, када су акцизном политиком смиривани инфлаторни притисци, у овој години се она враћа у редовне токове. Укинута су привремена смањења акциза на нафтне деривате, крајем прошле године номинални износи акциза су повећани за 8%, док је за почетак 2024. године било предвиђено усклађивање износа акциза са оствареном инфлацијом из 2023. године. Ова последња мера је одложена за три месеца, како би се додатно утицало на ублажавање инфлаторних притисака. Такође у 2024. години предвиђено је поновно успостављање механизма рефакција акциза на нафтне деривате који се користе у пољопривреди. Повећање прихода од акциза на дуван резултат је, у мањој мери, боље наплате од очекиване крајем претходне године, као и кретања потрошње дуванских производа током 2024. године. Приликом припреме буџета, претпостављен је пад потрошње који је присутан већ дужи низ година. Међутим, кретања на тржишту показују да до очекиваног пада потрошње дуванских производа, према подацима за првих шест месеци ове године, није дошло. Пројекција прихода од осталих акцизних производа (електрична енергија, алкохол и кафа) повећана је услед нешто бољег остварења акцизних прихода код све три категорије производа у односу на план.</w:t>
      </w:r>
    </w:p>
    <w:p w14:paraId="1E878213" w14:textId="2DA7F6D0" w:rsidR="006D0778" w:rsidRPr="006D0778" w:rsidRDefault="006D0778" w:rsidP="00E417E0">
      <w:pPr>
        <w:rPr>
          <w:rFonts w:eastAsia="MS PGothic" w:cstheme="minorHAnsi"/>
          <w:szCs w:val="20"/>
          <w:lang w:eastAsia="ja-JP"/>
        </w:rPr>
      </w:pPr>
      <w:r w:rsidRPr="006D0778">
        <w:rPr>
          <w:rFonts w:eastAsia="MS PGothic" w:cstheme="minorHAnsi"/>
          <w:bCs/>
          <w:szCs w:val="20"/>
          <w:lang w:eastAsia="ja-JP"/>
        </w:rPr>
        <w:t>Непорески приходи ревидирани су навише за 20,5 млрд динара, у складу са досадашњим кретањем како редовних, тако и ванредних непореских прихода.</w:t>
      </w:r>
      <w:r w:rsidRPr="006D0778">
        <w:rPr>
          <w:rFonts w:eastAsia="MS PGothic" w:cstheme="minorHAnsi"/>
          <w:szCs w:val="20"/>
          <w:lang w:eastAsia="ja-JP"/>
        </w:rPr>
        <w:t xml:space="preserve"> У редовне непореске приходе спадају различите таксе, накнаде (укључујући и путарине), казне, приходи органа и организација и сви остали приходи који се остварују устаљеном динамиком током године, уз одређене сезонске варијације. Повећање пројекције ових прихода, у највећој мери је</w:t>
      </w:r>
      <w:r w:rsidR="00CF6476">
        <w:rPr>
          <w:rFonts w:eastAsia="MS PGothic" w:cstheme="minorHAnsi"/>
          <w:szCs w:val="20"/>
          <w:lang w:eastAsia="ja-JP"/>
        </w:rPr>
        <w:t xml:space="preserve"> </w:t>
      </w:r>
      <w:r w:rsidRPr="006D0778">
        <w:rPr>
          <w:rFonts w:eastAsia="MS PGothic" w:cstheme="minorHAnsi"/>
          <w:szCs w:val="20"/>
          <w:lang w:eastAsia="ja-JP"/>
        </w:rPr>
        <w:t>услед раста прихода од камата на орочена средства и прихода од накнада за коришћење јавних добара. Ванредне непореске приходе чине уплате добити јавних предузећа и агенција, дивиденде буџета, приходи по основу наплаћених потраживања Агенције за осигурање депозита, емисионе премије, камате итд.</w:t>
      </w:r>
      <w:r w:rsidR="00CF6476">
        <w:rPr>
          <w:rFonts w:eastAsia="MS PGothic" w:cstheme="minorHAnsi"/>
          <w:szCs w:val="20"/>
          <w:lang w:eastAsia="ja-JP"/>
        </w:rPr>
        <w:t xml:space="preserve"> </w:t>
      </w:r>
      <w:r w:rsidRPr="006D0778">
        <w:rPr>
          <w:rFonts w:eastAsia="MS PGothic" w:cstheme="minorHAnsi"/>
          <w:szCs w:val="20"/>
          <w:lang w:eastAsia="ja-JP"/>
        </w:rPr>
        <w:t>Ова група непореских прихода коригована је навише због реализоване уплате прихода који нису били укључени у оригинални буџетски план (добит НБС, дивиденде буџета, емисиона премија).</w:t>
      </w:r>
    </w:p>
    <w:p w14:paraId="4F95C5DA" w14:textId="77777777" w:rsidR="006D0778" w:rsidRPr="006D0778" w:rsidRDefault="006D0778" w:rsidP="00E417E0">
      <w:pPr>
        <w:rPr>
          <w:rFonts w:eastAsia="MS PGothic" w:cstheme="minorHAnsi"/>
          <w:szCs w:val="20"/>
          <w:lang w:eastAsia="ja-JP"/>
        </w:rPr>
      </w:pPr>
      <w:r w:rsidRPr="006D0778">
        <w:rPr>
          <w:rFonts w:eastAsia="MS PGothic" w:cs="Times New Roman"/>
          <w:szCs w:val="20"/>
          <w:lang w:eastAsia="ja-JP"/>
        </w:rPr>
        <w:t xml:space="preserve">Као део свеобухватног </w:t>
      </w:r>
      <w:r w:rsidRPr="006D0778">
        <w:rPr>
          <w:rFonts w:eastAsia="Calibri" w:cs="Times New Roman"/>
          <w:szCs w:val="20"/>
          <w:lang w:eastAsia="ja-JP"/>
        </w:rPr>
        <w:t>побољшања квалитета и транспарентности статистике државних финансија</w:t>
      </w:r>
      <w:r w:rsidRPr="006D0778">
        <w:rPr>
          <w:rFonts w:eastAsia="MS PGothic" w:cs="Times New Roman"/>
          <w:szCs w:val="20"/>
          <w:lang w:eastAsia="ja-JP"/>
        </w:rPr>
        <w:t>, и током 2024. године проширен је статистички обухват сектора државе, у складу са динамиком предвиђеном Законом о буџетском систему. Током претходне године обухват је проширен</w:t>
      </w:r>
      <w:r w:rsidRPr="006D0778">
        <w:rPr>
          <w:rFonts w:eastAsia="MS PGothic" w:cstheme="minorHAnsi"/>
          <w:szCs w:val="20"/>
          <w:lang w:eastAsia="ja-JP"/>
        </w:rPr>
        <w:t xml:space="preserve"> укључивањем здравствених установа са свим изворима финансирања, док је током 2024. године у систем извештавања укључен </w:t>
      </w:r>
      <w:r w:rsidRPr="006D0778">
        <w:rPr>
          <w:lang w:eastAsia="ja-JP"/>
        </w:rPr>
        <w:t>један број ванбуџетских корисника (јавних агенција, научних института и др)</w:t>
      </w:r>
      <w:r w:rsidRPr="006D0778">
        <w:rPr>
          <w:rFonts w:eastAsia="MS PGothic" w:cstheme="minorHAnsi"/>
          <w:szCs w:val="20"/>
          <w:lang w:eastAsia="ja-JP"/>
        </w:rPr>
        <w:t xml:space="preserve">. По том основу у овој години, статистички обухват прихода и расхода сектора државе увећан је за 20,2 млрд динара. На приходној страни то се односи искључиво на категорију непореских прихода, док се на расходној страни највећи део увећања односи на расходе за запослене, а остатак на остале категорије. Због упоредивости, за исти износ коригован је и оригинални план, имајући у виду да се овде не ради о бољем остварењу прихода од плана, односно прекорачења плана код расхода, већ само о проширеном обухвату прихода и расхода које остварују наведене установе. </w:t>
      </w:r>
      <w:r w:rsidRPr="006D0778">
        <w:rPr>
          <w:rFonts w:eastAsia="MS PGothic" w:cstheme="minorHAnsi"/>
          <w:bCs/>
          <w:szCs w:val="20"/>
          <w:lang w:eastAsia="ja-JP"/>
        </w:rPr>
        <w:t xml:space="preserve">На овај начин, а према планираној динамици усклађивања обухвата сектора државе са међународним стандардима, поред повећања обима долази и до тачнијег приказа потрошње код крајњих корисника. </w:t>
      </w:r>
      <w:r w:rsidRPr="006D0778">
        <w:rPr>
          <w:rFonts w:eastAsia="MS PGothic" w:cstheme="minorHAnsi"/>
          <w:szCs w:val="20"/>
          <w:lang w:eastAsia="ja-JP"/>
        </w:rPr>
        <w:t>Поједине категорије расхода сада су обухваћене на економским класификацијама на којима су и извршене.</w:t>
      </w:r>
    </w:p>
    <w:p w14:paraId="42A6674E" w14:textId="4182452C" w:rsidR="006D0778" w:rsidRDefault="006D0778" w:rsidP="006D0778">
      <w:pPr>
        <w:keepLines/>
        <w:widowControl w:val="0"/>
        <w:rPr>
          <w:rFonts w:eastAsia="Calibri" w:cs="Times New Roman"/>
          <w:szCs w:val="24"/>
          <w:lang w:val="sr-Cyrl-RS"/>
        </w:rPr>
      </w:pPr>
    </w:p>
    <w:p w14:paraId="3DA48526" w14:textId="77777777" w:rsidR="0093681C" w:rsidRPr="006D0778" w:rsidRDefault="0093681C" w:rsidP="006D0778">
      <w:pPr>
        <w:keepLines/>
        <w:widowControl w:val="0"/>
        <w:rPr>
          <w:rFonts w:eastAsia="Calibri" w:cs="Times New Roman"/>
          <w:szCs w:val="24"/>
          <w:lang w:val="sr-Cyrl-RS"/>
        </w:rPr>
      </w:pPr>
    </w:p>
    <w:p w14:paraId="04D60477" w14:textId="77777777" w:rsidR="006D0778" w:rsidRPr="006D0778" w:rsidRDefault="006D0778" w:rsidP="006D0778">
      <w:pPr>
        <w:keepLines/>
        <w:widowControl w:val="0"/>
        <w:rPr>
          <w:rFonts w:eastAsia="Calibri" w:cs="Times New Roman"/>
          <w:szCs w:val="24"/>
          <w:lang w:val="sr-Cyrl-RS"/>
        </w:rPr>
      </w:pPr>
      <w:r w:rsidRPr="006D0778">
        <w:rPr>
          <w:rFonts w:eastAsia="Calibri" w:cs="Times New Roman"/>
          <w:szCs w:val="24"/>
          <w:lang w:val="sr-Cyrl-RS"/>
        </w:rPr>
        <w:lastRenderedPageBreak/>
        <w:t>Графикон 6. Допринос појединачних фактора корекцији фискалног резултата у односу на план за 2024. годину, % БДП</w:t>
      </w:r>
    </w:p>
    <w:p w14:paraId="2175F6A4" w14:textId="77777777" w:rsidR="006D0778" w:rsidRPr="006D0778" w:rsidRDefault="006D0778" w:rsidP="006D0778">
      <w:pPr>
        <w:keepLines/>
        <w:widowControl w:val="0"/>
        <w:rPr>
          <w:rFonts w:eastAsia="Calibri" w:cs="Times New Roman"/>
          <w:szCs w:val="24"/>
          <w:lang w:val="sr-Cyrl-RS"/>
        </w:rPr>
      </w:pPr>
      <w:r w:rsidRPr="006D0778">
        <w:rPr>
          <w:noProof/>
        </w:rPr>
        <w:drawing>
          <wp:inline distT="0" distB="0" distL="0" distR="0" wp14:anchorId="053BA9F6" wp14:editId="5CF3F4DE">
            <wp:extent cx="5829300" cy="4586605"/>
            <wp:effectExtent l="0" t="0" r="0" b="4445"/>
            <wp:docPr id="15" name="Chart 15">
              <a:extLst xmlns:a="http://schemas.openxmlformats.org/drawingml/2006/main">
                <a:ext uri="{FF2B5EF4-FFF2-40B4-BE49-F238E27FC236}">
                  <a16:creationId xmlns:a16="http://schemas.microsoft.com/office/drawing/2014/main" id="{00000000-0008-0000-00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14:paraId="4583A7E7" w14:textId="77777777" w:rsidR="006D0778" w:rsidRPr="006D0778" w:rsidRDefault="006D0778" w:rsidP="006D0778">
      <w:pPr>
        <w:rPr>
          <w:rFonts w:eastAsia="MS PGothic" w:cstheme="minorHAnsi"/>
          <w:bCs/>
          <w:szCs w:val="20"/>
          <w:lang w:eastAsia="ja-JP"/>
        </w:rPr>
      </w:pPr>
      <w:r w:rsidRPr="006D0778">
        <w:rPr>
          <w:rFonts w:eastAsia="MS PGothic" w:cstheme="minorHAnsi"/>
          <w:szCs w:val="20"/>
          <w:lang w:eastAsia="ja-JP"/>
        </w:rPr>
        <w:t xml:space="preserve">Процена расхода сектора државе ревидираним фискалним оквиром повећана је за 232,1 млрд динара у односу на буџетски план. </w:t>
      </w:r>
      <w:r w:rsidRPr="006D0778">
        <w:rPr>
          <w:rFonts w:eastAsia="MS PGothic" w:cstheme="minorHAnsi"/>
          <w:bCs/>
          <w:szCs w:val="20"/>
          <w:lang w:eastAsia="ja-JP"/>
        </w:rPr>
        <w:t>При томе највеће је повећање капиталних расхода, док се највеће смањење односи на буџетске позајмице, где су планирана интервенцијска средства за енергетски сектор.</w:t>
      </w:r>
    </w:p>
    <w:p w14:paraId="66CD16D7" w14:textId="77777777" w:rsidR="006D0778" w:rsidRPr="006D0778" w:rsidRDefault="006D0778" w:rsidP="006D0778">
      <w:pPr>
        <w:rPr>
          <w:rFonts w:eastAsia="MS PGothic" w:cstheme="minorHAnsi"/>
          <w:szCs w:val="20"/>
          <w:lang w:eastAsia="ja-JP"/>
        </w:rPr>
      </w:pPr>
      <w:r w:rsidRPr="006D0778">
        <w:rPr>
          <w:rFonts w:eastAsia="MS PGothic" w:cstheme="minorHAnsi"/>
          <w:bCs/>
          <w:szCs w:val="20"/>
          <w:lang w:eastAsia="ja-JP"/>
        </w:rPr>
        <w:t>Процена расхода за запослене у 2024. години ревидирана је навише за 20,7 млрд динара. Ово је у највећој мери резултат измена начина обрачуна зарада запослених у просвети и Министарству унутрашњих послова. У ову процену (као и у оригинални план) укључени су расходи за зараде који се финансирају из сопствених прихода јавних агенција и института, у износу од 17 млрд динара.</w:t>
      </w:r>
      <w:r w:rsidRPr="006D0778">
        <w:rPr>
          <w:rFonts w:eastAsia="MS PGothic" w:cstheme="minorHAnsi"/>
          <w:szCs w:val="20"/>
          <w:lang w:eastAsia="ja-JP"/>
        </w:rPr>
        <w:t xml:space="preserve"> Ова промена ће у складу са Законом о буџетском систему и посебним фискалним правилима, довести и до померања горње дозвољене границе учешћа расхода за зараде у БДП.</w:t>
      </w:r>
    </w:p>
    <w:p w14:paraId="64F232B6" w14:textId="6187EF71" w:rsidR="006D0778" w:rsidRPr="006D0778" w:rsidRDefault="006D0778" w:rsidP="006D0778">
      <w:pPr>
        <w:rPr>
          <w:rFonts w:eastAsia="MS PGothic" w:cstheme="minorHAnsi"/>
          <w:spacing w:val="2"/>
          <w:szCs w:val="20"/>
          <w:lang w:eastAsia="ja-JP"/>
        </w:rPr>
      </w:pPr>
      <w:r w:rsidRPr="006D0778">
        <w:rPr>
          <w:rFonts w:eastAsia="MS PGothic" w:cstheme="minorHAnsi"/>
          <w:spacing w:val="2"/>
          <w:szCs w:val="20"/>
          <w:lang w:eastAsia="ja-JP"/>
        </w:rPr>
        <w:t xml:space="preserve">Расходи за робе и услуге ревидирани су навише </w:t>
      </w:r>
      <w:r w:rsidRPr="006D0778">
        <w:rPr>
          <w:rFonts w:eastAsia="MS PGothic" w:cstheme="minorHAnsi"/>
          <w:spacing w:val="2"/>
          <w:szCs w:val="20"/>
          <w:lang w:val="sr-Cyrl-RS" w:eastAsia="ja-JP"/>
        </w:rPr>
        <w:t>з</w:t>
      </w:r>
      <w:r w:rsidRPr="006D0778">
        <w:rPr>
          <w:rFonts w:eastAsia="MS PGothic" w:cstheme="minorHAnsi"/>
          <w:spacing w:val="2"/>
          <w:szCs w:val="20"/>
          <w:lang w:eastAsia="ja-JP"/>
        </w:rPr>
        <w:t>а 34,1 млрд динара. Од тога се 15 млрд односи на повећање расхода РФЗО, 15 млрд на нивоу буџета Републике, док се остатак повећања односи на друге нивое власти.</w:t>
      </w:r>
      <w:r w:rsidR="00CF6476">
        <w:rPr>
          <w:rFonts w:eastAsia="MS PGothic" w:cstheme="minorHAnsi"/>
          <w:spacing w:val="2"/>
          <w:szCs w:val="20"/>
          <w:lang w:eastAsia="ja-JP"/>
        </w:rPr>
        <w:t xml:space="preserve"> </w:t>
      </w:r>
      <w:r w:rsidRPr="006D0778">
        <w:rPr>
          <w:rFonts w:eastAsia="MS PGothic" w:cstheme="minorHAnsi"/>
          <w:color w:val="FF0000"/>
          <w:spacing w:val="2"/>
          <w:szCs w:val="20"/>
          <w:lang w:eastAsia="ja-JP"/>
        </w:rPr>
        <w:t xml:space="preserve"> </w:t>
      </w:r>
      <w:r w:rsidRPr="006D0778">
        <w:rPr>
          <w:rFonts w:eastAsia="MS PGothic" w:cstheme="minorHAnsi"/>
          <w:spacing w:val="2"/>
          <w:szCs w:val="20"/>
          <w:lang w:eastAsia="ja-JP"/>
        </w:rPr>
        <w:t>Извршено је и укључивање расхода настало проширењем обухвата сектора државе, у износу од око 0,3 млрд динара.</w:t>
      </w:r>
    </w:p>
    <w:p w14:paraId="3A904C94" w14:textId="77777777" w:rsidR="006D0778" w:rsidRPr="006D0778" w:rsidRDefault="006D0778" w:rsidP="006D0778">
      <w:pPr>
        <w:rPr>
          <w:rFonts w:eastAsia="MS PGothic" w:cstheme="minorHAnsi"/>
          <w:spacing w:val="2"/>
          <w:szCs w:val="20"/>
          <w:lang w:eastAsia="ja-JP"/>
        </w:rPr>
      </w:pPr>
      <w:r w:rsidRPr="006D0778">
        <w:rPr>
          <w:rFonts w:eastAsia="MS PGothic" w:cstheme="minorHAnsi"/>
          <w:spacing w:val="2"/>
          <w:szCs w:val="20"/>
          <w:lang w:eastAsia="ja-JP"/>
        </w:rPr>
        <w:t>Процена расхода за камате ревидирана је овим фискалним оквиром навише за 1,7 млрд у односу на оригинални план.</w:t>
      </w:r>
    </w:p>
    <w:p w14:paraId="4CD6A926" w14:textId="2740A60A" w:rsidR="006D0778" w:rsidRPr="006D0778" w:rsidRDefault="006D0778" w:rsidP="006D0778">
      <w:pPr>
        <w:rPr>
          <w:rFonts w:eastAsia="MS PGothic" w:cstheme="minorHAnsi"/>
          <w:szCs w:val="20"/>
          <w:lang w:eastAsia="ja-JP"/>
        </w:rPr>
      </w:pPr>
      <w:r w:rsidRPr="006D0778">
        <w:rPr>
          <w:rFonts w:eastAsia="MS PGothic" w:cstheme="minorHAnsi"/>
          <w:spacing w:val="2"/>
          <w:szCs w:val="20"/>
          <w:lang w:eastAsia="ja-JP"/>
        </w:rPr>
        <w:t>Расходи за субвенције значајно су ревидирани овим фискалним оквиром и то за 33,7 млрд динара</w:t>
      </w:r>
      <w:r w:rsidRPr="006D0778">
        <w:rPr>
          <w:rFonts w:eastAsia="MS PGothic" w:cstheme="minorHAnsi"/>
          <w:szCs w:val="20"/>
          <w:lang w:eastAsia="ja-JP"/>
        </w:rPr>
        <w:t xml:space="preserve">. Највећи део повећања односи се на субвенције у пољопривреди које су </w:t>
      </w:r>
      <w:r w:rsidRPr="006D0778">
        <w:rPr>
          <w:rFonts w:eastAsia="MS PGothic" w:cstheme="minorHAnsi"/>
          <w:szCs w:val="20"/>
          <w:lang w:eastAsia="ja-JP"/>
        </w:rPr>
        <w:lastRenderedPageBreak/>
        <w:t>увећане за 17,6 млрд динара. Ово повећање обухвата веће исплате у сточарству, пчеларству и другим областима. Значајан део повећања износа субвенција односи се и на област енергетике, око 12 млрд динара, и то за модернизацију система за мерење потрошње електричне енергије. Остатак повећања односи се на област туризма,</w:t>
      </w:r>
      <w:r w:rsidR="002B1F9D">
        <w:rPr>
          <w:rFonts w:eastAsia="MS PGothic" w:cstheme="minorHAnsi"/>
          <w:szCs w:val="20"/>
          <w:lang w:val="sr-Cyrl-RS" w:eastAsia="ja-JP"/>
        </w:rPr>
        <w:t xml:space="preserve"> </w:t>
      </w:r>
      <w:r w:rsidRPr="006D0778">
        <w:rPr>
          <w:rFonts w:eastAsia="MS PGothic" w:cstheme="minorHAnsi"/>
          <w:szCs w:val="20"/>
          <w:lang w:eastAsia="ja-JP"/>
        </w:rPr>
        <w:t>заштите животне средине и спорта. По основу проширења обухвата сектора, у оквиру ове категорије расхода, приказано је 1,7 млрд динара.</w:t>
      </w:r>
    </w:p>
    <w:p w14:paraId="6223F969" w14:textId="77777777" w:rsidR="006D0778" w:rsidRPr="006D0778" w:rsidRDefault="006D0778" w:rsidP="006D0778">
      <w:pPr>
        <w:rPr>
          <w:rFonts w:eastAsia="MS PGothic" w:cstheme="minorHAnsi"/>
          <w:szCs w:val="20"/>
          <w:lang w:eastAsia="ja-JP"/>
        </w:rPr>
      </w:pPr>
      <w:r w:rsidRPr="006D0778">
        <w:rPr>
          <w:rFonts w:eastAsia="MS PGothic" w:cstheme="minorHAnsi"/>
          <w:bCs/>
          <w:szCs w:val="20"/>
          <w:lang w:eastAsia="ja-JP"/>
        </w:rPr>
        <w:t>Расходи за социјалну заштиту ревидирани су навише за 37,5 млрд динара у односу на оригинални план. Значајан део повећања односи се на исплату обештећења породиљама по основу одлуке Уставног суда о начину обрачуна накнаде плате за време породиљског одсуства</w:t>
      </w:r>
      <w:r w:rsidRPr="006D0778">
        <w:rPr>
          <w:rFonts w:eastAsia="MS PGothic" w:cstheme="minorHAnsi"/>
          <w:szCs w:val="20"/>
          <w:lang w:eastAsia="ja-JP"/>
        </w:rPr>
        <w:t>. Ефекти ове одлуке имају и једнократни утицај за ретроактивну исплату по основу обрачуна овог права од 2018. године, али и трајни ефекат по основу повећања права за будуће породиље. Такођe усвојене су и измене регулативе финансијске подршке породици са децом, којима су значајно увећана давања по основу родитељског додатка. Део повећања је и резултат већег извршења ове категорије расхода током 2023. године.</w:t>
      </w:r>
    </w:p>
    <w:p w14:paraId="19240C7C" w14:textId="20AA8DD4" w:rsidR="006D0778" w:rsidRPr="006D0778" w:rsidRDefault="006D0778" w:rsidP="006D0778">
      <w:pPr>
        <w:rPr>
          <w:rFonts w:eastAsia="MS PGothic" w:cstheme="minorHAnsi"/>
          <w:szCs w:val="20"/>
          <w:lang w:eastAsia="ja-JP"/>
        </w:rPr>
      </w:pPr>
      <w:r w:rsidRPr="006D0778">
        <w:rPr>
          <w:rFonts w:eastAsia="MS PGothic" w:cstheme="minorHAnsi"/>
          <w:bCs/>
          <w:szCs w:val="20"/>
          <w:lang w:eastAsia="ja-JP"/>
        </w:rPr>
        <w:t>Процена осталих текућих расхода у 2024. години у односу на оригинални план, о</w:t>
      </w:r>
      <w:r w:rsidR="002B1F9D">
        <w:rPr>
          <w:rFonts w:eastAsia="MS PGothic" w:cstheme="minorHAnsi"/>
          <w:bCs/>
          <w:szCs w:val="20"/>
          <w:lang w:eastAsia="ja-JP"/>
        </w:rPr>
        <w:t>вим оквиром повећана је за 20,5</w:t>
      </w:r>
      <w:r w:rsidRPr="006D0778">
        <w:rPr>
          <w:rFonts w:eastAsia="MS PGothic" w:cstheme="minorHAnsi"/>
          <w:bCs/>
          <w:szCs w:val="20"/>
          <w:lang w:eastAsia="ja-JP"/>
        </w:rPr>
        <w:t xml:space="preserve"> млрд динара у највећој мери због повећане процене извршења ове категорије расхода на нивоу буџета Републике.</w:t>
      </w:r>
      <w:r w:rsidR="00CF6476">
        <w:rPr>
          <w:rFonts w:eastAsia="MS PGothic" w:cstheme="minorHAnsi"/>
          <w:bCs/>
          <w:szCs w:val="20"/>
          <w:lang w:eastAsia="ja-JP"/>
        </w:rPr>
        <w:t xml:space="preserve"> </w:t>
      </w:r>
      <w:r w:rsidRPr="006D0778">
        <w:rPr>
          <w:rFonts w:eastAsia="MS PGothic" w:cstheme="minorHAnsi"/>
          <w:bCs/>
          <w:szCs w:val="20"/>
          <w:lang w:eastAsia="ja-JP"/>
        </w:rPr>
        <w:t>По основу проширења обухвата сектора државе</w:t>
      </w:r>
      <w:r w:rsidRPr="006D0778">
        <w:rPr>
          <w:rFonts w:eastAsia="MS PGothic" w:cstheme="minorHAnsi"/>
          <w:szCs w:val="20"/>
          <w:lang w:eastAsia="ja-JP"/>
        </w:rPr>
        <w:t>, у оквиру ове категорије расхода, приказано је 1,7 млрд динара.</w:t>
      </w:r>
    </w:p>
    <w:p w14:paraId="16FFB4A3" w14:textId="77777777" w:rsidR="006D0778" w:rsidRPr="006D0778" w:rsidRDefault="006D0778" w:rsidP="006D0778">
      <w:pPr>
        <w:rPr>
          <w:rFonts w:eastAsia="MS PGothic" w:cstheme="minorHAnsi"/>
          <w:szCs w:val="20"/>
          <w:lang w:eastAsia="ja-JP"/>
        </w:rPr>
      </w:pPr>
      <w:r w:rsidRPr="006D0778">
        <w:rPr>
          <w:rFonts w:eastAsia="MS PGothic" w:cstheme="minorHAnsi"/>
          <w:bCs/>
          <w:szCs w:val="20"/>
          <w:lang w:eastAsia="ja-JP"/>
        </w:rPr>
        <w:t xml:space="preserve">Процењује се да ће реализација јавних инвестиција бити већа за 111,1 млрд динара од првобитног плана. Од тога се већина односи на инфраструктурне пројекте, односно изградњу путне и железничке инфраструктуре, као и за набавку опреме у сектору безбедности. Према проценама капитални расходи достижу ниво од 7,4% БДП у 2024. години. </w:t>
      </w:r>
      <w:r w:rsidRPr="006D0778">
        <w:rPr>
          <w:rFonts w:eastAsia="MS PGothic" w:cstheme="minorHAnsi"/>
          <w:szCs w:val="20"/>
          <w:lang w:eastAsia="ja-JP"/>
        </w:rPr>
        <w:t>Укључивање капиталних расхода јавних агенција и института довело је до повећања и оригиналног и ревидираног плана за 1,5 млрд динара.</w:t>
      </w:r>
    </w:p>
    <w:p w14:paraId="6AC17E8B" w14:textId="77777777" w:rsidR="006D0778" w:rsidRPr="006D0778" w:rsidRDefault="006D0778" w:rsidP="006D0778">
      <w:pPr>
        <w:spacing w:after="240"/>
        <w:rPr>
          <w:rFonts w:eastAsia="MS PGothic" w:cstheme="minorHAnsi"/>
          <w:bCs/>
          <w:szCs w:val="20"/>
          <w:lang w:val="sr-Cyrl-RS" w:eastAsia="ja-JP"/>
        </w:rPr>
      </w:pPr>
      <w:r w:rsidRPr="006D0778">
        <w:rPr>
          <w:rFonts w:eastAsia="MS PGothic" w:cstheme="minorHAnsi"/>
          <w:bCs/>
          <w:szCs w:val="20"/>
          <w:lang w:eastAsia="ja-JP"/>
        </w:rPr>
        <w:t>Планирани износ буџетских позајмица, у оквиру којих су предвиђена средстава за набавку енергената, значајно је ревидиран наниже у износу од 28,2 млрд динара. Проширење обухвата сектора државе деловало је и на ову категорију расхода, у смислу рекласификације дела расхода, који се извршава преко Фонда за развој, у износу од 2 млрд динара на друге категорије</w:t>
      </w:r>
    </w:p>
    <w:p w14:paraId="1C209694" w14:textId="77777777" w:rsidR="006D0778" w:rsidRPr="006D0778" w:rsidRDefault="006D0778" w:rsidP="006D0778">
      <w:pPr>
        <w:keepNext/>
        <w:rPr>
          <w:rFonts w:eastAsia="MS PGothic" w:cs="Times New Roman"/>
          <w:szCs w:val="24"/>
          <w:lang w:val="sr-Cyrl-RS" w:eastAsia="ja-JP"/>
        </w:rPr>
      </w:pPr>
      <w:r w:rsidRPr="006D0778">
        <w:rPr>
          <w:rFonts w:eastAsia="MS PGothic" w:cs="Times New Roman"/>
          <w:szCs w:val="24"/>
          <w:lang w:val="sr-Cyrl-RS" w:eastAsia="ja-JP"/>
        </w:rPr>
        <w:lastRenderedPageBreak/>
        <w:t>Табела 5. Приходи, расходи и резултат сектора државе, јануар–септембар, у млрд динара</w:t>
      </w:r>
    </w:p>
    <w:tbl>
      <w:tblPr>
        <w:tblW w:w="5000" w:type="pct"/>
        <w:jc w:val="right"/>
        <w:tblLook w:val="04A0" w:firstRow="1" w:lastRow="0" w:firstColumn="1" w:lastColumn="0" w:noHBand="0" w:noVBand="1"/>
      </w:tblPr>
      <w:tblGrid>
        <w:gridCol w:w="3800"/>
        <w:gridCol w:w="1258"/>
        <w:gridCol w:w="1625"/>
        <w:gridCol w:w="2343"/>
      </w:tblGrid>
      <w:tr w:rsidR="006D0778" w:rsidRPr="006D0778" w14:paraId="7A3D4B3A" w14:textId="77777777" w:rsidTr="00D2109C">
        <w:trPr>
          <w:trHeight w:val="242"/>
          <w:tblHeader/>
          <w:jc w:val="right"/>
        </w:trPr>
        <w:tc>
          <w:tcPr>
            <w:tcW w:w="2105" w:type="pct"/>
            <w:tcBorders>
              <w:top w:val="single" w:sz="4" w:space="0" w:color="002060"/>
            </w:tcBorders>
            <w:shd w:val="clear" w:color="auto" w:fill="auto"/>
            <w:noWrap/>
            <w:vAlign w:val="center"/>
            <w:hideMark/>
          </w:tcPr>
          <w:p w14:paraId="293D7DD0" w14:textId="77777777" w:rsidR="006D0778" w:rsidRPr="006D0778" w:rsidRDefault="006D0778" w:rsidP="006D0778">
            <w:pPr>
              <w:spacing w:after="0"/>
              <w:rPr>
                <w:rFonts w:cs="Times New Roman"/>
                <w:sz w:val="20"/>
                <w:szCs w:val="20"/>
              </w:rPr>
            </w:pPr>
          </w:p>
        </w:tc>
        <w:tc>
          <w:tcPr>
            <w:tcW w:w="697" w:type="pct"/>
            <w:tcBorders>
              <w:top w:val="single" w:sz="4" w:space="0" w:color="002060"/>
              <w:bottom w:val="single" w:sz="4" w:space="0" w:color="002060"/>
            </w:tcBorders>
            <w:shd w:val="clear" w:color="auto" w:fill="auto"/>
            <w:vAlign w:val="center"/>
            <w:hideMark/>
          </w:tcPr>
          <w:p w14:paraId="37106A6E" w14:textId="77777777" w:rsidR="006D0778" w:rsidRPr="006D0778" w:rsidRDefault="006D0778" w:rsidP="006D0778">
            <w:pPr>
              <w:spacing w:after="0"/>
              <w:jc w:val="center"/>
              <w:rPr>
                <w:rFonts w:eastAsia="MS PGothic" w:cs="Times New Roman"/>
                <w:sz w:val="20"/>
                <w:szCs w:val="20"/>
                <w:lang w:eastAsia="ja-JP"/>
              </w:rPr>
            </w:pPr>
            <w:r w:rsidRPr="006D0778">
              <w:rPr>
                <w:rFonts w:eastAsia="MS PGothic" w:cs="Times New Roman"/>
                <w:sz w:val="20"/>
                <w:szCs w:val="20"/>
                <w:lang w:eastAsia="ja-JP"/>
              </w:rPr>
              <w:t xml:space="preserve"> I–I</w:t>
            </w:r>
            <w:r w:rsidRPr="006D0778">
              <w:rPr>
                <w:rFonts w:eastAsia="MS PGothic" w:cs="Times New Roman"/>
                <w:sz w:val="20"/>
                <w:szCs w:val="20"/>
                <w:lang w:val="sr-Latn-RS" w:eastAsia="ja-JP"/>
              </w:rPr>
              <w:t>X</w:t>
            </w:r>
            <w:r w:rsidRPr="006D0778">
              <w:rPr>
                <w:rFonts w:eastAsia="MS PGothic" w:cs="Times New Roman"/>
                <w:sz w:val="20"/>
                <w:szCs w:val="20"/>
                <w:lang w:eastAsia="ja-JP"/>
              </w:rPr>
              <w:t xml:space="preserve"> 2023</w:t>
            </w:r>
          </w:p>
        </w:tc>
        <w:tc>
          <w:tcPr>
            <w:tcW w:w="900" w:type="pct"/>
            <w:tcBorders>
              <w:top w:val="single" w:sz="4" w:space="0" w:color="002060"/>
              <w:bottom w:val="single" w:sz="4" w:space="0" w:color="002060"/>
            </w:tcBorders>
            <w:shd w:val="clear" w:color="auto" w:fill="auto"/>
            <w:vAlign w:val="center"/>
            <w:hideMark/>
          </w:tcPr>
          <w:p w14:paraId="0BCFDDF3" w14:textId="77777777" w:rsidR="006D0778" w:rsidRPr="006D0778" w:rsidRDefault="006D0778" w:rsidP="006D0778">
            <w:pPr>
              <w:spacing w:after="0"/>
              <w:jc w:val="center"/>
              <w:rPr>
                <w:rFonts w:eastAsia="MS PGothic" w:cs="Times New Roman"/>
                <w:sz w:val="20"/>
                <w:szCs w:val="20"/>
                <w:lang w:eastAsia="ja-JP"/>
              </w:rPr>
            </w:pPr>
            <w:r w:rsidRPr="006D0778">
              <w:rPr>
                <w:rFonts w:eastAsia="MS PGothic" w:cs="Times New Roman"/>
                <w:sz w:val="20"/>
                <w:szCs w:val="20"/>
                <w:lang w:eastAsia="ja-JP"/>
              </w:rPr>
              <w:t>I–IX 2024*</w:t>
            </w:r>
          </w:p>
        </w:tc>
        <w:tc>
          <w:tcPr>
            <w:tcW w:w="1298" w:type="pct"/>
            <w:tcBorders>
              <w:top w:val="single" w:sz="4" w:space="0" w:color="002060"/>
              <w:bottom w:val="single" w:sz="4" w:space="0" w:color="002060"/>
            </w:tcBorders>
            <w:shd w:val="clear" w:color="auto" w:fill="auto"/>
            <w:vAlign w:val="center"/>
            <w:hideMark/>
          </w:tcPr>
          <w:p w14:paraId="40825A8A" w14:textId="77777777" w:rsidR="006D0778" w:rsidRPr="006D0778" w:rsidRDefault="006D0778" w:rsidP="006D0778">
            <w:pPr>
              <w:spacing w:after="0"/>
              <w:jc w:val="center"/>
              <w:rPr>
                <w:rFonts w:eastAsia="MS PGothic" w:cs="Times New Roman"/>
                <w:sz w:val="20"/>
                <w:szCs w:val="20"/>
                <w:lang w:eastAsia="ja-JP"/>
              </w:rPr>
            </w:pPr>
            <w:r w:rsidRPr="006D0778">
              <w:rPr>
                <w:rFonts w:eastAsia="MS PGothic" w:cs="Times New Roman"/>
                <w:sz w:val="20"/>
                <w:szCs w:val="20"/>
                <w:lang w:eastAsia="ja-JP"/>
              </w:rPr>
              <w:t xml:space="preserve">I-IX 2024/I-IX 2023 </w:t>
            </w:r>
          </w:p>
          <w:p w14:paraId="63D840DD" w14:textId="77777777" w:rsidR="006D0778" w:rsidRPr="006D0778" w:rsidRDefault="006D0778" w:rsidP="006D0778">
            <w:pPr>
              <w:spacing w:after="0"/>
              <w:jc w:val="center"/>
              <w:rPr>
                <w:rFonts w:eastAsia="MS PGothic" w:cs="Times New Roman"/>
                <w:sz w:val="20"/>
                <w:szCs w:val="20"/>
                <w:lang w:eastAsia="ja-JP"/>
              </w:rPr>
            </w:pPr>
            <w:r w:rsidRPr="006D0778">
              <w:rPr>
                <w:rFonts w:eastAsia="MS PGothic" w:cs="Times New Roman"/>
                <w:sz w:val="20"/>
                <w:szCs w:val="20"/>
                <w:lang w:eastAsia="ja-JP"/>
              </w:rPr>
              <w:t>стопа раста у %</w:t>
            </w:r>
          </w:p>
        </w:tc>
      </w:tr>
      <w:tr w:rsidR="006D0778" w:rsidRPr="006D0778" w14:paraId="64295FF9" w14:textId="77777777" w:rsidTr="00D2109C">
        <w:trPr>
          <w:trHeight w:val="242"/>
          <w:tblHeader/>
          <w:jc w:val="right"/>
        </w:trPr>
        <w:tc>
          <w:tcPr>
            <w:tcW w:w="2105" w:type="pct"/>
            <w:shd w:val="clear" w:color="auto" w:fill="E7E6E6" w:themeFill="background2"/>
            <w:noWrap/>
            <w:vAlign w:val="center"/>
            <w:hideMark/>
          </w:tcPr>
          <w:p w14:paraId="1C7BF452" w14:textId="77777777" w:rsidR="006D0778" w:rsidRPr="006D0778" w:rsidRDefault="006D0778" w:rsidP="006D0778">
            <w:pPr>
              <w:spacing w:after="0"/>
              <w:jc w:val="left"/>
              <w:rPr>
                <w:rFonts w:cs="Times New Roman"/>
                <w:sz w:val="20"/>
                <w:szCs w:val="20"/>
              </w:rPr>
            </w:pPr>
            <w:r w:rsidRPr="006D0778">
              <w:rPr>
                <w:rFonts w:eastAsia="MS PGothic" w:cs="Times New Roman"/>
                <w:sz w:val="20"/>
                <w:szCs w:val="20"/>
                <w:lang w:eastAsia="ja-JP"/>
              </w:rPr>
              <w:t>ЈАВНИ ПРИХОДИ</w:t>
            </w:r>
          </w:p>
        </w:tc>
        <w:tc>
          <w:tcPr>
            <w:tcW w:w="697" w:type="pct"/>
            <w:tcBorders>
              <w:top w:val="single" w:sz="4" w:space="0" w:color="002060"/>
            </w:tcBorders>
            <w:shd w:val="clear" w:color="auto" w:fill="E7E6E6" w:themeFill="background2"/>
            <w:hideMark/>
          </w:tcPr>
          <w:p w14:paraId="5A58B831"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2.516,7</w:t>
            </w:r>
          </w:p>
        </w:tc>
        <w:tc>
          <w:tcPr>
            <w:tcW w:w="900" w:type="pct"/>
            <w:tcBorders>
              <w:top w:val="single" w:sz="4" w:space="0" w:color="002060"/>
            </w:tcBorders>
            <w:shd w:val="clear" w:color="auto" w:fill="E7E6E6" w:themeFill="background2"/>
            <w:hideMark/>
          </w:tcPr>
          <w:p w14:paraId="189F17CE"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2.878,3</w:t>
            </w:r>
          </w:p>
        </w:tc>
        <w:tc>
          <w:tcPr>
            <w:tcW w:w="1298" w:type="pct"/>
            <w:tcBorders>
              <w:top w:val="single" w:sz="4" w:space="0" w:color="002060"/>
            </w:tcBorders>
            <w:shd w:val="clear" w:color="auto" w:fill="E7E6E6" w:themeFill="background2"/>
            <w:hideMark/>
          </w:tcPr>
          <w:p w14:paraId="2A60F1CF"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14,4</w:t>
            </w:r>
          </w:p>
        </w:tc>
      </w:tr>
      <w:tr w:rsidR="006D0778" w:rsidRPr="006D0778" w14:paraId="73885553" w14:textId="77777777" w:rsidTr="00D2109C">
        <w:trPr>
          <w:trHeight w:val="242"/>
          <w:tblHeader/>
          <w:jc w:val="right"/>
        </w:trPr>
        <w:tc>
          <w:tcPr>
            <w:tcW w:w="2105" w:type="pct"/>
            <w:shd w:val="clear" w:color="auto" w:fill="auto"/>
            <w:noWrap/>
            <w:vAlign w:val="center"/>
            <w:hideMark/>
          </w:tcPr>
          <w:p w14:paraId="2253C221" w14:textId="77777777" w:rsidR="006D0778" w:rsidRPr="006D0778" w:rsidRDefault="006D0778" w:rsidP="006D0778">
            <w:pPr>
              <w:spacing w:after="0"/>
              <w:jc w:val="left"/>
              <w:rPr>
                <w:rFonts w:eastAsia="MS PGothic" w:cs="Times New Roman"/>
                <w:sz w:val="20"/>
                <w:szCs w:val="20"/>
                <w:lang w:eastAsia="ja-JP"/>
              </w:rPr>
            </w:pPr>
            <w:r w:rsidRPr="006D0778">
              <w:rPr>
                <w:rFonts w:eastAsia="MS PGothic" w:cs="Times New Roman"/>
                <w:sz w:val="20"/>
                <w:szCs w:val="20"/>
                <w:lang w:eastAsia="ja-JP"/>
              </w:rPr>
              <w:t>Текући приходи</w:t>
            </w:r>
          </w:p>
        </w:tc>
        <w:tc>
          <w:tcPr>
            <w:tcW w:w="697" w:type="pct"/>
            <w:shd w:val="clear" w:color="auto" w:fill="auto"/>
            <w:hideMark/>
          </w:tcPr>
          <w:p w14:paraId="024B2A55"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2.486,7</w:t>
            </w:r>
          </w:p>
        </w:tc>
        <w:tc>
          <w:tcPr>
            <w:tcW w:w="900" w:type="pct"/>
            <w:shd w:val="clear" w:color="auto" w:fill="auto"/>
            <w:noWrap/>
            <w:hideMark/>
          </w:tcPr>
          <w:p w14:paraId="18A3B727"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2.866,0</w:t>
            </w:r>
          </w:p>
        </w:tc>
        <w:tc>
          <w:tcPr>
            <w:tcW w:w="1298" w:type="pct"/>
            <w:shd w:val="clear" w:color="auto" w:fill="auto"/>
            <w:hideMark/>
          </w:tcPr>
          <w:p w14:paraId="5BB61674"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15,3</w:t>
            </w:r>
          </w:p>
        </w:tc>
      </w:tr>
      <w:tr w:rsidR="006D0778" w:rsidRPr="006D0778" w14:paraId="3DC1C26F" w14:textId="77777777" w:rsidTr="00D2109C">
        <w:trPr>
          <w:trHeight w:val="242"/>
          <w:tblHeader/>
          <w:jc w:val="right"/>
        </w:trPr>
        <w:tc>
          <w:tcPr>
            <w:tcW w:w="2105" w:type="pct"/>
            <w:shd w:val="clear" w:color="auto" w:fill="auto"/>
            <w:noWrap/>
            <w:vAlign w:val="center"/>
            <w:hideMark/>
          </w:tcPr>
          <w:p w14:paraId="503E54A7" w14:textId="77777777" w:rsidR="006D0778" w:rsidRPr="006D0778" w:rsidRDefault="006D0778" w:rsidP="006D0778">
            <w:pPr>
              <w:spacing w:after="0"/>
              <w:jc w:val="left"/>
              <w:rPr>
                <w:rFonts w:eastAsia="MS PGothic" w:cs="Times New Roman"/>
                <w:sz w:val="20"/>
                <w:szCs w:val="20"/>
                <w:lang w:eastAsia="ja-JP"/>
              </w:rPr>
            </w:pPr>
            <w:r w:rsidRPr="006D0778">
              <w:rPr>
                <w:rFonts w:eastAsia="MS PGothic" w:cs="Times New Roman"/>
                <w:sz w:val="20"/>
                <w:szCs w:val="20"/>
                <w:lang w:eastAsia="ja-JP"/>
              </w:rPr>
              <w:t xml:space="preserve"> Порески приходи</w:t>
            </w:r>
          </w:p>
        </w:tc>
        <w:tc>
          <w:tcPr>
            <w:tcW w:w="697" w:type="pct"/>
            <w:shd w:val="clear" w:color="auto" w:fill="auto"/>
            <w:hideMark/>
          </w:tcPr>
          <w:p w14:paraId="02425C1E"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2.244,3</w:t>
            </w:r>
          </w:p>
        </w:tc>
        <w:tc>
          <w:tcPr>
            <w:tcW w:w="900" w:type="pct"/>
            <w:shd w:val="clear" w:color="auto" w:fill="auto"/>
            <w:hideMark/>
          </w:tcPr>
          <w:p w14:paraId="46D4AF62"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2.573,6</w:t>
            </w:r>
          </w:p>
        </w:tc>
        <w:tc>
          <w:tcPr>
            <w:tcW w:w="1298" w:type="pct"/>
            <w:shd w:val="clear" w:color="auto" w:fill="auto"/>
            <w:hideMark/>
          </w:tcPr>
          <w:p w14:paraId="68591D31"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14,7</w:t>
            </w:r>
          </w:p>
        </w:tc>
      </w:tr>
      <w:tr w:rsidR="006D0778" w:rsidRPr="006D0778" w14:paraId="37C95D1A" w14:textId="77777777" w:rsidTr="00D2109C">
        <w:trPr>
          <w:trHeight w:val="242"/>
          <w:tblHeader/>
          <w:jc w:val="right"/>
        </w:trPr>
        <w:tc>
          <w:tcPr>
            <w:tcW w:w="2105" w:type="pct"/>
            <w:shd w:val="clear" w:color="auto" w:fill="auto"/>
            <w:noWrap/>
            <w:vAlign w:val="center"/>
            <w:hideMark/>
          </w:tcPr>
          <w:p w14:paraId="4D4CE9CD" w14:textId="5C65C367" w:rsidR="006D0778" w:rsidRPr="006D0778" w:rsidRDefault="00CF6476" w:rsidP="006D0778">
            <w:pPr>
              <w:spacing w:after="0"/>
              <w:jc w:val="left"/>
              <w:rPr>
                <w:rFonts w:eastAsia="MS PGothic" w:cs="Times New Roman"/>
                <w:sz w:val="20"/>
                <w:szCs w:val="20"/>
                <w:lang w:eastAsia="ja-JP"/>
              </w:rPr>
            </w:pPr>
            <w:r>
              <w:rPr>
                <w:rFonts w:eastAsia="MS PGothic" w:cs="Times New Roman"/>
                <w:sz w:val="20"/>
                <w:szCs w:val="20"/>
                <w:lang w:eastAsia="ja-JP"/>
              </w:rPr>
              <w:t xml:space="preserve"> </w:t>
            </w:r>
            <w:r w:rsidR="006D0778" w:rsidRPr="006D0778">
              <w:rPr>
                <w:rFonts w:eastAsia="MS PGothic" w:cs="Times New Roman"/>
                <w:sz w:val="20"/>
                <w:szCs w:val="20"/>
                <w:lang w:eastAsia="ja-JP"/>
              </w:rPr>
              <w:t>Порез на доходак грађана</w:t>
            </w:r>
          </w:p>
        </w:tc>
        <w:tc>
          <w:tcPr>
            <w:tcW w:w="697" w:type="pct"/>
            <w:shd w:val="clear" w:color="auto" w:fill="auto"/>
            <w:hideMark/>
          </w:tcPr>
          <w:p w14:paraId="1AB23045"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251,5</w:t>
            </w:r>
          </w:p>
        </w:tc>
        <w:tc>
          <w:tcPr>
            <w:tcW w:w="900" w:type="pct"/>
            <w:shd w:val="clear" w:color="auto" w:fill="auto"/>
            <w:hideMark/>
          </w:tcPr>
          <w:p w14:paraId="40F295E4"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290,9</w:t>
            </w:r>
          </w:p>
        </w:tc>
        <w:tc>
          <w:tcPr>
            <w:tcW w:w="1298" w:type="pct"/>
            <w:shd w:val="clear" w:color="auto" w:fill="auto"/>
            <w:hideMark/>
          </w:tcPr>
          <w:p w14:paraId="356D28F7"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15,7</w:t>
            </w:r>
          </w:p>
        </w:tc>
      </w:tr>
      <w:tr w:rsidR="006D0778" w:rsidRPr="006D0778" w14:paraId="0F7EACBF" w14:textId="77777777" w:rsidTr="00D2109C">
        <w:trPr>
          <w:trHeight w:val="242"/>
          <w:tblHeader/>
          <w:jc w:val="right"/>
        </w:trPr>
        <w:tc>
          <w:tcPr>
            <w:tcW w:w="2105" w:type="pct"/>
            <w:shd w:val="clear" w:color="auto" w:fill="auto"/>
            <w:noWrap/>
            <w:vAlign w:val="center"/>
            <w:hideMark/>
          </w:tcPr>
          <w:p w14:paraId="43059253" w14:textId="52B402C4" w:rsidR="006D0778" w:rsidRPr="006D0778" w:rsidRDefault="00CF6476" w:rsidP="006D0778">
            <w:pPr>
              <w:spacing w:after="0"/>
              <w:jc w:val="left"/>
              <w:rPr>
                <w:rFonts w:eastAsia="MS PGothic" w:cs="Times New Roman"/>
                <w:sz w:val="20"/>
                <w:szCs w:val="20"/>
                <w:lang w:eastAsia="ja-JP"/>
              </w:rPr>
            </w:pPr>
            <w:r>
              <w:rPr>
                <w:rFonts w:eastAsia="MS PGothic" w:cs="Times New Roman"/>
                <w:sz w:val="20"/>
                <w:szCs w:val="20"/>
                <w:lang w:eastAsia="ja-JP"/>
              </w:rPr>
              <w:t xml:space="preserve"> </w:t>
            </w:r>
            <w:r w:rsidR="006D0778" w:rsidRPr="006D0778">
              <w:rPr>
                <w:rFonts w:eastAsia="MS PGothic" w:cs="Times New Roman"/>
                <w:sz w:val="20"/>
                <w:szCs w:val="20"/>
                <w:lang w:eastAsia="ja-JP"/>
              </w:rPr>
              <w:t>Порез на добит правних лица</w:t>
            </w:r>
          </w:p>
        </w:tc>
        <w:tc>
          <w:tcPr>
            <w:tcW w:w="697" w:type="pct"/>
            <w:shd w:val="clear" w:color="auto" w:fill="auto"/>
            <w:hideMark/>
          </w:tcPr>
          <w:p w14:paraId="47CB58DD"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220,6</w:t>
            </w:r>
          </w:p>
        </w:tc>
        <w:tc>
          <w:tcPr>
            <w:tcW w:w="900" w:type="pct"/>
            <w:shd w:val="clear" w:color="auto" w:fill="auto"/>
            <w:hideMark/>
          </w:tcPr>
          <w:p w14:paraId="5F1CE08A"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245,1</w:t>
            </w:r>
          </w:p>
        </w:tc>
        <w:tc>
          <w:tcPr>
            <w:tcW w:w="1298" w:type="pct"/>
            <w:shd w:val="clear" w:color="auto" w:fill="auto"/>
            <w:hideMark/>
          </w:tcPr>
          <w:p w14:paraId="71DEE832"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11,1</w:t>
            </w:r>
          </w:p>
        </w:tc>
      </w:tr>
      <w:tr w:rsidR="006D0778" w:rsidRPr="006D0778" w14:paraId="4F4E1765" w14:textId="77777777" w:rsidTr="00D2109C">
        <w:trPr>
          <w:trHeight w:val="242"/>
          <w:tblHeader/>
          <w:jc w:val="right"/>
        </w:trPr>
        <w:tc>
          <w:tcPr>
            <w:tcW w:w="2105" w:type="pct"/>
            <w:shd w:val="clear" w:color="auto" w:fill="auto"/>
            <w:noWrap/>
            <w:vAlign w:val="center"/>
            <w:hideMark/>
          </w:tcPr>
          <w:p w14:paraId="09B5C221" w14:textId="126B2A7F" w:rsidR="006D0778" w:rsidRPr="006D0778" w:rsidRDefault="00CF6476" w:rsidP="006D0778">
            <w:pPr>
              <w:spacing w:after="0"/>
              <w:jc w:val="left"/>
              <w:rPr>
                <w:rFonts w:eastAsia="MS PGothic" w:cs="Times New Roman"/>
                <w:sz w:val="20"/>
                <w:szCs w:val="20"/>
                <w:lang w:eastAsia="ja-JP"/>
              </w:rPr>
            </w:pPr>
            <w:r>
              <w:rPr>
                <w:rFonts w:eastAsia="MS PGothic" w:cs="Times New Roman"/>
                <w:sz w:val="20"/>
                <w:szCs w:val="20"/>
                <w:lang w:eastAsia="ja-JP"/>
              </w:rPr>
              <w:t xml:space="preserve"> </w:t>
            </w:r>
            <w:r w:rsidR="006D0778" w:rsidRPr="006D0778">
              <w:rPr>
                <w:rFonts w:eastAsia="MS PGothic" w:cs="Times New Roman"/>
                <w:sz w:val="20"/>
                <w:szCs w:val="20"/>
                <w:lang w:eastAsia="ja-JP"/>
              </w:rPr>
              <w:t>ПДВ</w:t>
            </w:r>
          </w:p>
        </w:tc>
        <w:tc>
          <w:tcPr>
            <w:tcW w:w="697" w:type="pct"/>
            <w:shd w:val="clear" w:color="auto" w:fill="auto"/>
            <w:hideMark/>
          </w:tcPr>
          <w:p w14:paraId="1CE51BF2"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598,6</w:t>
            </w:r>
          </w:p>
        </w:tc>
        <w:tc>
          <w:tcPr>
            <w:tcW w:w="900" w:type="pct"/>
            <w:shd w:val="clear" w:color="auto" w:fill="auto"/>
            <w:hideMark/>
          </w:tcPr>
          <w:p w14:paraId="1C6DCFFC"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697,7</w:t>
            </w:r>
          </w:p>
        </w:tc>
        <w:tc>
          <w:tcPr>
            <w:tcW w:w="1298" w:type="pct"/>
            <w:shd w:val="clear" w:color="auto" w:fill="auto"/>
            <w:hideMark/>
          </w:tcPr>
          <w:p w14:paraId="3BD0AB72"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16,6</w:t>
            </w:r>
          </w:p>
        </w:tc>
      </w:tr>
      <w:tr w:rsidR="006D0778" w:rsidRPr="006D0778" w14:paraId="50733E10" w14:textId="77777777" w:rsidTr="00D2109C">
        <w:trPr>
          <w:trHeight w:val="242"/>
          <w:tblHeader/>
          <w:jc w:val="right"/>
        </w:trPr>
        <w:tc>
          <w:tcPr>
            <w:tcW w:w="2105" w:type="pct"/>
            <w:shd w:val="clear" w:color="auto" w:fill="auto"/>
            <w:noWrap/>
            <w:vAlign w:val="center"/>
            <w:hideMark/>
          </w:tcPr>
          <w:p w14:paraId="01E45583" w14:textId="16E67273" w:rsidR="006D0778" w:rsidRPr="006D0778" w:rsidRDefault="00CF6476" w:rsidP="006D0778">
            <w:pPr>
              <w:spacing w:after="0"/>
              <w:jc w:val="left"/>
              <w:rPr>
                <w:rFonts w:eastAsia="MS PGothic" w:cs="Times New Roman"/>
                <w:sz w:val="20"/>
                <w:szCs w:val="20"/>
                <w:lang w:eastAsia="ja-JP"/>
              </w:rPr>
            </w:pPr>
            <w:r>
              <w:rPr>
                <w:rFonts w:eastAsia="MS PGothic" w:cs="Times New Roman"/>
                <w:sz w:val="20"/>
                <w:szCs w:val="20"/>
                <w:lang w:eastAsia="ja-JP"/>
              </w:rPr>
              <w:t xml:space="preserve"> </w:t>
            </w:r>
            <w:r w:rsidR="006D0778" w:rsidRPr="006D0778">
              <w:rPr>
                <w:rFonts w:eastAsia="MS PGothic" w:cs="Times New Roman"/>
                <w:sz w:val="20"/>
                <w:szCs w:val="20"/>
                <w:lang w:eastAsia="ja-JP"/>
              </w:rPr>
              <w:t>Акцизе</w:t>
            </w:r>
          </w:p>
        </w:tc>
        <w:tc>
          <w:tcPr>
            <w:tcW w:w="697" w:type="pct"/>
            <w:shd w:val="clear" w:color="auto" w:fill="auto"/>
            <w:hideMark/>
          </w:tcPr>
          <w:p w14:paraId="2FB13192"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269,4</w:t>
            </w:r>
          </w:p>
        </w:tc>
        <w:tc>
          <w:tcPr>
            <w:tcW w:w="900" w:type="pct"/>
            <w:shd w:val="clear" w:color="auto" w:fill="auto"/>
            <w:hideMark/>
          </w:tcPr>
          <w:p w14:paraId="3BC7839C"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306,5</w:t>
            </w:r>
          </w:p>
        </w:tc>
        <w:tc>
          <w:tcPr>
            <w:tcW w:w="1298" w:type="pct"/>
            <w:shd w:val="clear" w:color="auto" w:fill="auto"/>
            <w:hideMark/>
          </w:tcPr>
          <w:p w14:paraId="7010D2C8"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13,7</w:t>
            </w:r>
          </w:p>
        </w:tc>
      </w:tr>
      <w:tr w:rsidR="006D0778" w:rsidRPr="006D0778" w14:paraId="144F5BF8" w14:textId="77777777" w:rsidTr="00D2109C">
        <w:trPr>
          <w:trHeight w:val="242"/>
          <w:tblHeader/>
          <w:jc w:val="right"/>
        </w:trPr>
        <w:tc>
          <w:tcPr>
            <w:tcW w:w="2105" w:type="pct"/>
            <w:shd w:val="clear" w:color="auto" w:fill="auto"/>
            <w:noWrap/>
            <w:vAlign w:val="center"/>
            <w:hideMark/>
          </w:tcPr>
          <w:p w14:paraId="7020CBF1" w14:textId="1355CF99" w:rsidR="006D0778" w:rsidRPr="006D0778" w:rsidRDefault="00CF6476" w:rsidP="006D0778">
            <w:pPr>
              <w:spacing w:after="0"/>
              <w:jc w:val="left"/>
              <w:rPr>
                <w:rFonts w:eastAsia="MS PGothic" w:cs="Times New Roman"/>
                <w:sz w:val="20"/>
                <w:szCs w:val="20"/>
                <w:lang w:eastAsia="ja-JP"/>
              </w:rPr>
            </w:pPr>
            <w:r>
              <w:rPr>
                <w:rFonts w:eastAsia="MS PGothic" w:cs="Times New Roman"/>
                <w:sz w:val="20"/>
                <w:szCs w:val="20"/>
                <w:lang w:eastAsia="ja-JP"/>
              </w:rPr>
              <w:t xml:space="preserve"> </w:t>
            </w:r>
            <w:r w:rsidR="006D0778" w:rsidRPr="006D0778">
              <w:rPr>
                <w:rFonts w:eastAsia="MS PGothic" w:cs="Times New Roman"/>
                <w:sz w:val="20"/>
                <w:szCs w:val="20"/>
                <w:lang w:eastAsia="ja-JP"/>
              </w:rPr>
              <w:t>Царине</w:t>
            </w:r>
          </w:p>
        </w:tc>
        <w:tc>
          <w:tcPr>
            <w:tcW w:w="697" w:type="pct"/>
            <w:shd w:val="clear" w:color="auto" w:fill="auto"/>
            <w:hideMark/>
          </w:tcPr>
          <w:p w14:paraId="353CDE7A"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59,1</w:t>
            </w:r>
          </w:p>
        </w:tc>
        <w:tc>
          <w:tcPr>
            <w:tcW w:w="900" w:type="pct"/>
            <w:shd w:val="clear" w:color="auto" w:fill="auto"/>
            <w:hideMark/>
          </w:tcPr>
          <w:p w14:paraId="7B2FC6F5"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64,7</w:t>
            </w:r>
          </w:p>
        </w:tc>
        <w:tc>
          <w:tcPr>
            <w:tcW w:w="1298" w:type="pct"/>
            <w:shd w:val="clear" w:color="auto" w:fill="auto"/>
            <w:hideMark/>
          </w:tcPr>
          <w:p w14:paraId="72F0A0A2"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12,0</w:t>
            </w:r>
          </w:p>
        </w:tc>
      </w:tr>
      <w:tr w:rsidR="006D0778" w:rsidRPr="006D0778" w14:paraId="3F92CE2F" w14:textId="77777777" w:rsidTr="00D2109C">
        <w:trPr>
          <w:trHeight w:val="242"/>
          <w:tblHeader/>
          <w:jc w:val="right"/>
        </w:trPr>
        <w:tc>
          <w:tcPr>
            <w:tcW w:w="2105" w:type="pct"/>
            <w:shd w:val="clear" w:color="auto" w:fill="auto"/>
            <w:noWrap/>
            <w:vAlign w:val="center"/>
            <w:hideMark/>
          </w:tcPr>
          <w:p w14:paraId="4387E8F9" w14:textId="38F3E250" w:rsidR="006D0778" w:rsidRPr="006D0778" w:rsidRDefault="00CF6476" w:rsidP="006D0778">
            <w:pPr>
              <w:spacing w:after="0"/>
              <w:jc w:val="left"/>
              <w:rPr>
                <w:rFonts w:eastAsia="MS PGothic" w:cs="Times New Roman"/>
                <w:sz w:val="20"/>
                <w:szCs w:val="20"/>
                <w:lang w:eastAsia="ja-JP"/>
              </w:rPr>
            </w:pPr>
            <w:r>
              <w:rPr>
                <w:rFonts w:eastAsia="MS PGothic" w:cs="Times New Roman"/>
                <w:sz w:val="20"/>
                <w:szCs w:val="20"/>
                <w:lang w:eastAsia="ja-JP"/>
              </w:rPr>
              <w:t xml:space="preserve"> </w:t>
            </w:r>
            <w:r w:rsidR="006D0778" w:rsidRPr="006D0778">
              <w:rPr>
                <w:rFonts w:eastAsia="MS PGothic" w:cs="Times New Roman"/>
                <w:sz w:val="20"/>
                <w:szCs w:val="20"/>
                <w:lang w:eastAsia="ja-JP"/>
              </w:rPr>
              <w:t>Остали порески приходи</w:t>
            </w:r>
          </w:p>
        </w:tc>
        <w:tc>
          <w:tcPr>
            <w:tcW w:w="697" w:type="pct"/>
            <w:shd w:val="clear" w:color="auto" w:fill="auto"/>
            <w:hideMark/>
          </w:tcPr>
          <w:p w14:paraId="500174EB"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79,5</w:t>
            </w:r>
          </w:p>
        </w:tc>
        <w:tc>
          <w:tcPr>
            <w:tcW w:w="900" w:type="pct"/>
            <w:shd w:val="clear" w:color="auto" w:fill="auto"/>
            <w:hideMark/>
          </w:tcPr>
          <w:p w14:paraId="62EF3AC1"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84,3</w:t>
            </w:r>
          </w:p>
        </w:tc>
        <w:tc>
          <w:tcPr>
            <w:tcW w:w="1298" w:type="pct"/>
            <w:shd w:val="clear" w:color="auto" w:fill="auto"/>
            <w:hideMark/>
          </w:tcPr>
          <w:p w14:paraId="0EADE0B9"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6,0</w:t>
            </w:r>
          </w:p>
        </w:tc>
      </w:tr>
      <w:tr w:rsidR="006D0778" w:rsidRPr="006D0778" w14:paraId="2AC99B0A" w14:textId="77777777" w:rsidTr="00D2109C">
        <w:trPr>
          <w:trHeight w:val="242"/>
          <w:tblHeader/>
          <w:jc w:val="right"/>
        </w:trPr>
        <w:tc>
          <w:tcPr>
            <w:tcW w:w="2105" w:type="pct"/>
            <w:shd w:val="clear" w:color="auto" w:fill="auto"/>
            <w:noWrap/>
            <w:vAlign w:val="center"/>
            <w:hideMark/>
          </w:tcPr>
          <w:p w14:paraId="7DFCA4A8" w14:textId="05FF2337" w:rsidR="006D0778" w:rsidRPr="006D0778" w:rsidRDefault="00CF6476" w:rsidP="006D0778">
            <w:pPr>
              <w:spacing w:after="0"/>
              <w:jc w:val="left"/>
              <w:rPr>
                <w:rFonts w:eastAsia="MS PGothic" w:cs="Times New Roman"/>
                <w:sz w:val="20"/>
                <w:szCs w:val="20"/>
                <w:lang w:eastAsia="ja-JP"/>
              </w:rPr>
            </w:pPr>
            <w:r>
              <w:rPr>
                <w:rFonts w:eastAsia="MS PGothic" w:cs="Times New Roman"/>
                <w:sz w:val="20"/>
                <w:szCs w:val="20"/>
                <w:lang w:eastAsia="ja-JP"/>
              </w:rPr>
              <w:t xml:space="preserve"> </w:t>
            </w:r>
            <w:r w:rsidR="006D0778" w:rsidRPr="006D0778">
              <w:rPr>
                <w:rFonts w:eastAsia="MS PGothic" w:cs="Times New Roman"/>
                <w:sz w:val="20"/>
                <w:szCs w:val="20"/>
                <w:lang w:eastAsia="ja-JP"/>
              </w:rPr>
              <w:t>Доприноси</w:t>
            </w:r>
          </w:p>
        </w:tc>
        <w:tc>
          <w:tcPr>
            <w:tcW w:w="697" w:type="pct"/>
            <w:shd w:val="clear" w:color="auto" w:fill="auto"/>
            <w:hideMark/>
          </w:tcPr>
          <w:p w14:paraId="6045BB16"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765,6</w:t>
            </w:r>
          </w:p>
        </w:tc>
        <w:tc>
          <w:tcPr>
            <w:tcW w:w="900" w:type="pct"/>
            <w:shd w:val="clear" w:color="auto" w:fill="auto"/>
            <w:hideMark/>
          </w:tcPr>
          <w:p w14:paraId="6E273725"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884,4</w:t>
            </w:r>
          </w:p>
        </w:tc>
        <w:tc>
          <w:tcPr>
            <w:tcW w:w="1298" w:type="pct"/>
            <w:shd w:val="clear" w:color="auto" w:fill="auto"/>
            <w:hideMark/>
          </w:tcPr>
          <w:p w14:paraId="717B85D1"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15,5</w:t>
            </w:r>
          </w:p>
        </w:tc>
      </w:tr>
      <w:tr w:rsidR="006D0778" w:rsidRPr="006D0778" w14:paraId="4ABED407" w14:textId="77777777" w:rsidTr="00D2109C">
        <w:trPr>
          <w:trHeight w:val="242"/>
          <w:tblHeader/>
          <w:jc w:val="right"/>
        </w:trPr>
        <w:tc>
          <w:tcPr>
            <w:tcW w:w="2105" w:type="pct"/>
            <w:shd w:val="clear" w:color="auto" w:fill="auto"/>
            <w:noWrap/>
            <w:vAlign w:val="center"/>
            <w:hideMark/>
          </w:tcPr>
          <w:p w14:paraId="134D88B5" w14:textId="77777777" w:rsidR="006D0778" w:rsidRPr="006D0778" w:rsidRDefault="006D0778" w:rsidP="006D0778">
            <w:pPr>
              <w:spacing w:after="0"/>
              <w:jc w:val="left"/>
              <w:rPr>
                <w:rFonts w:eastAsia="MS PGothic" w:cs="Times New Roman"/>
                <w:sz w:val="20"/>
                <w:szCs w:val="20"/>
                <w:lang w:eastAsia="ja-JP"/>
              </w:rPr>
            </w:pPr>
            <w:r w:rsidRPr="006D0778">
              <w:rPr>
                <w:rFonts w:eastAsia="MS PGothic" w:cs="Times New Roman"/>
                <w:sz w:val="20"/>
                <w:szCs w:val="20"/>
                <w:lang w:eastAsia="ja-JP"/>
              </w:rPr>
              <w:t xml:space="preserve"> Непорески приходи</w:t>
            </w:r>
          </w:p>
        </w:tc>
        <w:tc>
          <w:tcPr>
            <w:tcW w:w="697" w:type="pct"/>
            <w:shd w:val="clear" w:color="auto" w:fill="auto"/>
            <w:hideMark/>
          </w:tcPr>
          <w:p w14:paraId="20823277"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242,3</w:t>
            </w:r>
          </w:p>
        </w:tc>
        <w:tc>
          <w:tcPr>
            <w:tcW w:w="900" w:type="pct"/>
            <w:shd w:val="clear" w:color="auto" w:fill="auto"/>
            <w:hideMark/>
          </w:tcPr>
          <w:p w14:paraId="3DD6C73D"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292,4</w:t>
            </w:r>
          </w:p>
        </w:tc>
        <w:tc>
          <w:tcPr>
            <w:tcW w:w="1298" w:type="pct"/>
            <w:shd w:val="clear" w:color="auto" w:fill="auto"/>
            <w:hideMark/>
          </w:tcPr>
          <w:p w14:paraId="73A637FD"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20,7</w:t>
            </w:r>
          </w:p>
        </w:tc>
      </w:tr>
      <w:tr w:rsidR="006D0778" w:rsidRPr="006D0778" w14:paraId="629A9D8D" w14:textId="77777777" w:rsidTr="00D2109C">
        <w:trPr>
          <w:trHeight w:val="242"/>
          <w:tblHeader/>
          <w:jc w:val="right"/>
        </w:trPr>
        <w:tc>
          <w:tcPr>
            <w:tcW w:w="2105" w:type="pct"/>
            <w:shd w:val="clear" w:color="auto" w:fill="auto"/>
            <w:noWrap/>
            <w:vAlign w:val="center"/>
            <w:hideMark/>
          </w:tcPr>
          <w:p w14:paraId="15D8F8C5" w14:textId="77777777" w:rsidR="006D0778" w:rsidRPr="006D0778" w:rsidRDefault="006D0778" w:rsidP="006D0778">
            <w:pPr>
              <w:spacing w:after="0"/>
              <w:jc w:val="left"/>
              <w:rPr>
                <w:rFonts w:eastAsia="MS PGothic" w:cs="Times New Roman"/>
                <w:sz w:val="20"/>
                <w:szCs w:val="20"/>
                <w:lang w:eastAsia="ja-JP"/>
              </w:rPr>
            </w:pPr>
            <w:r w:rsidRPr="006D0778">
              <w:rPr>
                <w:rFonts w:eastAsia="MS PGothic" w:cs="Times New Roman"/>
                <w:sz w:val="20"/>
                <w:szCs w:val="20"/>
                <w:lang w:eastAsia="ja-JP"/>
              </w:rPr>
              <w:t xml:space="preserve"> Донације</w:t>
            </w:r>
          </w:p>
        </w:tc>
        <w:tc>
          <w:tcPr>
            <w:tcW w:w="697" w:type="pct"/>
            <w:shd w:val="clear" w:color="auto" w:fill="auto"/>
            <w:hideMark/>
          </w:tcPr>
          <w:p w14:paraId="3FCC6A71"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30,0</w:t>
            </w:r>
          </w:p>
        </w:tc>
        <w:tc>
          <w:tcPr>
            <w:tcW w:w="900" w:type="pct"/>
            <w:shd w:val="clear" w:color="auto" w:fill="auto"/>
            <w:hideMark/>
          </w:tcPr>
          <w:p w14:paraId="201C58D4"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12,3</w:t>
            </w:r>
          </w:p>
        </w:tc>
        <w:tc>
          <w:tcPr>
            <w:tcW w:w="1298" w:type="pct"/>
            <w:shd w:val="clear" w:color="auto" w:fill="auto"/>
            <w:hideMark/>
          </w:tcPr>
          <w:p w14:paraId="7A888671"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-59,1</w:t>
            </w:r>
          </w:p>
        </w:tc>
      </w:tr>
      <w:tr w:rsidR="006D0778" w:rsidRPr="006D0778" w14:paraId="3D63292D" w14:textId="77777777" w:rsidTr="00D2109C">
        <w:trPr>
          <w:trHeight w:val="242"/>
          <w:tblHeader/>
          <w:jc w:val="right"/>
        </w:trPr>
        <w:tc>
          <w:tcPr>
            <w:tcW w:w="2105" w:type="pct"/>
            <w:shd w:val="clear" w:color="auto" w:fill="E7E6E6" w:themeFill="background2"/>
            <w:noWrap/>
            <w:vAlign w:val="center"/>
            <w:hideMark/>
          </w:tcPr>
          <w:p w14:paraId="609B17D7" w14:textId="77777777" w:rsidR="006D0778" w:rsidRPr="006D0778" w:rsidRDefault="006D0778" w:rsidP="006D0778">
            <w:pPr>
              <w:spacing w:after="0"/>
              <w:jc w:val="left"/>
              <w:rPr>
                <w:rFonts w:cs="Times New Roman"/>
                <w:sz w:val="20"/>
                <w:szCs w:val="20"/>
              </w:rPr>
            </w:pPr>
            <w:r w:rsidRPr="006D0778">
              <w:rPr>
                <w:rFonts w:eastAsia="MS PGothic" w:cs="Times New Roman"/>
                <w:sz w:val="20"/>
                <w:szCs w:val="20"/>
                <w:lang w:eastAsia="ja-JP"/>
              </w:rPr>
              <w:t>ЈАВНИ РАСХОДИ</w:t>
            </w:r>
          </w:p>
        </w:tc>
        <w:tc>
          <w:tcPr>
            <w:tcW w:w="697" w:type="pct"/>
            <w:shd w:val="clear" w:color="auto" w:fill="E7E6E6" w:themeFill="background2"/>
            <w:hideMark/>
          </w:tcPr>
          <w:p w14:paraId="38EE8958"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2.500,9</w:t>
            </w:r>
          </w:p>
        </w:tc>
        <w:tc>
          <w:tcPr>
            <w:tcW w:w="900" w:type="pct"/>
            <w:shd w:val="clear" w:color="auto" w:fill="E7E6E6" w:themeFill="background2"/>
            <w:noWrap/>
            <w:hideMark/>
          </w:tcPr>
          <w:p w14:paraId="3217C093"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2.849,2</w:t>
            </w:r>
          </w:p>
        </w:tc>
        <w:tc>
          <w:tcPr>
            <w:tcW w:w="1298" w:type="pct"/>
            <w:shd w:val="clear" w:color="auto" w:fill="E7E6E6" w:themeFill="background2"/>
            <w:hideMark/>
          </w:tcPr>
          <w:p w14:paraId="54438571"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13,9</w:t>
            </w:r>
          </w:p>
        </w:tc>
      </w:tr>
      <w:tr w:rsidR="006D0778" w:rsidRPr="006D0778" w14:paraId="2793AE00" w14:textId="77777777" w:rsidTr="00D2109C">
        <w:trPr>
          <w:trHeight w:val="242"/>
          <w:tblHeader/>
          <w:jc w:val="right"/>
        </w:trPr>
        <w:tc>
          <w:tcPr>
            <w:tcW w:w="2105" w:type="pct"/>
            <w:shd w:val="clear" w:color="auto" w:fill="auto"/>
            <w:noWrap/>
            <w:vAlign w:val="center"/>
            <w:hideMark/>
          </w:tcPr>
          <w:p w14:paraId="202F771F" w14:textId="77777777" w:rsidR="006D0778" w:rsidRPr="006D0778" w:rsidRDefault="006D0778" w:rsidP="006D0778">
            <w:pPr>
              <w:spacing w:after="0"/>
              <w:jc w:val="left"/>
              <w:rPr>
                <w:rFonts w:eastAsia="MS PGothic" w:cs="Times New Roman"/>
                <w:sz w:val="20"/>
                <w:szCs w:val="20"/>
                <w:lang w:eastAsia="ja-JP"/>
              </w:rPr>
            </w:pPr>
            <w:r w:rsidRPr="006D0778">
              <w:rPr>
                <w:rFonts w:eastAsia="MS PGothic" w:cs="Times New Roman"/>
                <w:sz w:val="20"/>
                <w:szCs w:val="20"/>
                <w:lang w:eastAsia="ja-JP"/>
              </w:rPr>
              <w:t>Текући расходи</w:t>
            </w:r>
          </w:p>
        </w:tc>
        <w:tc>
          <w:tcPr>
            <w:tcW w:w="697" w:type="pct"/>
            <w:shd w:val="clear" w:color="auto" w:fill="auto"/>
            <w:hideMark/>
          </w:tcPr>
          <w:p w14:paraId="57F99695"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2.120,0</w:t>
            </w:r>
          </w:p>
        </w:tc>
        <w:tc>
          <w:tcPr>
            <w:tcW w:w="900" w:type="pct"/>
            <w:shd w:val="clear" w:color="auto" w:fill="auto"/>
            <w:noWrap/>
            <w:hideMark/>
          </w:tcPr>
          <w:p w14:paraId="1D12C66C"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2.445,6</w:t>
            </w:r>
          </w:p>
        </w:tc>
        <w:tc>
          <w:tcPr>
            <w:tcW w:w="1298" w:type="pct"/>
            <w:shd w:val="clear" w:color="auto" w:fill="auto"/>
            <w:hideMark/>
          </w:tcPr>
          <w:p w14:paraId="7452CD1C"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15,4</w:t>
            </w:r>
          </w:p>
        </w:tc>
      </w:tr>
      <w:tr w:rsidR="006D0778" w:rsidRPr="006D0778" w14:paraId="4168F158" w14:textId="77777777" w:rsidTr="00D2109C">
        <w:trPr>
          <w:trHeight w:val="242"/>
          <w:tblHeader/>
          <w:jc w:val="right"/>
        </w:trPr>
        <w:tc>
          <w:tcPr>
            <w:tcW w:w="2105" w:type="pct"/>
            <w:shd w:val="clear" w:color="auto" w:fill="auto"/>
            <w:noWrap/>
            <w:vAlign w:val="center"/>
            <w:hideMark/>
          </w:tcPr>
          <w:p w14:paraId="6786EF2B" w14:textId="77777777" w:rsidR="006D0778" w:rsidRPr="006D0778" w:rsidRDefault="006D0778" w:rsidP="006D0778">
            <w:pPr>
              <w:spacing w:after="0"/>
              <w:jc w:val="left"/>
              <w:rPr>
                <w:rFonts w:eastAsia="MS PGothic" w:cs="Times New Roman"/>
                <w:sz w:val="20"/>
                <w:szCs w:val="20"/>
                <w:lang w:eastAsia="ja-JP"/>
              </w:rPr>
            </w:pPr>
            <w:r w:rsidRPr="006D0778">
              <w:rPr>
                <w:rFonts w:eastAsia="MS PGothic" w:cs="Times New Roman"/>
                <w:sz w:val="20"/>
                <w:szCs w:val="20"/>
                <w:lang w:eastAsia="ja-JP"/>
              </w:rPr>
              <w:t xml:space="preserve"> Расходи за запослене</w:t>
            </w:r>
          </w:p>
        </w:tc>
        <w:tc>
          <w:tcPr>
            <w:tcW w:w="697" w:type="pct"/>
            <w:shd w:val="clear" w:color="auto" w:fill="auto"/>
            <w:hideMark/>
          </w:tcPr>
          <w:p w14:paraId="3E92352A"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570,6</w:t>
            </w:r>
          </w:p>
        </w:tc>
        <w:tc>
          <w:tcPr>
            <w:tcW w:w="900" w:type="pct"/>
            <w:shd w:val="clear" w:color="auto" w:fill="auto"/>
            <w:hideMark/>
          </w:tcPr>
          <w:p w14:paraId="0A0E5F5B"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674,5</w:t>
            </w:r>
          </w:p>
        </w:tc>
        <w:tc>
          <w:tcPr>
            <w:tcW w:w="1298" w:type="pct"/>
            <w:shd w:val="clear" w:color="auto" w:fill="auto"/>
            <w:hideMark/>
          </w:tcPr>
          <w:p w14:paraId="646CEA64"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18,2</w:t>
            </w:r>
          </w:p>
        </w:tc>
      </w:tr>
      <w:tr w:rsidR="006D0778" w:rsidRPr="006D0778" w14:paraId="36E6C324" w14:textId="77777777" w:rsidTr="00D2109C">
        <w:trPr>
          <w:trHeight w:val="242"/>
          <w:tblHeader/>
          <w:jc w:val="right"/>
        </w:trPr>
        <w:tc>
          <w:tcPr>
            <w:tcW w:w="2105" w:type="pct"/>
            <w:shd w:val="clear" w:color="auto" w:fill="auto"/>
            <w:noWrap/>
            <w:vAlign w:val="center"/>
            <w:hideMark/>
          </w:tcPr>
          <w:p w14:paraId="71FF8FD6" w14:textId="77777777" w:rsidR="006D0778" w:rsidRPr="006D0778" w:rsidRDefault="006D0778" w:rsidP="006D0778">
            <w:pPr>
              <w:spacing w:after="0"/>
              <w:jc w:val="left"/>
              <w:rPr>
                <w:rFonts w:eastAsia="MS PGothic" w:cs="Times New Roman"/>
                <w:sz w:val="20"/>
                <w:szCs w:val="20"/>
                <w:lang w:eastAsia="ja-JP"/>
              </w:rPr>
            </w:pPr>
            <w:r w:rsidRPr="006D0778">
              <w:rPr>
                <w:rFonts w:eastAsia="MS PGothic" w:cs="Times New Roman"/>
                <w:sz w:val="20"/>
                <w:szCs w:val="20"/>
                <w:lang w:eastAsia="ja-JP"/>
              </w:rPr>
              <w:t xml:space="preserve"> Куповина робе и услуга</w:t>
            </w:r>
          </w:p>
        </w:tc>
        <w:tc>
          <w:tcPr>
            <w:tcW w:w="697" w:type="pct"/>
            <w:shd w:val="clear" w:color="auto" w:fill="auto"/>
            <w:hideMark/>
          </w:tcPr>
          <w:p w14:paraId="743E00E5"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414,1</w:t>
            </w:r>
          </w:p>
        </w:tc>
        <w:tc>
          <w:tcPr>
            <w:tcW w:w="900" w:type="pct"/>
            <w:shd w:val="clear" w:color="auto" w:fill="auto"/>
            <w:hideMark/>
          </w:tcPr>
          <w:p w14:paraId="09B550A6"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459,9</w:t>
            </w:r>
          </w:p>
        </w:tc>
        <w:tc>
          <w:tcPr>
            <w:tcW w:w="1298" w:type="pct"/>
            <w:shd w:val="clear" w:color="auto" w:fill="auto"/>
            <w:hideMark/>
          </w:tcPr>
          <w:p w14:paraId="0BE3A2BC"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11,0</w:t>
            </w:r>
          </w:p>
        </w:tc>
      </w:tr>
      <w:tr w:rsidR="006D0778" w:rsidRPr="006D0778" w14:paraId="05E6049E" w14:textId="77777777" w:rsidTr="00D2109C">
        <w:trPr>
          <w:trHeight w:val="242"/>
          <w:tblHeader/>
          <w:jc w:val="right"/>
        </w:trPr>
        <w:tc>
          <w:tcPr>
            <w:tcW w:w="2105" w:type="pct"/>
            <w:shd w:val="clear" w:color="auto" w:fill="auto"/>
            <w:noWrap/>
            <w:vAlign w:val="center"/>
            <w:hideMark/>
          </w:tcPr>
          <w:p w14:paraId="4DD9026F" w14:textId="77777777" w:rsidR="006D0778" w:rsidRPr="006D0778" w:rsidRDefault="006D0778" w:rsidP="006D0778">
            <w:pPr>
              <w:spacing w:after="0"/>
              <w:jc w:val="left"/>
              <w:rPr>
                <w:rFonts w:eastAsia="MS PGothic" w:cs="Times New Roman"/>
                <w:sz w:val="20"/>
                <w:szCs w:val="20"/>
                <w:lang w:eastAsia="ja-JP"/>
              </w:rPr>
            </w:pPr>
            <w:r w:rsidRPr="006D0778">
              <w:rPr>
                <w:rFonts w:eastAsia="MS PGothic" w:cs="Times New Roman"/>
                <w:sz w:val="20"/>
                <w:szCs w:val="20"/>
                <w:lang w:eastAsia="ja-JP"/>
              </w:rPr>
              <w:t xml:space="preserve"> Отплата камата</w:t>
            </w:r>
          </w:p>
        </w:tc>
        <w:tc>
          <w:tcPr>
            <w:tcW w:w="697" w:type="pct"/>
            <w:shd w:val="clear" w:color="auto" w:fill="auto"/>
            <w:hideMark/>
          </w:tcPr>
          <w:p w14:paraId="193F4BAC"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120,2</w:t>
            </w:r>
          </w:p>
        </w:tc>
        <w:tc>
          <w:tcPr>
            <w:tcW w:w="900" w:type="pct"/>
            <w:shd w:val="clear" w:color="auto" w:fill="auto"/>
            <w:hideMark/>
          </w:tcPr>
          <w:p w14:paraId="2C46B5D1"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132,8</w:t>
            </w:r>
          </w:p>
        </w:tc>
        <w:tc>
          <w:tcPr>
            <w:tcW w:w="1298" w:type="pct"/>
            <w:shd w:val="clear" w:color="auto" w:fill="auto"/>
            <w:hideMark/>
          </w:tcPr>
          <w:p w14:paraId="2FB9CC79"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10,5</w:t>
            </w:r>
          </w:p>
        </w:tc>
      </w:tr>
      <w:tr w:rsidR="006D0778" w:rsidRPr="006D0778" w14:paraId="5F3EE4D0" w14:textId="77777777" w:rsidTr="00D2109C">
        <w:trPr>
          <w:trHeight w:val="242"/>
          <w:tblHeader/>
          <w:jc w:val="right"/>
        </w:trPr>
        <w:tc>
          <w:tcPr>
            <w:tcW w:w="2105" w:type="pct"/>
            <w:shd w:val="clear" w:color="auto" w:fill="auto"/>
            <w:noWrap/>
            <w:vAlign w:val="center"/>
            <w:hideMark/>
          </w:tcPr>
          <w:p w14:paraId="644BDFE3" w14:textId="77777777" w:rsidR="006D0778" w:rsidRPr="006D0778" w:rsidRDefault="006D0778" w:rsidP="006D0778">
            <w:pPr>
              <w:spacing w:after="0"/>
              <w:jc w:val="left"/>
              <w:rPr>
                <w:rFonts w:eastAsia="MS PGothic" w:cs="Times New Roman"/>
                <w:sz w:val="20"/>
                <w:szCs w:val="20"/>
                <w:lang w:eastAsia="ja-JP"/>
              </w:rPr>
            </w:pPr>
            <w:r w:rsidRPr="006D0778">
              <w:rPr>
                <w:rFonts w:eastAsia="MS PGothic" w:cs="Times New Roman"/>
                <w:sz w:val="20"/>
                <w:szCs w:val="20"/>
                <w:lang w:eastAsia="ja-JP"/>
              </w:rPr>
              <w:t xml:space="preserve"> Субвенције</w:t>
            </w:r>
          </w:p>
        </w:tc>
        <w:tc>
          <w:tcPr>
            <w:tcW w:w="697" w:type="pct"/>
            <w:shd w:val="clear" w:color="auto" w:fill="auto"/>
            <w:hideMark/>
          </w:tcPr>
          <w:p w14:paraId="4DD8F409"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141,8</w:t>
            </w:r>
          </w:p>
        </w:tc>
        <w:tc>
          <w:tcPr>
            <w:tcW w:w="900" w:type="pct"/>
            <w:shd w:val="clear" w:color="auto" w:fill="auto"/>
            <w:hideMark/>
          </w:tcPr>
          <w:p w14:paraId="1716DEAE"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159,0</w:t>
            </w:r>
          </w:p>
        </w:tc>
        <w:tc>
          <w:tcPr>
            <w:tcW w:w="1298" w:type="pct"/>
            <w:shd w:val="clear" w:color="auto" w:fill="auto"/>
            <w:hideMark/>
          </w:tcPr>
          <w:p w14:paraId="636971C8"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12,1</w:t>
            </w:r>
          </w:p>
        </w:tc>
      </w:tr>
      <w:tr w:rsidR="006D0778" w:rsidRPr="006D0778" w14:paraId="7260AFEF" w14:textId="77777777" w:rsidTr="00D2109C">
        <w:trPr>
          <w:trHeight w:val="242"/>
          <w:tblHeader/>
          <w:jc w:val="right"/>
        </w:trPr>
        <w:tc>
          <w:tcPr>
            <w:tcW w:w="2105" w:type="pct"/>
            <w:shd w:val="clear" w:color="auto" w:fill="auto"/>
            <w:noWrap/>
            <w:vAlign w:val="center"/>
            <w:hideMark/>
          </w:tcPr>
          <w:p w14:paraId="0ADCF3A1" w14:textId="77777777" w:rsidR="006D0778" w:rsidRPr="006D0778" w:rsidRDefault="006D0778" w:rsidP="006D0778">
            <w:pPr>
              <w:spacing w:after="0"/>
              <w:jc w:val="left"/>
              <w:rPr>
                <w:rFonts w:eastAsia="MS PGothic" w:cs="Times New Roman"/>
                <w:sz w:val="20"/>
                <w:szCs w:val="20"/>
                <w:lang w:eastAsia="ja-JP"/>
              </w:rPr>
            </w:pPr>
            <w:r w:rsidRPr="006D0778">
              <w:rPr>
                <w:rFonts w:eastAsia="MS PGothic" w:cs="Times New Roman"/>
                <w:sz w:val="20"/>
                <w:szCs w:val="20"/>
                <w:lang w:eastAsia="ja-JP"/>
              </w:rPr>
              <w:t xml:space="preserve"> Социјална помоћ и трансфери</w:t>
            </w:r>
          </w:p>
        </w:tc>
        <w:tc>
          <w:tcPr>
            <w:tcW w:w="697" w:type="pct"/>
            <w:shd w:val="clear" w:color="auto" w:fill="auto"/>
            <w:hideMark/>
          </w:tcPr>
          <w:p w14:paraId="597B28D3"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781,5</w:t>
            </w:r>
          </w:p>
        </w:tc>
        <w:tc>
          <w:tcPr>
            <w:tcW w:w="900" w:type="pct"/>
            <w:shd w:val="clear" w:color="auto" w:fill="auto"/>
            <w:hideMark/>
          </w:tcPr>
          <w:p w14:paraId="64DA0F7A"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932,8</w:t>
            </w:r>
          </w:p>
        </w:tc>
        <w:tc>
          <w:tcPr>
            <w:tcW w:w="1298" w:type="pct"/>
            <w:shd w:val="clear" w:color="auto" w:fill="auto"/>
            <w:hideMark/>
          </w:tcPr>
          <w:p w14:paraId="1C909995"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19,4</w:t>
            </w:r>
          </w:p>
        </w:tc>
      </w:tr>
      <w:tr w:rsidR="006D0778" w:rsidRPr="006D0778" w14:paraId="7AAD8A87" w14:textId="77777777" w:rsidTr="00D2109C">
        <w:trPr>
          <w:trHeight w:val="242"/>
          <w:tblHeader/>
          <w:jc w:val="right"/>
        </w:trPr>
        <w:tc>
          <w:tcPr>
            <w:tcW w:w="2105" w:type="pct"/>
            <w:shd w:val="clear" w:color="auto" w:fill="auto"/>
            <w:noWrap/>
            <w:vAlign w:val="center"/>
            <w:hideMark/>
          </w:tcPr>
          <w:p w14:paraId="024A569E" w14:textId="3CA9622D" w:rsidR="006D0778" w:rsidRPr="006D0778" w:rsidRDefault="00CF6476" w:rsidP="006D0778">
            <w:pPr>
              <w:spacing w:after="0"/>
              <w:jc w:val="left"/>
              <w:rPr>
                <w:rFonts w:eastAsia="MS PGothic" w:cs="Times New Roman"/>
                <w:i/>
                <w:sz w:val="20"/>
                <w:szCs w:val="20"/>
                <w:lang w:eastAsia="ja-JP"/>
              </w:rPr>
            </w:pPr>
            <w:r>
              <w:rPr>
                <w:rFonts w:eastAsia="MS PGothic" w:cs="Times New Roman"/>
                <w:sz w:val="20"/>
                <w:szCs w:val="20"/>
                <w:lang w:eastAsia="ja-JP"/>
              </w:rPr>
              <w:t xml:space="preserve"> </w:t>
            </w:r>
            <w:r w:rsidR="006D0778" w:rsidRPr="006D0778">
              <w:rPr>
                <w:rFonts w:eastAsia="MS PGothic" w:cs="Times New Roman"/>
                <w:sz w:val="20"/>
                <w:szCs w:val="20"/>
                <w:lang w:eastAsia="ja-JP"/>
              </w:rPr>
              <w:t xml:space="preserve"> </w:t>
            </w:r>
            <w:r w:rsidR="006D0778" w:rsidRPr="006D0778">
              <w:rPr>
                <w:rFonts w:eastAsia="MS PGothic" w:cs="Times New Roman"/>
                <w:i/>
                <w:sz w:val="20"/>
                <w:szCs w:val="20"/>
                <w:lang w:eastAsia="ja-JP"/>
              </w:rPr>
              <w:t>од чега пензије</w:t>
            </w:r>
          </w:p>
        </w:tc>
        <w:tc>
          <w:tcPr>
            <w:tcW w:w="697" w:type="pct"/>
            <w:shd w:val="clear" w:color="auto" w:fill="auto"/>
            <w:hideMark/>
          </w:tcPr>
          <w:p w14:paraId="78E9A95C"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573,6</w:t>
            </w:r>
          </w:p>
        </w:tc>
        <w:tc>
          <w:tcPr>
            <w:tcW w:w="900" w:type="pct"/>
            <w:shd w:val="clear" w:color="auto" w:fill="auto"/>
            <w:hideMark/>
          </w:tcPr>
          <w:p w14:paraId="371336F2"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694,5</w:t>
            </w:r>
          </w:p>
        </w:tc>
        <w:tc>
          <w:tcPr>
            <w:tcW w:w="1298" w:type="pct"/>
            <w:shd w:val="clear" w:color="auto" w:fill="auto"/>
            <w:hideMark/>
          </w:tcPr>
          <w:p w14:paraId="772FAA84"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21,1</w:t>
            </w:r>
          </w:p>
        </w:tc>
      </w:tr>
      <w:tr w:rsidR="006D0778" w:rsidRPr="006D0778" w14:paraId="4C3C44A9" w14:textId="77777777" w:rsidTr="00D2109C">
        <w:trPr>
          <w:trHeight w:val="242"/>
          <w:tblHeader/>
          <w:jc w:val="right"/>
        </w:trPr>
        <w:tc>
          <w:tcPr>
            <w:tcW w:w="2105" w:type="pct"/>
            <w:shd w:val="clear" w:color="auto" w:fill="auto"/>
            <w:noWrap/>
            <w:vAlign w:val="center"/>
            <w:hideMark/>
          </w:tcPr>
          <w:p w14:paraId="6EA8518E" w14:textId="77777777" w:rsidR="006D0778" w:rsidRPr="006D0778" w:rsidRDefault="006D0778" w:rsidP="006D0778">
            <w:pPr>
              <w:spacing w:after="0"/>
              <w:jc w:val="left"/>
              <w:rPr>
                <w:rFonts w:eastAsia="MS PGothic" w:cs="Times New Roman"/>
                <w:sz w:val="20"/>
                <w:szCs w:val="20"/>
                <w:lang w:eastAsia="ja-JP"/>
              </w:rPr>
            </w:pPr>
            <w:r w:rsidRPr="006D0778">
              <w:rPr>
                <w:rFonts w:eastAsia="MS PGothic" w:cs="Times New Roman"/>
                <w:sz w:val="20"/>
                <w:szCs w:val="20"/>
                <w:lang w:eastAsia="ja-JP"/>
              </w:rPr>
              <w:t xml:space="preserve"> Остали текући расходи</w:t>
            </w:r>
          </w:p>
        </w:tc>
        <w:tc>
          <w:tcPr>
            <w:tcW w:w="697" w:type="pct"/>
            <w:shd w:val="clear" w:color="auto" w:fill="auto"/>
            <w:hideMark/>
          </w:tcPr>
          <w:p w14:paraId="4A4D9FCF"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91,9</w:t>
            </w:r>
          </w:p>
        </w:tc>
        <w:tc>
          <w:tcPr>
            <w:tcW w:w="900" w:type="pct"/>
            <w:shd w:val="clear" w:color="auto" w:fill="auto"/>
            <w:hideMark/>
          </w:tcPr>
          <w:p w14:paraId="1EF89F58"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86,7</w:t>
            </w:r>
          </w:p>
        </w:tc>
        <w:tc>
          <w:tcPr>
            <w:tcW w:w="1298" w:type="pct"/>
            <w:shd w:val="clear" w:color="auto" w:fill="auto"/>
            <w:hideMark/>
          </w:tcPr>
          <w:p w14:paraId="4305AFF6"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-5,7</w:t>
            </w:r>
          </w:p>
        </w:tc>
      </w:tr>
      <w:tr w:rsidR="006D0778" w:rsidRPr="006D0778" w14:paraId="2F223CFF" w14:textId="77777777" w:rsidTr="00D2109C">
        <w:trPr>
          <w:trHeight w:val="242"/>
          <w:tblHeader/>
          <w:jc w:val="right"/>
        </w:trPr>
        <w:tc>
          <w:tcPr>
            <w:tcW w:w="2105" w:type="pct"/>
            <w:shd w:val="clear" w:color="auto" w:fill="auto"/>
            <w:noWrap/>
            <w:vAlign w:val="center"/>
            <w:hideMark/>
          </w:tcPr>
          <w:p w14:paraId="3F22EE7F" w14:textId="77777777" w:rsidR="006D0778" w:rsidRPr="006D0778" w:rsidRDefault="006D0778" w:rsidP="006D0778">
            <w:pPr>
              <w:spacing w:after="0"/>
              <w:jc w:val="left"/>
              <w:rPr>
                <w:rFonts w:eastAsia="MS PGothic" w:cs="Times New Roman"/>
                <w:sz w:val="20"/>
                <w:szCs w:val="20"/>
                <w:lang w:eastAsia="ja-JP"/>
              </w:rPr>
            </w:pPr>
            <w:r w:rsidRPr="006D0778">
              <w:rPr>
                <w:rFonts w:eastAsia="MS PGothic" w:cs="Times New Roman"/>
                <w:sz w:val="20"/>
                <w:szCs w:val="20"/>
                <w:lang w:eastAsia="ja-JP"/>
              </w:rPr>
              <w:t>Капитални расходи</w:t>
            </w:r>
          </w:p>
        </w:tc>
        <w:tc>
          <w:tcPr>
            <w:tcW w:w="697" w:type="pct"/>
            <w:shd w:val="clear" w:color="auto" w:fill="auto"/>
            <w:hideMark/>
          </w:tcPr>
          <w:p w14:paraId="3A245594"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313,3</w:t>
            </w:r>
          </w:p>
        </w:tc>
        <w:tc>
          <w:tcPr>
            <w:tcW w:w="900" w:type="pct"/>
            <w:shd w:val="clear" w:color="auto" w:fill="auto"/>
            <w:hideMark/>
          </w:tcPr>
          <w:p w14:paraId="1EF3E7A2"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370,5</w:t>
            </w:r>
          </w:p>
        </w:tc>
        <w:tc>
          <w:tcPr>
            <w:tcW w:w="1298" w:type="pct"/>
            <w:shd w:val="clear" w:color="auto" w:fill="auto"/>
            <w:hideMark/>
          </w:tcPr>
          <w:p w14:paraId="0E09F5AA"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18,2</w:t>
            </w:r>
          </w:p>
        </w:tc>
      </w:tr>
      <w:tr w:rsidR="006D0778" w:rsidRPr="006D0778" w14:paraId="796E4F1E" w14:textId="77777777" w:rsidTr="00D2109C">
        <w:trPr>
          <w:trHeight w:val="242"/>
          <w:tblHeader/>
          <w:jc w:val="right"/>
        </w:trPr>
        <w:tc>
          <w:tcPr>
            <w:tcW w:w="2105" w:type="pct"/>
            <w:shd w:val="clear" w:color="auto" w:fill="auto"/>
            <w:noWrap/>
            <w:vAlign w:val="center"/>
            <w:hideMark/>
          </w:tcPr>
          <w:p w14:paraId="4F8ACBFE" w14:textId="77777777" w:rsidR="006D0778" w:rsidRPr="006D0778" w:rsidRDefault="006D0778" w:rsidP="006D0778">
            <w:pPr>
              <w:spacing w:after="0"/>
              <w:jc w:val="left"/>
              <w:rPr>
                <w:rFonts w:eastAsia="MS PGothic" w:cs="Times New Roman"/>
                <w:sz w:val="20"/>
                <w:szCs w:val="20"/>
                <w:lang w:eastAsia="ja-JP"/>
              </w:rPr>
            </w:pPr>
            <w:r w:rsidRPr="006D0778">
              <w:rPr>
                <w:rFonts w:eastAsia="MS PGothic" w:cs="Times New Roman"/>
                <w:sz w:val="20"/>
                <w:szCs w:val="20"/>
                <w:lang w:eastAsia="ja-JP"/>
              </w:rPr>
              <w:t>Нето буџетске позајмице</w:t>
            </w:r>
          </w:p>
        </w:tc>
        <w:tc>
          <w:tcPr>
            <w:tcW w:w="697" w:type="pct"/>
            <w:shd w:val="clear" w:color="auto" w:fill="auto"/>
            <w:hideMark/>
          </w:tcPr>
          <w:p w14:paraId="1AC0A272"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17,6</w:t>
            </w:r>
          </w:p>
        </w:tc>
        <w:tc>
          <w:tcPr>
            <w:tcW w:w="900" w:type="pct"/>
            <w:shd w:val="clear" w:color="auto" w:fill="auto"/>
            <w:hideMark/>
          </w:tcPr>
          <w:p w14:paraId="6B24BAB7"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20,3</w:t>
            </w:r>
          </w:p>
        </w:tc>
        <w:tc>
          <w:tcPr>
            <w:tcW w:w="1298" w:type="pct"/>
            <w:shd w:val="clear" w:color="auto" w:fill="auto"/>
            <w:hideMark/>
          </w:tcPr>
          <w:p w14:paraId="7B1BED5F"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15,4</w:t>
            </w:r>
          </w:p>
        </w:tc>
      </w:tr>
      <w:tr w:rsidR="006D0778" w:rsidRPr="006D0778" w14:paraId="2F9BDB4E" w14:textId="77777777" w:rsidTr="00D2109C">
        <w:trPr>
          <w:trHeight w:val="242"/>
          <w:tblHeader/>
          <w:jc w:val="right"/>
        </w:trPr>
        <w:tc>
          <w:tcPr>
            <w:tcW w:w="2105" w:type="pct"/>
            <w:shd w:val="clear" w:color="auto" w:fill="auto"/>
            <w:noWrap/>
            <w:vAlign w:val="center"/>
            <w:hideMark/>
          </w:tcPr>
          <w:p w14:paraId="17DE2A9C" w14:textId="77777777" w:rsidR="006D0778" w:rsidRPr="006D0778" w:rsidRDefault="006D0778" w:rsidP="006D0778">
            <w:pPr>
              <w:spacing w:after="0"/>
              <w:jc w:val="left"/>
              <w:rPr>
                <w:rFonts w:eastAsia="MS PGothic" w:cs="Times New Roman"/>
                <w:sz w:val="20"/>
                <w:szCs w:val="20"/>
                <w:lang w:eastAsia="ja-JP"/>
              </w:rPr>
            </w:pPr>
            <w:r w:rsidRPr="006D0778">
              <w:rPr>
                <w:rFonts w:eastAsia="MS PGothic" w:cs="Times New Roman"/>
                <w:sz w:val="20"/>
                <w:szCs w:val="20"/>
                <w:lang w:eastAsia="ja-JP"/>
              </w:rPr>
              <w:t>Активиране гаранције</w:t>
            </w:r>
          </w:p>
        </w:tc>
        <w:tc>
          <w:tcPr>
            <w:tcW w:w="697" w:type="pct"/>
            <w:shd w:val="clear" w:color="auto" w:fill="auto"/>
            <w:hideMark/>
          </w:tcPr>
          <w:p w14:paraId="41156E20"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50,0</w:t>
            </w:r>
          </w:p>
        </w:tc>
        <w:tc>
          <w:tcPr>
            <w:tcW w:w="900" w:type="pct"/>
            <w:shd w:val="clear" w:color="auto" w:fill="auto"/>
            <w:hideMark/>
          </w:tcPr>
          <w:p w14:paraId="6E2E9817"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12,8</w:t>
            </w:r>
          </w:p>
        </w:tc>
        <w:tc>
          <w:tcPr>
            <w:tcW w:w="1298" w:type="pct"/>
            <w:shd w:val="clear" w:color="auto" w:fill="auto"/>
            <w:hideMark/>
          </w:tcPr>
          <w:p w14:paraId="0C8D9BBA"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-74,3</w:t>
            </w:r>
          </w:p>
        </w:tc>
      </w:tr>
      <w:tr w:rsidR="006D0778" w:rsidRPr="006D0778" w14:paraId="26E74447" w14:textId="77777777" w:rsidTr="00D2109C">
        <w:trPr>
          <w:trHeight w:val="242"/>
          <w:tblHeader/>
          <w:jc w:val="right"/>
        </w:trPr>
        <w:tc>
          <w:tcPr>
            <w:tcW w:w="2105" w:type="pct"/>
            <w:tcBorders>
              <w:bottom w:val="single" w:sz="4" w:space="0" w:color="002060"/>
            </w:tcBorders>
            <w:shd w:val="clear" w:color="auto" w:fill="E7E6E6" w:themeFill="background2"/>
            <w:noWrap/>
            <w:vAlign w:val="center"/>
            <w:hideMark/>
          </w:tcPr>
          <w:p w14:paraId="093903AD" w14:textId="77777777" w:rsidR="006D0778" w:rsidRPr="006D0778" w:rsidRDefault="006D0778" w:rsidP="006D0778">
            <w:pPr>
              <w:spacing w:after="0"/>
              <w:jc w:val="left"/>
              <w:rPr>
                <w:rFonts w:cs="Times New Roman"/>
                <w:sz w:val="20"/>
                <w:szCs w:val="20"/>
              </w:rPr>
            </w:pPr>
            <w:r w:rsidRPr="006D0778">
              <w:rPr>
                <w:rFonts w:eastAsia="MS PGothic" w:cs="Times New Roman"/>
                <w:sz w:val="20"/>
                <w:szCs w:val="20"/>
                <w:lang w:eastAsia="ja-JP"/>
              </w:rPr>
              <w:t>Фискални резултат</w:t>
            </w:r>
          </w:p>
        </w:tc>
        <w:tc>
          <w:tcPr>
            <w:tcW w:w="697" w:type="pct"/>
            <w:tcBorders>
              <w:bottom w:val="single" w:sz="4" w:space="0" w:color="002060"/>
            </w:tcBorders>
            <w:shd w:val="clear" w:color="auto" w:fill="E7E6E6" w:themeFill="background2"/>
            <w:hideMark/>
          </w:tcPr>
          <w:p w14:paraId="6B4EAA22"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15,8</w:t>
            </w:r>
          </w:p>
        </w:tc>
        <w:tc>
          <w:tcPr>
            <w:tcW w:w="900" w:type="pct"/>
            <w:tcBorders>
              <w:bottom w:val="single" w:sz="4" w:space="0" w:color="002060"/>
            </w:tcBorders>
            <w:shd w:val="clear" w:color="auto" w:fill="E7E6E6" w:themeFill="background2"/>
            <w:hideMark/>
          </w:tcPr>
          <w:p w14:paraId="43E1D396" w14:textId="77777777" w:rsidR="006D0778" w:rsidRPr="006D0778" w:rsidRDefault="006D0778" w:rsidP="006D0778">
            <w:pPr>
              <w:spacing w:after="0"/>
              <w:jc w:val="right"/>
              <w:rPr>
                <w:rFonts w:eastAsia="MS PGothic" w:cs="Times New Roman"/>
                <w:sz w:val="20"/>
                <w:szCs w:val="20"/>
                <w:lang w:eastAsia="ja-JP"/>
              </w:rPr>
            </w:pPr>
            <w:r w:rsidRPr="006D0778">
              <w:rPr>
                <w:sz w:val="20"/>
                <w:szCs w:val="20"/>
              </w:rPr>
              <w:t>29,1</w:t>
            </w:r>
          </w:p>
        </w:tc>
        <w:tc>
          <w:tcPr>
            <w:tcW w:w="1298" w:type="pct"/>
            <w:tcBorders>
              <w:bottom w:val="single" w:sz="4" w:space="0" w:color="002060"/>
            </w:tcBorders>
            <w:shd w:val="clear" w:color="auto" w:fill="E7E6E6" w:themeFill="background2"/>
            <w:hideMark/>
          </w:tcPr>
          <w:p w14:paraId="497EF76F" w14:textId="77777777" w:rsidR="006D0778" w:rsidRPr="006D0778" w:rsidRDefault="006D0778" w:rsidP="006D0778">
            <w:pPr>
              <w:spacing w:after="0"/>
              <w:jc w:val="right"/>
              <w:rPr>
                <w:rFonts w:eastAsia="MS PGothic" w:cs="Times New Roman"/>
                <w:sz w:val="20"/>
                <w:szCs w:val="20"/>
                <w:lang w:eastAsia="ja-JP"/>
              </w:rPr>
            </w:pPr>
          </w:p>
        </w:tc>
      </w:tr>
    </w:tbl>
    <w:p w14:paraId="315259EC" w14:textId="39FB6741" w:rsidR="002B1F9D" w:rsidRDefault="006D0778" w:rsidP="002B1F9D">
      <w:pPr>
        <w:tabs>
          <w:tab w:val="left" w:pos="623"/>
        </w:tabs>
        <w:rPr>
          <w:rFonts w:eastAsia="Calibri" w:cs="Times New Roman"/>
          <w:sz w:val="16"/>
          <w:szCs w:val="16"/>
          <w:lang w:val="sr-Cyrl-RS"/>
        </w:rPr>
      </w:pPr>
      <w:r w:rsidRPr="006D0778">
        <w:rPr>
          <w:rFonts w:eastAsia="Calibri" w:cs="Times New Roman"/>
          <w:bCs/>
          <w:sz w:val="16"/>
          <w:szCs w:val="16"/>
          <w:lang w:val="sr-Cyrl-RS" w:eastAsia="ja-JP"/>
        </w:rPr>
        <w:t xml:space="preserve">Извор: </w:t>
      </w:r>
      <w:r w:rsidRPr="006D0778">
        <w:rPr>
          <w:rFonts w:eastAsia="Calibri" w:cs="Times New Roman"/>
          <w:sz w:val="16"/>
          <w:szCs w:val="16"/>
          <w:lang w:val="sr-Cyrl-RS"/>
        </w:rPr>
        <w:t>Министарство финансија</w:t>
      </w:r>
    </w:p>
    <w:p w14:paraId="7CB4EDC5" w14:textId="3D6233CD" w:rsidR="002B1F9D" w:rsidRPr="002B1F9D" w:rsidRDefault="002B1F9D" w:rsidP="002B1F9D">
      <w:pPr>
        <w:tabs>
          <w:tab w:val="left" w:pos="623"/>
        </w:tabs>
        <w:rPr>
          <w:rFonts w:eastAsia="Calibri" w:cs="Times New Roman"/>
          <w:sz w:val="16"/>
          <w:szCs w:val="16"/>
          <w:lang w:val="sr-Cyrl-RS"/>
        </w:rPr>
      </w:pPr>
      <w:r>
        <w:rPr>
          <w:rFonts w:eastAsia="Calibri" w:cs="Times New Roman"/>
          <w:sz w:val="16"/>
          <w:szCs w:val="16"/>
          <w:lang w:val="sr-Cyrl-RS"/>
        </w:rPr>
        <w:t>*Подацу за 2024 годину обухватају сопствене приходе ванбуџетских корисника (агенције и институти)</w:t>
      </w:r>
    </w:p>
    <w:p w14:paraId="719141B7" w14:textId="02BDC917" w:rsidR="006D0778" w:rsidRPr="006D0778" w:rsidRDefault="006D0778" w:rsidP="006D0778">
      <w:pPr>
        <w:rPr>
          <w:rFonts w:eastAsia="MS PGothic" w:cstheme="minorHAnsi"/>
          <w:szCs w:val="20"/>
          <w:lang w:eastAsia="ja-JP"/>
        </w:rPr>
      </w:pPr>
      <w:r w:rsidRPr="006D0778">
        <w:rPr>
          <w:rFonts w:eastAsia="MS PGothic" w:cstheme="minorHAnsi"/>
          <w:szCs w:val="20"/>
          <w:lang w:eastAsia="ja-JP"/>
        </w:rPr>
        <w:t xml:space="preserve">Стање доцњи (преко 60 дана </w:t>
      </w:r>
      <w:r w:rsidR="002B1F9D" w:rsidRPr="006D0778">
        <w:rPr>
          <w:rFonts w:eastAsia="MS PGothic" w:cstheme="minorHAnsi"/>
          <w:szCs w:val="20"/>
          <w:lang w:eastAsia="ja-JP"/>
        </w:rPr>
        <w:t>кашњења) *</w:t>
      </w:r>
      <w:r w:rsidRPr="006D0778">
        <w:rPr>
          <w:rFonts w:eastAsia="MS PGothic" w:cstheme="minorHAnsi"/>
          <w:szCs w:val="20"/>
          <w:lang w:eastAsia="ja-JP"/>
        </w:rPr>
        <w:t xml:space="preserve"> буџетских корисника и ООСО последњег дана </w:t>
      </w:r>
      <w:r w:rsidRPr="006D0778">
        <w:t xml:space="preserve">септембра </w:t>
      </w:r>
      <w:r w:rsidRPr="006D0778">
        <w:rPr>
          <w:rFonts w:eastAsia="MS PGothic" w:cstheme="minorHAnsi"/>
          <w:szCs w:val="20"/>
          <w:lang w:eastAsia="ja-JP"/>
        </w:rPr>
        <w:t>2024. године износило је 5,7 млрд динара. Корисници буџета и ЈП „Путеви Србије” креирали су доцње у плаћању од 4,5 млрд динара, док је стање доцњи ООСО 1,2 млрд динара.</w:t>
      </w:r>
    </w:p>
    <w:p w14:paraId="6C92F2E7" w14:textId="77777777" w:rsidR="006D0778" w:rsidRPr="006D0778" w:rsidRDefault="006D0778" w:rsidP="006D0778">
      <w:pPr>
        <w:rPr>
          <w:rFonts w:eastAsia="MS PGothic" w:cstheme="minorHAnsi"/>
          <w:szCs w:val="20"/>
          <w:lang w:val="sr-Cyrl-RS" w:eastAsia="ja-JP"/>
        </w:rPr>
      </w:pPr>
      <w:r w:rsidRPr="006D0778">
        <w:rPr>
          <w:rFonts w:eastAsia="MS PGothic" w:cs="Times New Roman"/>
          <w:szCs w:val="24"/>
          <w:lang w:val="sr-Cyrl-RS" w:eastAsia="ja-JP"/>
        </w:rPr>
        <w:t>Табела 6. Стање доцњи буџетских корисника и ООСО, крај 202</w:t>
      </w:r>
      <w:r w:rsidRPr="006D0778">
        <w:rPr>
          <w:rFonts w:eastAsia="MS PGothic" w:cs="Times New Roman"/>
          <w:szCs w:val="24"/>
          <w:lang w:val="sr-Latn-RS" w:eastAsia="ja-JP"/>
        </w:rPr>
        <w:t>3</w:t>
      </w:r>
      <w:r w:rsidRPr="006D0778">
        <w:rPr>
          <w:rFonts w:eastAsia="MS PGothic" w:cs="Times New Roman"/>
          <w:szCs w:val="24"/>
          <w:lang w:val="sr-Cyrl-RS" w:eastAsia="ja-JP"/>
        </w:rPr>
        <w:t>. године и септембар 2024. године, у млрд динара</w:t>
      </w:r>
    </w:p>
    <w:tbl>
      <w:tblPr>
        <w:tblStyle w:val="LightShading-Accent33521"/>
        <w:tblpPr w:leftFromText="180" w:rightFromText="180" w:vertAnchor="text" w:horzAnchor="margin" w:tblpY="56"/>
        <w:tblW w:w="4879" w:type="pct"/>
        <w:tblBorders>
          <w:top w:val="none" w:sz="0" w:space="0" w:color="auto"/>
          <w:bottom w:val="none" w:sz="0" w:space="0" w:color="auto"/>
        </w:tblBorders>
        <w:tblLook w:val="04A0" w:firstRow="1" w:lastRow="0" w:firstColumn="1" w:lastColumn="0" w:noHBand="0" w:noVBand="1"/>
      </w:tblPr>
      <w:tblGrid>
        <w:gridCol w:w="5256"/>
        <w:gridCol w:w="1776"/>
        <w:gridCol w:w="1776"/>
      </w:tblGrid>
      <w:tr w:rsidR="006D0778" w:rsidRPr="006D0778" w14:paraId="7537997C" w14:textId="77777777" w:rsidTr="00D2109C">
        <w:trPr>
          <w:cnfStyle w:val="100000000000" w:firstRow="1" w:lastRow="0" w:firstColumn="0" w:lastColumn="0" w:oddVBand="0" w:evenVBand="0" w:oddHBand="0" w:evenHBand="0" w:firstRowFirstColumn="0" w:firstRowLastColumn="0" w:lastRowFirstColumn="0" w:lastRowLastColumn="0"/>
          <w:trHeight w:val="154"/>
          <w:tblHeader/>
        </w:trPr>
        <w:tc>
          <w:tcPr>
            <w:cnfStyle w:val="001000000000" w:firstRow="0" w:lastRow="0" w:firstColumn="1" w:lastColumn="0" w:oddVBand="0" w:evenVBand="0" w:oddHBand="0" w:evenHBand="0" w:firstRowFirstColumn="0" w:firstRowLastColumn="0" w:lastRowFirstColumn="0" w:lastRowLastColumn="0"/>
            <w:tcW w:w="2984" w:type="pct"/>
            <w:tcBorders>
              <w:top w:val="single" w:sz="4" w:space="0" w:color="002060"/>
            </w:tcBorders>
            <w:shd w:val="clear" w:color="auto" w:fill="auto"/>
            <w:noWrap/>
            <w:hideMark/>
          </w:tcPr>
          <w:p w14:paraId="5C7D77A2" w14:textId="77777777" w:rsidR="006D0778" w:rsidRPr="006D0778" w:rsidRDefault="006D0778" w:rsidP="006D0778">
            <w:pPr>
              <w:spacing w:after="0"/>
              <w:rPr>
                <w:color w:val="auto"/>
                <w:sz w:val="20"/>
                <w:lang w:val="sr-Cyrl-RS" w:eastAsia="sr-Cyrl-CS"/>
              </w:rPr>
            </w:pPr>
            <w:r w:rsidRPr="006D0778">
              <w:rPr>
                <w:color w:val="auto"/>
                <w:sz w:val="20"/>
                <w:lang w:val="sr-Cyrl-RS" w:eastAsia="sr-Cyrl-CS"/>
              </w:rPr>
              <w:t> </w:t>
            </w:r>
          </w:p>
        </w:tc>
        <w:tc>
          <w:tcPr>
            <w:tcW w:w="1008" w:type="pct"/>
            <w:tcBorders>
              <w:top w:val="single" w:sz="4" w:space="0" w:color="002060"/>
              <w:bottom w:val="single" w:sz="4" w:space="0" w:color="002060"/>
            </w:tcBorders>
            <w:shd w:val="clear" w:color="auto" w:fill="auto"/>
            <w:vAlign w:val="center"/>
          </w:tcPr>
          <w:p w14:paraId="54637B76" w14:textId="77777777" w:rsidR="006D0778" w:rsidRPr="006D0778" w:rsidRDefault="006D0778" w:rsidP="006D0778">
            <w:pPr>
              <w:spacing w:after="0"/>
              <w:jc w:val="right"/>
              <w:cnfStyle w:val="100000000000" w:firstRow="1" w:lastRow="0" w:firstColumn="0" w:lastColumn="0" w:oddVBand="0" w:evenVBand="0" w:oddHBand="0" w:evenHBand="0" w:firstRowFirstColumn="0" w:firstRowLastColumn="0" w:lastRowFirstColumn="0" w:lastRowLastColumn="0"/>
              <w:rPr>
                <w:b w:val="0"/>
                <w:color w:val="auto"/>
                <w:sz w:val="20"/>
                <w:lang w:val="sr-Cyrl-RS" w:eastAsia="sr-Cyrl-CS"/>
              </w:rPr>
            </w:pPr>
            <w:r w:rsidRPr="006D0778">
              <w:rPr>
                <w:b w:val="0"/>
                <w:color w:val="auto"/>
                <w:sz w:val="20"/>
                <w:lang w:val="sr-Cyrl-RS" w:eastAsia="sr-Cyrl-CS"/>
              </w:rPr>
              <w:t>31.12.2023.</w:t>
            </w:r>
          </w:p>
        </w:tc>
        <w:tc>
          <w:tcPr>
            <w:tcW w:w="1008" w:type="pct"/>
            <w:tcBorders>
              <w:top w:val="single" w:sz="4" w:space="0" w:color="002060"/>
              <w:bottom w:val="single" w:sz="4" w:space="0" w:color="002060"/>
            </w:tcBorders>
            <w:shd w:val="clear" w:color="auto" w:fill="auto"/>
            <w:vAlign w:val="center"/>
          </w:tcPr>
          <w:p w14:paraId="07843024" w14:textId="77777777" w:rsidR="006D0778" w:rsidRPr="006D0778" w:rsidRDefault="006D0778" w:rsidP="006D0778">
            <w:pPr>
              <w:spacing w:after="0"/>
              <w:jc w:val="right"/>
              <w:cnfStyle w:val="100000000000" w:firstRow="1" w:lastRow="0" w:firstColumn="0" w:lastColumn="0" w:oddVBand="0" w:evenVBand="0" w:oddHBand="0" w:evenHBand="0" w:firstRowFirstColumn="0" w:firstRowLastColumn="0" w:lastRowFirstColumn="0" w:lastRowLastColumn="0"/>
              <w:rPr>
                <w:b w:val="0"/>
                <w:color w:val="auto"/>
                <w:sz w:val="20"/>
                <w:lang w:val="sr-Cyrl-RS" w:eastAsia="sr-Cyrl-CS"/>
              </w:rPr>
            </w:pPr>
            <w:r w:rsidRPr="006D0778">
              <w:rPr>
                <w:b w:val="0"/>
                <w:color w:val="auto"/>
                <w:sz w:val="20"/>
                <w:lang w:val="sr-Cyrl-RS" w:eastAsia="sr-Cyrl-CS"/>
              </w:rPr>
              <w:t>30.09.2024.</w:t>
            </w:r>
          </w:p>
        </w:tc>
      </w:tr>
      <w:tr w:rsidR="006D0778" w:rsidRPr="006D0778" w14:paraId="2D5CEDE5" w14:textId="77777777" w:rsidTr="00D2109C">
        <w:trPr>
          <w:cnfStyle w:val="000000100000" w:firstRow="0" w:lastRow="0" w:firstColumn="0" w:lastColumn="0" w:oddVBand="0" w:evenVBand="0" w:oddHBand="1" w:evenHBand="0" w:firstRowFirstColumn="0" w:firstRowLastColumn="0" w:lastRowFirstColumn="0" w:lastRowLastColumn="0"/>
          <w:trHeight w:val="154"/>
        </w:trPr>
        <w:tc>
          <w:tcPr>
            <w:cnfStyle w:val="001000000000" w:firstRow="0" w:lastRow="0" w:firstColumn="1" w:lastColumn="0" w:oddVBand="0" w:evenVBand="0" w:oddHBand="0" w:evenHBand="0" w:firstRowFirstColumn="0" w:firstRowLastColumn="0" w:lastRowFirstColumn="0" w:lastRowLastColumn="0"/>
            <w:tcW w:w="2984" w:type="pct"/>
            <w:shd w:val="clear" w:color="auto" w:fill="auto"/>
            <w:noWrap/>
            <w:vAlign w:val="center"/>
            <w:hideMark/>
          </w:tcPr>
          <w:p w14:paraId="71082407" w14:textId="77777777" w:rsidR="006D0778" w:rsidRPr="006D0778" w:rsidRDefault="006D0778" w:rsidP="006D0778">
            <w:pPr>
              <w:spacing w:after="0"/>
              <w:rPr>
                <w:b w:val="0"/>
                <w:color w:val="auto"/>
                <w:sz w:val="20"/>
                <w:lang w:val="sr-Cyrl-RS" w:eastAsia="sr-Cyrl-CS"/>
              </w:rPr>
            </w:pPr>
            <w:r w:rsidRPr="006D0778">
              <w:rPr>
                <w:b w:val="0"/>
                <w:color w:val="auto"/>
                <w:sz w:val="20"/>
                <w:lang w:val="sr-Cyrl-RS" w:eastAsia="sr-Cyrl-CS"/>
              </w:rPr>
              <w:t xml:space="preserve">Буџетски корисници и ЈП „Путеви Србије” </w:t>
            </w:r>
          </w:p>
        </w:tc>
        <w:tc>
          <w:tcPr>
            <w:tcW w:w="1008" w:type="pct"/>
            <w:tcBorders>
              <w:top w:val="single" w:sz="4" w:space="0" w:color="002060"/>
            </w:tcBorders>
            <w:shd w:val="clear" w:color="auto" w:fill="auto"/>
          </w:tcPr>
          <w:p w14:paraId="605B15A7" w14:textId="77777777" w:rsidR="006D0778" w:rsidRPr="006D0778" w:rsidRDefault="006D0778" w:rsidP="006D0778">
            <w:pPr>
              <w:spacing w:after="0"/>
              <w:ind w:firstLine="709"/>
              <w:jc w:val="right"/>
              <w:cnfStyle w:val="000000100000" w:firstRow="0" w:lastRow="0" w:firstColumn="0" w:lastColumn="0" w:oddVBand="0" w:evenVBand="0" w:oddHBand="1" w:evenHBand="0" w:firstRowFirstColumn="0" w:firstRowLastColumn="0" w:lastRowFirstColumn="0" w:lastRowLastColumn="0"/>
              <w:rPr>
                <w:color w:val="auto"/>
                <w:sz w:val="20"/>
                <w:lang w:val="sr-Cyrl-RS" w:eastAsia="sr-Cyrl-CS"/>
              </w:rPr>
            </w:pPr>
            <w:r w:rsidRPr="006D0778">
              <w:rPr>
                <w:color w:val="auto"/>
                <w:sz w:val="18"/>
                <w:szCs w:val="18"/>
                <w:lang w:val="sr-Cyrl-RS" w:eastAsia="sr-Cyrl-CS"/>
              </w:rPr>
              <w:t>2,3</w:t>
            </w:r>
          </w:p>
        </w:tc>
        <w:tc>
          <w:tcPr>
            <w:tcW w:w="1008" w:type="pct"/>
            <w:tcBorders>
              <w:top w:val="single" w:sz="4" w:space="0" w:color="002060"/>
            </w:tcBorders>
            <w:shd w:val="clear" w:color="auto" w:fill="auto"/>
          </w:tcPr>
          <w:p w14:paraId="215AA447" w14:textId="77777777" w:rsidR="006D0778" w:rsidRPr="006D0778" w:rsidRDefault="006D0778" w:rsidP="006D0778">
            <w:pPr>
              <w:spacing w:after="0"/>
              <w:ind w:firstLine="709"/>
              <w:jc w:val="right"/>
              <w:cnfStyle w:val="000000100000" w:firstRow="0" w:lastRow="0" w:firstColumn="0" w:lastColumn="0" w:oddVBand="0" w:evenVBand="0" w:oddHBand="1" w:evenHBand="0" w:firstRowFirstColumn="0" w:firstRowLastColumn="0" w:lastRowFirstColumn="0" w:lastRowLastColumn="0"/>
              <w:rPr>
                <w:color w:val="auto"/>
                <w:sz w:val="20"/>
                <w:lang w:val="sr-Cyrl-RS" w:eastAsia="sr-Cyrl-CS"/>
              </w:rPr>
            </w:pPr>
            <w:r w:rsidRPr="006D0778">
              <w:rPr>
                <w:color w:val="auto"/>
                <w:sz w:val="18"/>
                <w:szCs w:val="18"/>
                <w:lang w:val="sr-Cyrl-RS" w:eastAsia="sr-Cyrl-CS"/>
              </w:rPr>
              <w:t>4,5</w:t>
            </w:r>
          </w:p>
        </w:tc>
      </w:tr>
      <w:tr w:rsidR="006D0778" w:rsidRPr="006D0778" w14:paraId="76F696F2" w14:textId="77777777" w:rsidTr="00D2109C">
        <w:trPr>
          <w:trHeight w:val="154"/>
        </w:trPr>
        <w:tc>
          <w:tcPr>
            <w:cnfStyle w:val="001000000000" w:firstRow="0" w:lastRow="0" w:firstColumn="1" w:lastColumn="0" w:oddVBand="0" w:evenVBand="0" w:oddHBand="0" w:evenHBand="0" w:firstRowFirstColumn="0" w:firstRowLastColumn="0" w:lastRowFirstColumn="0" w:lastRowLastColumn="0"/>
            <w:tcW w:w="2984" w:type="pct"/>
            <w:shd w:val="clear" w:color="auto" w:fill="auto"/>
            <w:noWrap/>
            <w:vAlign w:val="center"/>
            <w:hideMark/>
          </w:tcPr>
          <w:p w14:paraId="611F2336" w14:textId="77777777" w:rsidR="006D0778" w:rsidRPr="006D0778" w:rsidRDefault="006D0778" w:rsidP="006D0778">
            <w:pPr>
              <w:spacing w:after="0"/>
              <w:rPr>
                <w:b w:val="0"/>
                <w:color w:val="auto"/>
                <w:sz w:val="20"/>
                <w:lang w:val="sr-Cyrl-RS" w:eastAsia="sr-Cyrl-CS"/>
              </w:rPr>
            </w:pPr>
            <w:r w:rsidRPr="006D0778">
              <w:rPr>
                <w:b w:val="0"/>
                <w:color w:val="auto"/>
                <w:sz w:val="20"/>
                <w:lang w:val="sr-Cyrl-RS" w:eastAsia="sr-Cyrl-CS"/>
              </w:rPr>
              <w:t>ООСО</w:t>
            </w:r>
          </w:p>
        </w:tc>
        <w:tc>
          <w:tcPr>
            <w:tcW w:w="1008" w:type="pct"/>
            <w:shd w:val="clear" w:color="auto" w:fill="auto"/>
          </w:tcPr>
          <w:p w14:paraId="0296B13A" w14:textId="77777777" w:rsidR="006D0778" w:rsidRPr="006D0778" w:rsidRDefault="006D0778" w:rsidP="006D0778">
            <w:pPr>
              <w:spacing w:after="0"/>
              <w:ind w:firstLine="709"/>
              <w:jc w:val="right"/>
              <w:cnfStyle w:val="000000000000" w:firstRow="0" w:lastRow="0" w:firstColumn="0" w:lastColumn="0" w:oddVBand="0" w:evenVBand="0" w:oddHBand="0" w:evenHBand="0" w:firstRowFirstColumn="0" w:firstRowLastColumn="0" w:lastRowFirstColumn="0" w:lastRowLastColumn="0"/>
              <w:rPr>
                <w:color w:val="auto"/>
                <w:sz w:val="20"/>
                <w:lang w:val="sr-Latn-RS" w:eastAsia="sr-Cyrl-CS"/>
              </w:rPr>
            </w:pPr>
            <w:r w:rsidRPr="006D0778">
              <w:rPr>
                <w:color w:val="auto"/>
                <w:sz w:val="18"/>
                <w:szCs w:val="18"/>
                <w:lang w:val="sr-Cyrl-RS" w:eastAsia="sr-Cyrl-CS"/>
              </w:rPr>
              <w:t>1,</w:t>
            </w:r>
            <w:r w:rsidRPr="006D0778">
              <w:rPr>
                <w:color w:val="auto"/>
                <w:sz w:val="18"/>
                <w:szCs w:val="18"/>
                <w:lang w:val="sr-Latn-RS" w:eastAsia="sr-Cyrl-CS"/>
              </w:rPr>
              <w:t>2</w:t>
            </w:r>
          </w:p>
        </w:tc>
        <w:tc>
          <w:tcPr>
            <w:tcW w:w="1008" w:type="pct"/>
            <w:shd w:val="clear" w:color="auto" w:fill="auto"/>
          </w:tcPr>
          <w:p w14:paraId="6A19B30B" w14:textId="77777777" w:rsidR="006D0778" w:rsidRPr="006D0778" w:rsidRDefault="006D0778" w:rsidP="006D0778">
            <w:pPr>
              <w:spacing w:after="0"/>
              <w:ind w:firstLine="709"/>
              <w:jc w:val="right"/>
              <w:cnfStyle w:val="000000000000" w:firstRow="0" w:lastRow="0" w:firstColumn="0" w:lastColumn="0" w:oddVBand="0" w:evenVBand="0" w:oddHBand="0" w:evenHBand="0" w:firstRowFirstColumn="0" w:firstRowLastColumn="0" w:lastRowFirstColumn="0" w:lastRowLastColumn="0"/>
              <w:rPr>
                <w:color w:val="auto"/>
                <w:sz w:val="20"/>
                <w:lang w:val="sr-Cyrl-RS" w:eastAsia="sr-Cyrl-CS"/>
              </w:rPr>
            </w:pPr>
            <w:r w:rsidRPr="006D0778">
              <w:rPr>
                <w:color w:val="auto"/>
                <w:sz w:val="18"/>
                <w:szCs w:val="18"/>
                <w:lang w:val="sr-Cyrl-RS" w:eastAsia="sr-Cyrl-CS"/>
              </w:rPr>
              <w:t>1,2</w:t>
            </w:r>
          </w:p>
        </w:tc>
      </w:tr>
      <w:tr w:rsidR="006D0778" w:rsidRPr="006D0778" w14:paraId="4B346BDD" w14:textId="77777777" w:rsidTr="00D2109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984" w:type="pct"/>
            <w:tcBorders>
              <w:bottom w:val="single" w:sz="4" w:space="0" w:color="002060"/>
            </w:tcBorders>
            <w:shd w:val="clear" w:color="auto" w:fill="auto"/>
            <w:noWrap/>
            <w:vAlign w:val="center"/>
            <w:hideMark/>
          </w:tcPr>
          <w:p w14:paraId="6D09AC9C" w14:textId="77777777" w:rsidR="006D0778" w:rsidRPr="006D0778" w:rsidRDefault="006D0778" w:rsidP="006D0778">
            <w:pPr>
              <w:spacing w:after="0"/>
              <w:rPr>
                <w:b w:val="0"/>
                <w:color w:val="auto"/>
                <w:sz w:val="20"/>
                <w:lang w:val="sr-Cyrl-RS" w:eastAsia="sr-Cyrl-CS"/>
              </w:rPr>
            </w:pPr>
            <w:r w:rsidRPr="006D0778">
              <w:rPr>
                <w:b w:val="0"/>
                <w:color w:val="auto"/>
                <w:sz w:val="20"/>
                <w:lang w:val="sr-Cyrl-RS" w:eastAsia="sr-Cyrl-CS"/>
              </w:rPr>
              <w:t>УКУПНО</w:t>
            </w:r>
          </w:p>
        </w:tc>
        <w:tc>
          <w:tcPr>
            <w:tcW w:w="1008" w:type="pct"/>
            <w:tcBorders>
              <w:bottom w:val="single" w:sz="4" w:space="0" w:color="002060"/>
            </w:tcBorders>
            <w:shd w:val="clear" w:color="auto" w:fill="auto"/>
          </w:tcPr>
          <w:p w14:paraId="272FCFB0" w14:textId="77777777" w:rsidR="006D0778" w:rsidRPr="006D0778" w:rsidRDefault="006D0778" w:rsidP="006D0778">
            <w:pPr>
              <w:spacing w:after="0"/>
              <w:ind w:firstLine="709"/>
              <w:jc w:val="right"/>
              <w:cnfStyle w:val="000000100000" w:firstRow="0" w:lastRow="0" w:firstColumn="0" w:lastColumn="0" w:oddVBand="0" w:evenVBand="0" w:oddHBand="1" w:evenHBand="0" w:firstRowFirstColumn="0" w:firstRowLastColumn="0" w:lastRowFirstColumn="0" w:lastRowLastColumn="0"/>
              <w:rPr>
                <w:color w:val="auto"/>
                <w:sz w:val="20"/>
                <w:lang w:val="sr-Cyrl-RS" w:eastAsia="sr-Cyrl-CS"/>
              </w:rPr>
            </w:pPr>
            <w:r w:rsidRPr="006D0778">
              <w:rPr>
                <w:color w:val="auto"/>
                <w:sz w:val="18"/>
                <w:szCs w:val="18"/>
                <w:lang w:val="sr-Cyrl-RS" w:eastAsia="sr-Cyrl-CS"/>
              </w:rPr>
              <w:t>3,5</w:t>
            </w:r>
          </w:p>
        </w:tc>
        <w:tc>
          <w:tcPr>
            <w:tcW w:w="1008" w:type="pct"/>
            <w:tcBorders>
              <w:bottom w:val="single" w:sz="4" w:space="0" w:color="002060"/>
            </w:tcBorders>
            <w:shd w:val="clear" w:color="auto" w:fill="auto"/>
          </w:tcPr>
          <w:p w14:paraId="703F65E1" w14:textId="77777777" w:rsidR="006D0778" w:rsidRPr="006D0778" w:rsidRDefault="006D0778" w:rsidP="006D0778">
            <w:pPr>
              <w:spacing w:after="0"/>
              <w:ind w:firstLine="709"/>
              <w:jc w:val="right"/>
              <w:cnfStyle w:val="000000100000" w:firstRow="0" w:lastRow="0" w:firstColumn="0" w:lastColumn="0" w:oddVBand="0" w:evenVBand="0" w:oddHBand="1" w:evenHBand="0" w:firstRowFirstColumn="0" w:firstRowLastColumn="0" w:lastRowFirstColumn="0" w:lastRowLastColumn="0"/>
              <w:rPr>
                <w:color w:val="auto"/>
                <w:sz w:val="20"/>
                <w:lang w:val="sr-Latn-RS" w:eastAsia="sr-Cyrl-CS"/>
              </w:rPr>
            </w:pPr>
            <w:r w:rsidRPr="006D0778">
              <w:rPr>
                <w:color w:val="auto"/>
                <w:sz w:val="20"/>
                <w:lang w:val="sr-Latn-RS" w:eastAsia="sr-Cyrl-CS"/>
              </w:rPr>
              <w:t>5,7</w:t>
            </w:r>
          </w:p>
        </w:tc>
      </w:tr>
    </w:tbl>
    <w:p w14:paraId="351AD254" w14:textId="77777777" w:rsidR="006D0778" w:rsidRPr="006D0778" w:rsidRDefault="006D0778" w:rsidP="006D0778">
      <w:pPr>
        <w:spacing w:before="40" w:after="0"/>
        <w:rPr>
          <w:rFonts w:eastAsia="Calibri" w:cs="Times New Roman"/>
          <w:sz w:val="16"/>
          <w:szCs w:val="16"/>
          <w:lang w:val="sr-Cyrl-RS"/>
        </w:rPr>
      </w:pPr>
      <w:r w:rsidRPr="006D0778">
        <w:rPr>
          <w:rFonts w:eastAsia="Calibri" w:cs="Times New Roman"/>
          <w:bCs/>
          <w:sz w:val="16"/>
          <w:szCs w:val="16"/>
          <w:lang w:val="sr-Cyrl-RS" w:eastAsia="ja-JP"/>
        </w:rPr>
        <w:t xml:space="preserve">Извор: </w:t>
      </w:r>
      <w:r w:rsidRPr="006D0778">
        <w:rPr>
          <w:rFonts w:eastAsia="Calibri" w:cs="Times New Roman"/>
          <w:sz w:val="16"/>
          <w:szCs w:val="16"/>
          <w:lang w:val="sr-Cyrl-RS"/>
        </w:rPr>
        <w:t>Министарство финансија</w:t>
      </w:r>
    </w:p>
    <w:p w14:paraId="6103C092" w14:textId="77777777" w:rsidR="006D0778" w:rsidRPr="006D0778" w:rsidRDefault="006D0778" w:rsidP="006D0778">
      <w:pPr>
        <w:spacing w:after="0"/>
        <w:rPr>
          <w:rFonts w:eastAsia="MS PGothic" w:cs="Times New Roman"/>
          <w:sz w:val="16"/>
          <w:szCs w:val="16"/>
          <w:lang w:val="sr-Cyrl-RS" w:eastAsia="ja-JP"/>
        </w:rPr>
      </w:pPr>
      <w:r w:rsidRPr="006D0778">
        <w:rPr>
          <w:rFonts w:eastAsia="MS PGothic" w:cs="Times New Roman"/>
          <w:sz w:val="18"/>
          <w:szCs w:val="18"/>
          <w:lang w:val="sr-Cyrl-RS" w:eastAsia="ja-JP"/>
        </w:rPr>
        <w:t>* У складу са дефиницијом која се користила за потребе праћења спровођења аранжмана са ММФ</w:t>
      </w:r>
      <w:r w:rsidRPr="006D0778">
        <w:rPr>
          <w:rFonts w:eastAsia="MS PGothic" w:cs="Times New Roman"/>
          <w:sz w:val="16"/>
          <w:szCs w:val="16"/>
          <w:lang w:val="sr-Cyrl-RS" w:eastAsia="ja-JP"/>
        </w:rPr>
        <w:t>.</w:t>
      </w:r>
    </w:p>
    <w:p w14:paraId="67FF9BFF" w14:textId="77777777" w:rsidR="006D0778" w:rsidRPr="006D0778" w:rsidRDefault="006D0778" w:rsidP="006D0778">
      <w:pPr>
        <w:rPr>
          <w:rFonts w:eastAsia="Calibri" w:cs="Times New Roman"/>
          <w:b/>
          <w:szCs w:val="24"/>
          <w:lang w:val="sr-Cyrl-RS"/>
        </w:rPr>
      </w:pPr>
      <w:r w:rsidRPr="006D0778">
        <w:rPr>
          <w:rFonts w:eastAsia="Calibri" w:cs="Times New Roman"/>
          <w:b/>
          <w:szCs w:val="24"/>
          <w:lang w:val="sr-Cyrl-RS"/>
        </w:rPr>
        <w:br w:type="page"/>
      </w:r>
    </w:p>
    <w:p w14:paraId="5410623F" w14:textId="77777777" w:rsidR="006D0778" w:rsidRPr="006D0778" w:rsidRDefault="006D0778" w:rsidP="006D0778">
      <w:pPr>
        <w:spacing w:after="0"/>
        <w:jc w:val="center"/>
        <w:rPr>
          <w:rFonts w:eastAsia="Calibri" w:cs="Times New Roman"/>
          <w:b/>
          <w:szCs w:val="24"/>
          <w:lang w:val="sr-Cyrl-RS"/>
        </w:rPr>
      </w:pPr>
      <w:r w:rsidRPr="006D0778">
        <w:rPr>
          <w:rFonts w:eastAsia="Calibri" w:cs="Times New Roman"/>
          <w:noProof/>
          <w:szCs w:val="24"/>
        </w:rPr>
        <w:lastRenderedPageBreak/>
        <mc:AlternateContent>
          <mc:Choice Requires="wps">
            <w:drawing>
              <wp:anchor distT="0" distB="0" distL="114300" distR="114300" simplePos="0" relativeHeight="251659264" behindDoc="1" locked="0" layoutInCell="1" allowOverlap="1" wp14:anchorId="1605D2D3" wp14:editId="7875AAE3">
                <wp:simplePos x="0" y="0"/>
                <wp:positionH relativeFrom="margin">
                  <wp:posOffset>-247650</wp:posOffset>
                </wp:positionH>
                <wp:positionV relativeFrom="paragraph">
                  <wp:posOffset>-66675</wp:posOffset>
                </wp:positionV>
                <wp:extent cx="6410325" cy="8610600"/>
                <wp:effectExtent l="0" t="0" r="9525" b="0"/>
                <wp:wrapNone/>
                <wp:docPr id="61" name="Rectangle 61"/>
                <wp:cNvGraphicFramePr/>
                <a:graphic xmlns:a="http://schemas.openxmlformats.org/drawingml/2006/main">
                  <a:graphicData uri="http://schemas.microsoft.com/office/word/2010/wordprocessingShape">
                    <wps:wsp>
                      <wps:cNvSpPr/>
                      <wps:spPr>
                        <a:xfrm>
                          <a:off x="0" y="0"/>
                          <a:ext cx="6410325" cy="8610600"/>
                        </a:xfrm>
                        <a:prstGeom prst="rect">
                          <a:avLst/>
                        </a:prstGeom>
                        <a:pattFill prst="pct25">
                          <a:fgClr>
                            <a:sysClr val="window" lastClr="FFFFFF">
                              <a:lumMod val="85000"/>
                            </a:sysClr>
                          </a:fgClr>
                          <a:bgClr>
                            <a:sysClr val="window" lastClr="FFFFFF"/>
                          </a:bgClr>
                        </a:patt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rect w14:anchorId="1C269B29" id="Rectangle 61" o:spid="_x0000_s1026" style="position:absolute;margin-left:-19.5pt;margin-top:-5.25pt;width:504.75pt;height:678pt;z-index:-2516572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" fillcolor="#d9d9d9" stroked="f" strokeweight="1pt">
                <v:fill r:id="rId14" o:title="" color2="window" type="pattern"/>
                <w10:wrap anchorx="margin"/>
              </v:rect>
            </w:pict>
          </mc:Fallback>
        </mc:AlternateContent>
      </w:r>
      <w:r w:rsidRPr="006D0778">
        <w:rPr>
          <w:rFonts w:eastAsia="Calibri" w:cs="Times New Roman"/>
          <w:b/>
          <w:szCs w:val="24"/>
          <w:lang w:val="sr-Cyrl-RS"/>
        </w:rPr>
        <w:t>S0 индикатор краткорочне фискалне одрживости</w:t>
      </w:r>
    </w:p>
    <w:p w14:paraId="1395F836" w14:textId="77777777" w:rsidR="006D0778" w:rsidRPr="006D0778" w:rsidRDefault="006D0778" w:rsidP="006D0778">
      <w:pPr>
        <w:rPr>
          <w:rFonts w:eastAsia="Calibri" w:cs="Times New Roman"/>
          <w:szCs w:val="24"/>
          <w:lang w:val="sr-Cyrl-RS"/>
        </w:rPr>
      </w:pPr>
    </w:p>
    <w:p w14:paraId="7B5FE39D" w14:textId="77777777" w:rsidR="006D0778" w:rsidRPr="006D0778" w:rsidRDefault="006D0778" w:rsidP="006D0778">
      <w:pPr>
        <w:rPr>
          <w:rFonts w:cstheme="minorHAnsi"/>
          <w:szCs w:val="20"/>
        </w:rPr>
      </w:pPr>
      <w:r w:rsidRPr="006D0778">
        <w:rPr>
          <w:rFonts w:cstheme="minorHAnsi"/>
          <w:szCs w:val="20"/>
        </w:rPr>
        <w:t>Европска комисија је за оцену краткорочне фискалне одрживости дизајнирала композитни индикатор S0 којим се кроз идентификацију потенцијалних краткорочних ризика у текућој години настоји да антиципира фискални стрес у наредној години. Уколико вредност S0 индикатора прелази дефинисани праг сматра се да је земља у краткорочном ризику од фискалног стреса. Поред вредности за целокупан индикатор, ради лоцирања извора из ког ризик потиче, разматрају се и вредности подиндекса и њихових компоненти. S0 композитни индикатор се састоји од два подиндекса, који у себи садрже низ варијабли фискалне и макро-финансијске одрживости. Вредност ових подиндекса испод дефинисаног прага указују на одсуство краткорочног фискалног ризика.</w:t>
      </w:r>
    </w:p>
    <w:p w14:paraId="28AC007D" w14:textId="77777777" w:rsidR="006D0778" w:rsidRPr="006D0778" w:rsidRDefault="006D0778" w:rsidP="006D0778">
      <w:pPr>
        <w:rPr>
          <w:rFonts w:cstheme="minorHAnsi"/>
          <w:szCs w:val="20"/>
        </w:rPr>
      </w:pPr>
      <w:r w:rsidRPr="006D0778">
        <w:rPr>
          <w:rFonts w:cstheme="minorHAnsi"/>
          <w:szCs w:val="20"/>
        </w:rPr>
        <w:t>У 2023. години вредности фискалног (0,08) и финансијског подиндекса (0,27) су унутар за њих дефинисаног прага, као и вредност целокупног S0 индикатора за Републику Србију (0,20), што начелно указује да не постоји опасност од појаве макроекономске нестабилности у наредном средњорочном периоду. Успешно очувана макроекономска и фискална стабилност успостављена у претходном периоду обезбедила је простор за брзе и значајне мере подршке фискалне и монетарне политике.</w:t>
      </w:r>
    </w:p>
    <w:p w14:paraId="699B7806" w14:textId="77777777" w:rsidR="006D0778" w:rsidRPr="006D0778" w:rsidRDefault="006D0778" w:rsidP="006D0778">
      <w:pPr>
        <w:rPr>
          <w:rFonts w:eastAsia="Calibri" w:cs="Times New Roman"/>
          <w:szCs w:val="24"/>
          <w:lang w:val="sr-Cyrl-RS"/>
        </w:rPr>
      </w:pPr>
      <w:r w:rsidRPr="006D0778">
        <w:rPr>
          <w:rFonts w:eastAsia="Calibri" w:cs="Times New Roman"/>
          <w:szCs w:val="24"/>
          <w:lang w:val="sr-Cyrl-RS"/>
        </w:rPr>
        <w:t>Графикон 7. S0 индикатор за Србију у периоду 2015–2023. године</w:t>
      </w:r>
    </w:p>
    <w:p w14:paraId="0C587C5D" w14:textId="77777777" w:rsidR="006D0778" w:rsidRPr="006D0778" w:rsidRDefault="006D0778" w:rsidP="006D0778">
      <w:pPr>
        <w:spacing w:after="240"/>
        <w:rPr>
          <w:rFonts w:eastAsia="Calibri" w:cs="Times New Roman"/>
          <w:szCs w:val="24"/>
          <w:lang w:val="sr-Cyrl-RS"/>
        </w:rPr>
      </w:pPr>
      <w:r w:rsidRPr="006D0778">
        <w:rPr>
          <w:noProof/>
        </w:rPr>
        <w:drawing>
          <wp:inline distT="0" distB="0" distL="0" distR="0" wp14:anchorId="5529B62F" wp14:editId="3C3EFC52">
            <wp:extent cx="5731510" cy="2171700"/>
            <wp:effectExtent l="0" t="0" r="2540" b="0"/>
            <wp:docPr id="16" name="Chart 16"/>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r w:rsidRPr="006D0778">
        <w:rPr>
          <w:rFonts w:eastAsia="Calibri" w:cs="Times New Roman"/>
          <w:szCs w:val="24"/>
          <w:lang w:val="sr-Cyrl-RS"/>
        </w:rPr>
        <w:t>Графикон 8. S0 земље ЕУ и Србија</w:t>
      </w:r>
    </w:p>
    <w:p w14:paraId="39A7AAC4" w14:textId="77777777" w:rsidR="006D0778" w:rsidRPr="006D0778" w:rsidRDefault="006D0778" w:rsidP="006D0778">
      <w:pPr>
        <w:rPr>
          <w:rFonts w:eastAsia="Calibri" w:cs="Times New Roman"/>
          <w:szCs w:val="24"/>
          <w:lang w:val="sr-Cyrl-RS"/>
        </w:rPr>
      </w:pPr>
      <w:r w:rsidRPr="006D0778">
        <w:rPr>
          <w:noProof/>
        </w:rPr>
        <w:drawing>
          <wp:inline distT="0" distB="0" distL="0" distR="0" wp14:anchorId="5762A80F" wp14:editId="7ED63238">
            <wp:extent cx="5731510" cy="2400300"/>
            <wp:effectExtent l="0" t="0" r="0" b="0"/>
            <wp:docPr id="17" name="Chart 17"/>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14:paraId="704EF6C5" w14:textId="77777777" w:rsidR="006D0778" w:rsidRPr="006D0778" w:rsidRDefault="006D0778" w:rsidP="006D0778">
      <w:pPr>
        <w:rPr>
          <w:rFonts w:eastAsia="Calibri" w:cs="Times New Roman"/>
          <w:szCs w:val="24"/>
          <w:lang w:val="sr-Cyrl-RS"/>
        </w:rPr>
      </w:pPr>
    </w:p>
    <w:p w14:paraId="205DCE0B" w14:textId="77777777" w:rsidR="006D0778" w:rsidRPr="006D0778" w:rsidRDefault="006D0778" w:rsidP="006D0778">
      <w:pPr>
        <w:rPr>
          <w:rFonts w:eastAsia="Calibri" w:cs="Times New Roman"/>
          <w:szCs w:val="24"/>
          <w:lang w:val="sr-Cyrl-RS"/>
        </w:rPr>
      </w:pPr>
      <w:r w:rsidRPr="006D0778">
        <w:rPr>
          <w:rFonts w:eastAsia="Calibri" w:cs="Times New Roman"/>
          <w:noProof/>
          <w:szCs w:val="24"/>
        </w:rPr>
        <w:lastRenderedPageBreak/>
        <mc:AlternateContent>
          <mc:Choice Requires="wps">
            <w:drawing>
              <wp:anchor distT="0" distB="0" distL="114300" distR="114300" simplePos="0" relativeHeight="251660288" behindDoc="1" locked="0" layoutInCell="1" allowOverlap="1" wp14:anchorId="7A518853" wp14:editId="24E7CD44">
                <wp:simplePos x="0" y="0"/>
                <wp:positionH relativeFrom="margin">
                  <wp:posOffset>-409575</wp:posOffset>
                </wp:positionH>
                <wp:positionV relativeFrom="paragraph">
                  <wp:posOffset>161924</wp:posOffset>
                </wp:positionV>
                <wp:extent cx="6564630" cy="6638925"/>
                <wp:effectExtent l="0" t="0" r="7620" b="9525"/>
                <wp:wrapNone/>
                <wp:docPr id="64" name="Rectangle 64"/>
                <wp:cNvGraphicFramePr/>
                <a:graphic xmlns:a="http://schemas.openxmlformats.org/drawingml/2006/main">
                  <a:graphicData uri="http://schemas.microsoft.com/office/word/2010/wordprocessingShape">
                    <wps:wsp>
                      <wps:cNvSpPr/>
                      <wps:spPr>
                        <a:xfrm>
                          <a:off x="0" y="0"/>
                          <a:ext cx="6564630" cy="6638925"/>
                        </a:xfrm>
                        <a:prstGeom prst="rect">
                          <a:avLst/>
                        </a:prstGeom>
                        <a:pattFill prst="pct25">
                          <a:fgClr>
                            <a:sysClr val="window" lastClr="FFFFFF">
                              <a:lumMod val="85000"/>
                            </a:sysClr>
                          </a:fgClr>
                          <a:bgClr>
                            <a:sysClr val="window" lastClr="FFFFFF"/>
                          </a:bgClr>
                        </a:patt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rect w14:anchorId="11069A11" id="Rectangle 64" o:spid="_x0000_s1026" style="position:absolute;margin-left:-32.25pt;margin-top:12.75pt;width:516.9pt;height:522.75pt;z-index:-2516561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" fillcolor="#d9d9d9" stroked="f" strokeweight="1pt">
                <v:fill r:id="rId14" o:title="" color2="window" type="pattern"/>
                <w10:wrap anchorx="margin"/>
              </v:rect>
            </w:pict>
          </mc:Fallback>
        </mc:AlternateContent>
      </w:r>
    </w:p>
    <w:p w14:paraId="49B633D1" w14:textId="77777777" w:rsidR="006D0778" w:rsidRPr="006D0778" w:rsidRDefault="006D0778" w:rsidP="006D0778">
      <w:pPr>
        <w:rPr>
          <w:rFonts w:cstheme="minorHAnsi"/>
          <w:szCs w:val="20"/>
        </w:rPr>
      </w:pPr>
      <w:r w:rsidRPr="006D0778">
        <w:rPr>
          <w:rFonts w:eastAsia="Calibri" w:cs="Times New Roman"/>
          <w:szCs w:val="24"/>
          <w:lang w:val="sr-Cyrl-RS"/>
        </w:rPr>
        <w:t xml:space="preserve">Обрачун S0 индикатора за Републику Србију, </w:t>
      </w:r>
      <w:r w:rsidRPr="006D0778">
        <w:rPr>
          <w:rFonts w:cstheme="minorHAnsi"/>
          <w:szCs w:val="20"/>
        </w:rPr>
        <w:t>урађен је од стране Министарства финансија, и базира се на методологији ЕК.</w:t>
      </w:r>
    </w:p>
    <w:p w14:paraId="6DEEBF20" w14:textId="77777777" w:rsidR="006D0778" w:rsidRPr="006D0778" w:rsidRDefault="006D0778" w:rsidP="006D0778">
      <w:pPr>
        <w:rPr>
          <w:rFonts w:cstheme="minorHAnsi"/>
          <w:szCs w:val="20"/>
        </w:rPr>
      </w:pPr>
      <w:r w:rsidRPr="006D0778">
        <w:rPr>
          <w:rFonts w:cstheme="minorHAnsi"/>
          <w:szCs w:val="20"/>
        </w:rPr>
        <w:t xml:space="preserve">На основу података ЕК за земље ЕУ за 2023. годину и обрачуна Министарства финансија за Републику Србију, закључујемо да већина посматраних земаља, као и Србија, није била изложена краткорочном ризику реализације фискалног стреса, будући да вредност S0 нигде не премашује дефинисани праг. </w:t>
      </w:r>
    </w:p>
    <w:p w14:paraId="7B272588" w14:textId="77777777" w:rsidR="006D0778" w:rsidRPr="006D0778" w:rsidRDefault="006D0778" w:rsidP="006D0778">
      <w:pPr>
        <w:rPr>
          <w:rFonts w:eastAsia="Calibri" w:cs="Times New Roman"/>
          <w:spacing w:val="2"/>
          <w:szCs w:val="24"/>
          <w:lang w:val="sr-Cyrl-RS"/>
        </w:rPr>
      </w:pPr>
    </w:p>
    <w:p w14:paraId="27D7DCCD" w14:textId="77777777" w:rsidR="006D0778" w:rsidRPr="006D0778" w:rsidRDefault="006D0778" w:rsidP="006D0778">
      <w:pPr>
        <w:rPr>
          <w:rFonts w:eastAsia="Calibri" w:cs="Times New Roman"/>
          <w:spacing w:val="2"/>
          <w:szCs w:val="24"/>
          <w:lang w:val="sr-Cyrl-RS"/>
        </w:rPr>
      </w:pPr>
      <w:r w:rsidRPr="006D0778">
        <w:rPr>
          <w:rFonts w:eastAsia="Calibri" w:cs="Times New Roman"/>
          <w:spacing w:val="2"/>
          <w:szCs w:val="24"/>
          <w:lang w:val="sr-Cyrl-RS"/>
        </w:rPr>
        <w:t xml:space="preserve">Графикон 9. </w:t>
      </w:r>
      <w:r w:rsidRPr="006D0778">
        <w:rPr>
          <w:rFonts w:eastAsia="Calibri" w:cs="Times New Roman"/>
          <w:szCs w:val="24"/>
          <w:lang w:val="sr-Cyrl-RS"/>
        </w:rPr>
        <w:t>Фискални подиндекс и подиндекс финансијске конкурентности за земље ЕУ и Србију у 2023. години</w:t>
      </w:r>
    </w:p>
    <w:p w14:paraId="1F3E6AD5" w14:textId="77777777" w:rsidR="006D0778" w:rsidRPr="006D0778" w:rsidRDefault="006D0778" w:rsidP="006D0778">
      <w:pPr>
        <w:rPr>
          <w:rFonts w:eastAsia="Calibri" w:cs="Times New Roman"/>
          <w:szCs w:val="24"/>
          <w:lang w:val="sr-Cyrl-RS"/>
        </w:rPr>
      </w:pPr>
      <w:r w:rsidRPr="006D0778">
        <w:rPr>
          <w:noProof/>
        </w:rPr>
        <w:drawing>
          <wp:inline distT="0" distB="0" distL="0" distR="0" wp14:anchorId="6BBA7FF1" wp14:editId="6CCB4360">
            <wp:extent cx="5934075" cy="4496435"/>
            <wp:effectExtent l="0" t="0" r="9525" b="18415"/>
            <wp:docPr id="18" name="Chart 18"/>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14:paraId="3895365C" w14:textId="77777777" w:rsidR="006D0778" w:rsidRPr="006D0778" w:rsidRDefault="006D0778" w:rsidP="006D0778">
      <w:pPr>
        <w:rPr>
          <w:rFonts w:eastAsia="Calibri" w:cs="Times New Roman"/>
          <w:szCs w:val="24"/>
          <w:lang w:val="sr-Cyrl-RS"/>
        </w:rPr>
      </w:pPr>
      <w:bookmarkStart w:id="12" w:name="_Toc530635107"/>
    </w:p>
    <w:p w14:paraId="4F533E1D" w14:textId="77777777" w:rsidR="006D0778" w:rsidRPr="006D0778" w:rsidRDefault="006D0778" w:rsidP="006D0778">
      <w:pPr>
        <w:rPr>
          <w:rFonts w:eastAsia="Calibri" w:cs="Times New Roman"/>
          <w:szCs w:val="24"/>
          <w:lang w:val="sr-Cyrl-RS"/>
        </w:rPr>
      </w:pPr>
    </w:p>
    <w:p w14:paraId="4782BE71" w14:textId="77777777" w:rsidR="006D0778" w:rsidRPr="006D0778" w:rsidRDefault="006D0778" w:rsidP="006D0778">
      <w:pPr>
        <w:rPr>
          <w:rFonts w:eastAsia="Calibri" w:cs="Times New Roman"/>
          <w:szCs w:val="24"/>
          <w:lang w:val="sr-Cyrl-RS"/>
        </w:rPr>
      </w:pPr>
    </w:p>
    <w:p w14:paraId="7DD0E211" w14:textId="77777777" w:rsidR="006D0778" w:rsidRPr="006D0778" w:rsidRDefault="006D0778" w:rsidP="006D0778">
      <w:pPr>
        <w:spacing w:after="160" w:line="259" w:lineRule="auto"/>
        <w:jc w:val="left"/>
        <w:rPr>
          <w:rFonts w:eastAsia="Calibri" w:cs="Times New Roman"/>
          <w:szCs w:val="24"/>
          <w:lang w:val="sr-Cyrl-RS"/>
        </w:rPr>
      </w:pPr>
      <w:r w:rsidRPr="006D0778">
        <w:rPr>
          <w:rFonts w:eastAsia="Calibri" w:cs="Times New Roman"/>
          <w:szCs w:val="24"/>
          <w:lang w:val="sr-Cyrl-RS"/>
        </w:rPr>
        <w:br w:type="page"/>
      </w:r>
    </w:p>
    <w:p w14:paraId="517DB164" w14:textId="77777777" w:rsidR="006D0778" w:rsidRPr="006D0778" w:rsidRDefault="006D0778" w:rsidP="006D0778">
      <w:pPr>
        <w:keepNext/>
        <w:keepLines/>
        <w:spacing w:before="40" w:after="160"/>
        <w:outlineLvl w:val="1"/>
        <w:rPr>
          <w:rFonts w:eastAsiaTheme="majorEastAsia" w:cs="Times New Roman"/>
          <w:szCs w:val="26"/>
          <w:lang w:val="sr-Cyrl-RS"/>
        </w:rPr>
      </w:pPr>
      <w:r w:rsidRPr="006D0778">
        <w:rPr>
          <w:rFonts w:eastAsiaTheme="majorEastAsia" w:cs="Times New Roman"/>
          <w:szCs w:val="26"/>
          <w:lang w:val="sr-Cyrl-RS"/>
        </w:rPr>
        <w:lastRenderedPageBreak/>
        <w:t xml:space="preserve">3. </w:t>
      </w:r>
      <w:bookmarkEnd w:id="12"/>
      <w:r w:rsidRPr="006D0778">
        <w:rPr>
          <w:rFonts w:eastAsiaTheme="majorEastAsia" w:cs="Times New Roman"/>
          <w:szCs w:val="26"/>
          <w:lang w:val="sr-Cyrl-RS"/>
        </w:rPr>
        <w:t>ФИСКАЛНЕ ПРОЈЕКЦИЈЕ У ПЕРИОДУ 2025–2027. ГОДИНЕ</w:t>
      </w:r>
    </w:p>
    <w:p w14:paraId="5E0B360C" w14:textId="77777777" w:rsidR="006D0778" w:rsidRPr="006D0778" w:rsidRDefault="006D0778" w:rsidP="006D0778">
      <w:pPr>
        <w:rPr>
          <w:lang w:eastAsia="ja-JP"/>
        </w:rPr>
      </w:pPr>
      <w:r w:rsidRPr="006D0778">
        <w:rPr>
          <w:lang w:eastAsia="ja-JP"/>
        </w:rPr>
        <w:t>Основни циљеви фискалне политике су усмерени на одржање фискалне стабилности и смањивање учешћа јавног дуга у БДП. Пројекције фискалних агрегата у периоду од 2025. до 2027. године заснивају се на пројекцијама макроекономских показатеља за наведени период, планираној пореској политици која подразумева даље усаглашавање са законима и директивама ЕУ и фискалним и структурним мерама, укључујући и унапређење пословања великих јавних предузећа.</w:t>
      </w:r>
    </w:p>
    <w:p w14:paraId="6F2559B3" w14:textId="77777777" w:rsidR="006D0778" w:rsidRPr="006D0778" w:rsidRDefault="006D0778" w:rsidP="006D0778">
      <w:pPr>
        <w:rPr>
          <w:lang w:eastAsia="ja-JP"/>
        </w:rPr>
      </w:pPr>
      <w:r w:rsidRPr="006D0778">
        <w:rPr>
          <w:lang w:eastAsia="ja-JP"/>
        </w:rPr>
        <w:t>Захваљујући мерама фискалне консолидације у претходном периоду створен је фискални простор који је омогућио богате пакете мера у склопу борбе против ефеката кризе изазване пандемијом током 2020. и 2021. године, а у 2022. години су обезбеђена средства за ублажавање ефеката енергетске кризе, изазване сукобом у Украјини. Реакција фискалне политике у наредном периоду, креиране мере и њихове фискалне импликације биће одређени тако да не угрозе стабилност јавних финансија и темпо смањења јавног дуга, да одрже животни стандард становништва и помогну привредни развој, али и да осигурају флексибилност у случају снажнијег удара кризе.</w:t>
      </w:r>
    </w:p>
    <w:p w14:paraId="06EF2516" w14:textId="77777777" w:rsidR="006D0778" w:rsidRPr="006D0778" w:rsidRDefault="006D0778" w:rsidP="006D0778">
      <w:pPr>
        <w:rPr>
          <w:lang w:val="sr-Cyrl-RS" w:eastAsia="ja-JP"/>
        </w:rPr>
      </w:pPr>
      <w:r w:rsidRPr="006D0778">
        <w:rPr>
          <w:lang w:val="sr-Cyrl-RS" w:eastAsia="ja-JP"/>
        </w:rPr>
        <w:t>Табела 7. Фискални агрегати у периоду 2023–2027. године, % БДП</w:t>
      </w:r>
    </w:p>
    <w:tbl>
      <w:tblPr>
        <w:tblStyle w:val="LightShading-Accent12214"/>
        <w:tblW w:w="5000" w:type="pct"/>
        <w:tblBorders>
          <w:top w:val="none" w:sz="0" w:space="0" w:color="auto"/>
          <w:bottom w:val="none" w:sz="0" w:space="0" w:color="auto"/>
        </w:tblBorders>
        <w:tblLook w:val="0420" w:firstRow="1" w:lastRow="0" w:firstColumn="0" w:lastColumn="0" w:noHBand="0" w:noVBand="1"/>
      </w:tblPr>
      <w:tblGrid>
        <w:gridCol w:w="3813"/>
        <w:gridCol w:w="1177"/>
        <w:gridCol w:w="1075"/>
        <w:gridCol w:w="987"/>
        <w:gridCol w:w="987"/>
        <w:gridCol w:w="987"/>
      </w:tblGrid>
      <w:tr w:rsidR="006D0778" w:rsidRPr="006D0778" w14:paraId="634644CB" w14:textId="77777777" w:rsidTr="00D2109C">
        <w:trPr>
          <w:cnfStyle w:val="100000000000" w:firstRow="1" w:lastRow="0" w:firstColumn="0" w:lastColumn="0" w:oddVBand="0" w:evenVBand="0" w:oddHBand="0" w:evenHBand="0" w:firstRowFirstColumn="0" w:firstRowLastColumn="0" w:lastRowFirstColumn="0" w:lastRowLastColumn="0"/>
          <w:trHeight w:val="253"/>
          <w:tblHeader/>
        </w:trPr>
        <w:tc>
          <w:tcPr>
            <w:tcW w:w="2122" w:type="pct"/>
            <w:tcBorders>
              <w:top w:val="single" w:sz="4" w:space="0" w:color="002060"/>
              <w:bottom w:val="single" w:sz="4" w:space="0" w:color="002060"/>
            </w:tcBorders>
            <w:shd w:val="clear" w:color="auto" w:fill="auto"/>
            <w:noWrap/>
            <w:vAlign w:val="center"/>
          </w:tcPr>
          <w:p w14:paraId="1F6E769D" w14:textId="77777777" w:rsidR="006D0778" w:rsidRPr="006D0778" w:rsidRDefault="006D0778" w:rsidP="006D0778">
            <w:pPr>
              <w:rPr>
                <w:color w:val="auto"/>
                <w:sz w:val="20"/>
              </w:rPr>
            </w:pPr>
            <w:r w:rsidRPr="006D0778">
              <w:rPr>
                <w:color w:val="auto"/>
                <w:sz w:val="20"/>
              </w:rPr>
              <w:t>Опис</w:t>
            </w:r>
          </w:p>
        </w:tc>
        <w:tc>
          <w:tcPr>
            <w:tcW w:w="605" w:type="pct"/>
            <w:tcBorders>
              <w:top w:val="single" w:sz="4" w:space="0" w:color="002060"/>
              <w:bottom w:val="single" w:sz="4" w:space="0" w:color="002060"/>
            </w:tcBorders>
            <w:shd w:val="clear" w:color="auto" w:fill="auto"/>
            <w:vAlign w:val="center"/>
          </w:tcPr>
          <w:p w14:paraId="6BC932A9" w14:textId="77777777" w:rsidR="006D0778" w:rsidRPr="006D0778" w:rsidRDefault="006D0778" w:rsidP="006D0778">
            <w:pPr>
              <w:jc w:val="center"/>
              <w:rPr>
                <w:color w:val="auto"/>
                <w:sz w:val="20"/>
              </w:rPr>
            </w:pPr>
            <w:r w:rsidRPr="006D0778">
              <w:rPr>
                <w:color w:val="auto"/>
                <w:sz w:val="20"/>
              </w:rPr>
              <w:t>Извршење</w:t>
            </w:r>
          </w:p>
        </w:tc>
        <w:tc>
          <w:tcPr>
            <w:tcW w:w="605" w:type="pct"/>
            <w:tcBorders>
              <w:top w:val="single" w:sz="4" w:space="0" w:color="002060"/>
              <w:bottom w:val="single" w:sz="4" w:space="0" w:color="002060"/>
            </w:tcBorders>
            <w:shd w:val="clear" w:color="auto" w:fill="auto"/>
            <w:vAlign w:val="center"/>
          </w:tcPr>
          <w:p w14:paraId="20A95E21" w14:textId="77777777" w:rsidR="006D0778" w:rsidRPr="006D0778" w:rsidRDefault="006D0778" w:rsidP="006D0778">
            <w:pPr>
              <w:jc w:val="center"/>
              <w:rPr>
                <w:color w:val="auto"/>
                <w:sz w:val="20"/>
              </w:rPr>
            </w:pPr>
            <w:r w:rsidRPr="006D0778">
              <w:rPr>
                <w:color w:val="auto"/>
                <w:sz w:val="20"/>
              </w:rPr>
              <w:t>Процена</w:t>
            </w:r>
          </w:p>
        </w:tc>
        <w:tc>
          <w:tcPr>
            <w:tcW w:w="1669" w:type="pct"/>
            <w:gridSpan w:val="3"/>
            <w:tcBorders>
              <w:top w:val="single" w:sz="4" w:space="0" w:color="002060"/>
              <w:bottom w:val="single" w:sz="4" w:space="0" w:color="002060"/>
            </w:tcBorders>
            <w:shd w:val="clear" w:color="auto" w:fill="auto"/>
            <w:vAlign w:val="center"/>
          </w:tcPr>
          <w:p w14:paraId="1C8CDEA6" w14:textId="77777777" w:rsidR="006D0778" w:rsidRPr="006D0778" w:rsidRDefault="006D0778" w:rsidP="006D0778">
            <w:pPr>
              <w:jc w:val="center"/>
              <w:rPr>
                <w:color w:val="auto"/>
                <w:sz w:val="20"/>
              </w:rPr>
            </w:pPr>
            <w:r w:rsidRPr="006D0778">
              <w:rPr>
                <w:color w:val="auto"/>
                <w:sz w:val="20"/>
              </w:rPr>
              <w:t>Пројекција</w:t>
            </w:r>
          </w:p>
        </w:tc>
      </w:tr>
      <w:tr w:rsidR="006D0778" w:rsidRPr="006D0778" w14:paraId="33D43EC9" w14:textId="77777777" w:rsidTr="00D2109C">
        <w:trPr>
          <w:cnfStyle w:val="100000000000" w:firstRow="1" w:lastRow="0" w:firstColumn="0" w:lastColumn="0" w:oddVBand="0" w:evenVBand="0" w:oddHBand="0" w:evenHBand="0" w:firstRowFirstColumn="0" w:firstRowLastColumn="0" w:lastRowFirstColumn="0" w:lastRowLastColumn="0"/>
          <w:trHeight w:val="253"/>
          <w:tblHeader/>
        </w:trPr>
        <w:tc>
          <w:tcPr>
            <w:tcW w:w="2122" w:type="pct"/>
            <w:tcBorders>
              <w:top w:val="single" w:sz="4" w:space="0" w:color="002060"/>
              <w:bottom w:val="single" w:sz="4" w:space="0" w:color="auto"/>
            </w:tcBorders>
            <w:shd w:val="clear" w:color="auto" w:fill="auto"/>
            <w:noWrap/>
            <w:vAlign w:val="center"/>
          </w:tcPr>
          <w:p w14:paraId="19CA0C52" w14:textId="77777777" w:rsidR="006D0778" w:rsidRPr="006D0778" w:rsidRDefault="006D0778" w:rsidP="006D0778">
            <w:pPr>
              <w:rPr>
                <w:color w:val="auto"/>
                <w:sz w:val="20"/>
              </w:rPr>
            </w:pPr>
            <w:r w:rsidRPr="006D0778">
              <w:rPr>
                <w:color w:val="auto"/>
                <w:sz w:val="20"/>
              </w:rPr>
              <w:t> </w:t>
            </w:r>
          </w:p>
        </w:tc>
        <w:tc>
          <w:tcPr>
            <w:tcW w:w="605" w:type="pct"/>
            <w:tcBorders>
              <w:top w:val="single" w:sz="4" w:space="0" w:color="002060"/>
              <w:bottom w:val="single" w:sz="4" w:space="0" w:color="002060"/>
            </w:tcBorders>
            <w:shd w:val="clear" w:color="auto" w:fill="auto"/>
            <w:vAlign w:val="center"/>
          </w:tcPr>
          <w:p w14:paraId="774760D4" w14:textId="77777777" w:rsidR="006D0778" w:rsidRPr="006D0778" w:rsidRDefault="006D0778" w:rsidP="006D0778">
            <w:pPr>
              <w:jc w:val="center"/>
              <w:rPr>
                <w:color w:val="auto"/>
                <w:sz w:val="20"/>
              </w:rPr>
            </w:pPr>
            <w:r w:rsidRPr="006D0778">
              <w:rPr>
                <w:color w:val="auto"/>
                <w:sz w:val="20"/>
              </w:rPr>
              <w:t>2023</w:t>
            </w:r>
          </w:p>
        </w:tc>
        <w:tc>
          <w:tcPr>
            <w:tcW w:w="605" w:type="pct"/>
            <w:tcBorders>
              <w:top w:val="single" w:sz="4" w:space="0" w:color="002060"/>
              <w:bottom w:val="single" w:sz="4" w:space="0" w:color="002060"/>
            </w:tcBorders>
            <w:shd w:val="clear" w:color="auto" w:fill="auto"/>
            <w:vAlign w:val="center"/>
          </w:tcPr>
          <w:p w14:paraId="085AAA51" w14:textId="77777777" w:rsidR="006D0778" w:rsidRPr="006D0778" w:rsidRDefault="006D0778" w:rsidP="006D0778">
            <w:pPr>
              <w:jc w:val="center"/>
              <w:rPr>
                <w:color w:val="auto"/>
                <w:sz w:val="20"/>
              </w:rPr>
            </w:pPr>
            <w:r w:rsidRPr="006D0778">
              <w:rPr>
                <w:color w:val="auto"/>
                <w:sz w:val="20"/>
              </w:rPr>
              <w:t>2024</w:t>
            </w:r>
          </w:p>
        </w:tc>
        <w:tc>
          <w:tcPr>
            <w:tcW w:w="556" w:type="pct"/>
            <w:tcBorders>
              <w:top w:val="single" w:sz="4" w:space="0" w:color="002060"/>
              <w:bottom w:val="single" w:sz="4" w:space="0" w:color="002060"/>
            </w:tcBorders>
            <w:shd w:val="clear" w:color="auto" w:fill="auto"/>
            <w:vAlign w:val="center"/>
          </w:tcPr>
          <w:p w14:paraId="19449E4D" w14:textId="77777777" w:rsidR="006D0778" w:rsidRPr="006D0778" w:rsidRDefault="006D0778" w:rsidP="006D0778">
            <w:pPr>
              <w:jc w:val="center"/>
              <w:rPr>
                <w:color w:val="auto"/>
                <w:sz w:val="20"/>
              </w:rPr>
            </w:pPr>
            <w:r w:rsidRPr="006D0778">
              <w:rPr>
                <w:color w:val="auto"/>
                <w:sz w:val="20"/>
              </w:rPr>
              <w:t>2025</w:t>
            </w:r>
          </w:p>
        </w:tc>
        <w:tc>
          <w:tcPr>
            <w:tcW w:w="556" w:type="pct"/>
            <w:tcBorders>
              <w:top w:val="single" w:sz="4" w:space="0" w:color="002060"/>
              <w:bottom w:val="single" w:sz="4" w:space="0" w:color="002060"/>
            </w:tcBorders>
            <w:shd w:val="clear" w:color="auto" w:fill="auto"/>
            <w:vAlign w:val="center"/>
          </w:tcPr>
          <w:p w14:paraId="78799E46" w14:textId="77777777" w:rsidR="006D0778" w:rsidRPr="006D0778" w:rsidRDefault="006D0778" w:rsidP="006D0778">
            <w:pPr>
              <w:jc w:val="center"/>
              <w:rPr>
                <w:color w:val="auto"/>
                <w:sz w:val="20"/>
              </w:rPr>
            </w:pPr>
            <w:r w:rsidRPr="006D0778">
              <w:rPr>
                <w:color w:val="auto"/>
                <w:sz w:val="20"/>
              </w:rPr>
              <w:t>2026</w:t>
            </w:r>
          </w:p>
        </w:tc>
        <w:tc>
          <w:tcPr>
            <w:tcW w:w="556" w:type="pct"/>
            <w:tcBorders>
              <w:top w:val="single" w:sz="4" w:space="0" w:color="002060"/>
              <w:bottom w:val="single" w:sz="4" w:space="0" w:color="002060"/>
            </w:tcBorders>
            <w:shd w:val="clear" w:color="auto" w:fill="auto"/>
            <w:vAlign w:val="center"/>
          </w:tcPr>
          <w:p w14:paraId="6CB9ED5F" w14:textId="77777777" w:rsidR="006D0778" w:rsidRPr="006D0778" w:rsidRDefault="006D0778" w:rsidP="006D0778">
            <w:pPr>
              <w:jc w:val="center"/>
              <w:rPr>
                <w:color w:val="auto"/>
                <w:sz w:val="20"/>
              </w:rPr>
            </w:pPr>
            <w:r w:rsidRPr="006D0778">
              <w:rPr>
                <w:color w:val="auto"/>
                <w:sz w:val="20"/>
              </w:rPr>
              <w:t>2027</w:t>
            </w:r>
          </w:p>
        </w:tc>
      </w:tr>
      <w:tr w:rsidR="006D0778" w:rsidRPr="006D0778" w14:paraId="64026F6A" w14:textId="77777777" w:rsidTr="00D2109C">
        <w:trPr>
          <w:cnfStyle w:val="000000100000" w:firstRow="0" w:lastRow="0" w:firstColumn="0" w:lastColumn="0" w:oddVBand="0" w:evenVBand="0" w:oddHBand="1" w:evenHBand="0" w:firstRowFirstColumn="0" w:firstRowLastColumn="0" w:lastRowFirstColumn="0" w:lastRowLastColumn="0"/>
          <w:trHeight w:val="253"/>
        </w:trPr>
        <w:tc>
          <w:tcPr>
            <w:tcW w:w="2122" w:type="pct"/>
            <w:tcBorders>
              <w:top w:val="single" w:sz="4" w:space="0" w:color="auto"/>
            </w:tcBorders>
            <w:shd w:val="clear" w:color="auto" w:fill="auto"/>
            <w:vAlign w:val="center"/>
          </w:tcPr>
          <w:p w14:paraId="707986CC" w14:textId="77777777" w:rsidR="006D0778" w:rsidRPr="006D0778" w:rsidRDefault="006D0778" w:rsidP="006D0778">
            <w:pPr>
              <w:rPr>
                <w:color w:val="auto"/>
                <w:sz w:val="20"/>
              </w:rPr>
            </w:pPr>
            <w:r w:rsidRPr="006D0778">
              <w:rPr>
                <w:color w:val="auto"/>
                <w:sz w:val="20"/>
              </w:rPr>
              <w:t>Јавни приходи</w:t>
            </w:r>
          </w:p>
        </w:tc>
        <w:tc>
          <w:tcPr>
            <w:tcW w:w="605" w:type="pct"/>
            <w:tcBorders>
              <w:top w:val="single" w:sz="4" w:space="0" w:color="002060"/>
            </w:tcBorders>
            <w:shd w:val="clear" w:color="auto" w:fill="auto"/>
            <w:vAlign w:val="center"/>
          </w:tcPr>
          <w:p w14:paraId="013541E4" w14:textId="77777777" w:rsidR="006D0778" w:rsidRPr="006D0778" w:rsidRDefault="006D0778" w:rsidP="006D0778">
            <w:pPr>
              <w:jc w:val="center"/>
              <w:rPr>
                <w:color w:val="auto"/>
                <w:sz w:val="20"/>
              </w:rPr>
            </w:pPr>
            <w:r w:rsidRPr="006D0778">
              <w:rPr>
                <w:color w:val="auto"/>
                <w:sz w:val="20"/>
              </w:rPr>
              <w:t>39,4</w:t>
            </w:r>
          </w:p>
        </w:tc>
        <w:tc>
          <w:tcPr>
            <w:tcW w:w="605" w:type="pct"/>
            <w:tcBorders>
              <w:top w:val="single" w:sz="4" w:space="0" w:color="002060"/>
            </w:tcBorders>
            <w:shd w:val="clear" w:color="auto" w:fill="auto"/>
            <w:vAlign w:val="center"/>
          </w:tcPr>
          <w:p w14:paraId="732D6C04" w14:textId="77777777" w:rsidR="006D0778" w:rsidRPr="006D0778" w:rsidRDefault="006D0778" w:rsidP="006D0778">
            <w:pPr>
              <w:jc w:val="center"/>
              <w:rPr>
                <w:color w:val="auto"/>
                <w:sz w:val="20"/>
              </w:rPr>
            </w:pPr>
            <w:r w:rsidRPr="006D0778">
              <w:rPr>
                <w:color w:val="auto"/>
                <w:sz w:val="20"/>
              </w:rPr>
              <w:t>40,8</w:t>
            </w:r>
          </w:p>
        </w:tc>
        <w:tc>
          <w:tcPr>
            <w:tcW w:w="556" w:type="pct"/>
            <w:tcBorders>
              <w:top w:val="single" w:sz="4" w:space="0" w:color="002060"/>
            </w:tcBorders>
            <w:shd w:val="clear" w:color="auto" w:fill="auto"/>
            <w:vAlign w:val="center"/>
          </w:tcPr>
          <w:p w14:paraId="3095CB65" w14:textId="77777777" w:rsidR="006D0778" w:rsidRPr="006D0778" w:rsidRDefault="006D0778" w:rsidP="006D0778">
            <w:pPr>
              <w:jc w:val="center"/>
              <w:rPr>
                <w:color w:val="auto"/>
                <w:sz w:val="20"/>
              </w:rPr>
            </w:pPr>
            <w:r w:rsidRPr="006D0778">
              <w:rPr>
                <w:color w:val="auto"/>
                <w:sz w:val="20"/>
              </w:rPr>
              <w:t>41,3</w:t>
            </w:r>
          </w:p>
        </w:tc>
        <w:tc>
          <w:tcPr>
            <w:tcW w:w="556" w:type="pct"/>
            <w:tcBorders>
              <w:top w:val="single" w:sz="4" w:space="0" w:color="002060"/>
            </w:tcBorders>
            <w:shd w:val="clear" w:color="auto" w:fill="auto"/>
            <w:vAlign w:val="center"/>
          </w:tcPr>
          <w:p w14:paraId="7DA89CF5" w14:textId="77777777" w:rsidR="006D0778" w:rsidRPr="006D0778" w:rsidRDefault="006D0778" w:rsidP="006D0778">
            <w:pPr>
              <w:jc w:val="center"/>
              <w:rPr>
                <w:color w:val="auto"/>
                <w:sz w:val="20"/>
              </w:rPr>
            </w:pPr>
            <w:r w:rsidRPr="006D0778">
              <w:rPr>
                <w:color w:val="auto"/>
                <w:sz w:val="20"/>
              </w:rPr>
              <w:t>40,9</w:t>
            </w:r>
          </w:p>
        </w:tc>
        <w:tc>
          <w:tcPr>
            <w:tcW w:w="556" w:type="pct"/>
            <w:tcBorders>
              <w:top w:val="single" w:sz="4" w:space="0" w:color="002060"/>
            </w:tcBorders>
            <w:shd w:val="clear" w:color="auto" w:fill="auto"/>
            <w:vAlign w:val="center"/>
          </w:tcPr>
          <w:p w14:paraId="489A56D8" w14:textId="77777777" w:rsidR="006D0778" w:rsidRPr="006D0778" w:rsidRDefault="006D0778" w:rsidP="006D0778">
            <w:pPr>
              <w:jc w:val="center"/>
              <w:rPr>
                <w:color w:val="auto"/>
                <w:sz w:val="20"/>
              </w:rPr>
            </w:pPr>
            <w:r w:rsidRPr="006D0778">
              <w:rPr>
                <w:color w:val="auto"/>
                <w:sz w:val="20"/>
              </w:rPr>
              <w:t>40,5</w:t>
            </w:r>
          </w:p>
        </w:tc>
      </w:tr>
      <w:tr w:rsidR="006D0778" w:rsidRPr="006D0778" w14:paraId="25841DF6" w14:textId="77777777" w:rsidTr="00D2109C">
        <w:trPr>
          <w:trHeight w:val="253"/>
        </w:trPr>
        <w:tc>
          <w:tcPr>
            <w:tcW w:w="2122" w:type="pct"/>
            <w:shd w:val="clear" w:color="auto" w:fill="auto"/>
            <w:vAlign w:val="center"/>
          </w:tcPr>
          <w:p w14:paraId="4C791245" w14:textId="77777777" w:rsidR="006D0778" w:rsidRPr="006D0778" w:rsidRDefault="006D0778" w:rsidP="006D0778">
            <w:pPr>
              <w:rPr>
                <w:color w:val="auto"/>
                <w:sz w:val="20"/>
              </w:rPr>
            </w:pPr>
            <w:r w:rsidRPr="006D0778">
              <w:rPr>
                <w:color w:val="auto"/>
                <w:sz w:val="20"/>
              </w:rPr>
              <w:t>Јавни расходи</w:t>
            </w:r>
          </w:p>
        </w:tc>
        <w:tc>
          <w:tcPr>
            <w:tcW w:w="605" w:type="pct"/>
            <w:shd w:val="clear" w:color="auto" w:fill="auto"/>
            <w:vAlign w:val="center"/>
          </w:tcPr>
          <w:p w14:paraId="5BBEB5F5" w14:textId="77777777" w:rsidR="006D0778" w:rsidRPr="006D0778" w:rsidRDefault="006D0778" w:rsidP="006D0778">
            <w:pPr>
              <w:jc w:val="center"/>
              <w:rPr>
                <w:color w:val="auto"/>
                <w:sz w:val="20"/>
              </w:rPr>
            </w:pPr>
            <w:r w:rsidRPr="006D0778">
              <w:rPr>
                <w:color w:val="auto"/>
                <w:sz w:val="20"/>
              </w:rPr>
              <w:t>41,4</w:t>
            </w:r>
          </w:p>
        </w:tc>
        <w:tc>
          <w:tcPr>
            <w:tcW w:w="605" w:type="pct"/>
            <w:shd w:val="clear" w:color="auto" w:fill="auto"/>
            <w:vAlign w:val="center"/>
          </w:tcPr>
          <w:p w14:paraId="3E57707D" w14:textId="77777777" w:rsidR="006D0778" w:rsidRPr="006D0778" w:rsidRDefault="006D0778" w:rsidP="006D0778">
            <w:pPr>
              <w:jc w:val="center"/>
              <w:rPr>
                <w:color w:val="auto"/>
                <w:sz w:val="20"/>
              </w:rPr>
            </w:pPr>
            <w:r w:rsidRPr="006D0778">
              <w:rPr>
                <w:color w:val="auto"/>
                <w:sz w:val="20"/>
              </w:rPr>
              <w:t>43,6</w:t>
            </w:r>
          </w:p>
        </w:tc>
        <w:tc>
          <w:tcPr>
            <w:tcW w:w="556" w:type="pct"/>
            <w:shd w:val="clear" w:color="auto" w:fill="auto"/>
            <w:vAlign w:val="center"/>
          </w:tcPr>
          <w:p w14:paraId="3B83483F" w14:textId="77777777" w:rsidR="006D0778" w:rsidRPr="006D0778" w:rsidRDefault="006D0778" w:rsidP="006D0778">
            <w:pPr>
              <w:jc w:val="center"/>
              <w:rPr>
                <w:color w:val="auto"/>
                <w:sz w:val="20"/>
              </w:rPr>
            </w:pPr>
            <w:r w:rsidRPr="006D0778">
              <w:rPr>
                <w:color w:val="auto"/>
                <w:sz w:val="20"/>
              </w:rPr>
              <w:t>44,3</w:t>
            </w:r>
          </w:p>
        </w:tc>
        <w:tc>
          <w:tcPr>
            <w:tcW w:w="556" w:type="pct"/>
            <w:shd w:val="clear" w:color="auto" w:fill="auto"/>
            <w:vAlign w:val="center"/>
          </w:tcPr>
          <w:p w14:paraId="367774C0" w14:textId="77777777" w:rsidR="006D0778" w:rsidRPr="006D0778" w:rsidRDefault="006D0778" w:rsidP="006D0778">
            <w:pPr>
              <w:jc w:val="center"/>
              <w:rPr>
                <w:color w:val="auto"/>
                <w:sz w:val="20"/>
              </w:rPr>
            </w:pPr>
            <w:r w:rsidRPr="006D0778">
              <w:rPr>
                <w:color w:val="auto"/>
                <w:sz w:val="20"/>
              </w:rPr>
              <w:t>43,9</w:t>
            </w:r>
          </w:p>
        </w:tc>
        <w:tc>
          <w:tcPr>
            <w:tcW w:w="556" w:type="pct"/>
            <w:shd w:val="clear" w:color="auto" w:fill="auto"/>
            <w:vAlign w:val="center"/>
          </w:tcPr>
          <w:p w14:paraId="1FC6B7C1" w14:textId="77777777" w:rsidR="006D0778" w:rsidRPr="006D0778" w:rsidRDefault="006D0778" w:rsidP="006D0778">
            <w:pPr>
              <w:jc w:val="center"/>
              <w:rPr>
                <w:color w:val="auto"/>
                <w:sz w:val="20"/>
              </w:rPr>
            </w:pPr>
            <w:r w:rsidRPr="006D0778">
              <w:rPr>
                <w:color w:val="auto"/>
                <w:sz w:val="20"/>
              </w:rPr>
              <w:t>43,5</w:t>
            </w:r>
          </w:p>
        </w:tc>
      </w:tr>
      <w:tr w:rsidR="006D0778" w:rsidRPr="006D0778" w14:paraId="6188AA89" w14:textId="77777777" w:rsidTr="00D2109C">
        <w:trPr>
          <w:cnfStyle w:val="000000100000" w:firstRow="0" w:lastRow="0" w:firstColumn="0" w:lastColumn="0" w:oddVBand="0" w:evenVBand="0" w:oddHBand="1" w:evenHBand="0" w:firstRowFirstColumn="0" w:firstRowLastColumn="0" w:lastRowFirstColumn="0" w:lastRowLastColumn="0"/>
          <w:trHeight w:val="253"/>
        </w:trPr>
        <w:tc>
          <w:tcPr>
            <w:tcW w:w="2122" w:type="pct"/>
            <w:shd w:val="clear" w:color="auto" w:fill="auto"/>
            <w:vAlign w:val="center"/>
          </w:tcPr>
          <w:p w14:paraId="587E3EB5" w14:textId="77777777" w:rsidR="006D0778" w:rsidRPr="006D0778" w:rsidRDefault="006D0778" w:rsidP="006D0778">
            <w:pPr>
              <w:rPr>
                <w:color w:val="auto"/>
                <w:sz w:val="20"/>
              </w:rPr>
            </w:pPr>
          </w:p>
        </w:tc>
        <w:tc>
          <w:tcPr>
            <w:tcW w:w="605" w:type="pct"/>
            <w:shd w:val="clear" w:color="auto" w:fill="auto"/>
            <w:vAlign w:val="center"/>
          </w:tcPr>
          <w:p w14:paraId="7E388582" w14:textId="77777777" w:rsidR="006D0778" w:rsidRPr="006D0778" w:rsidRDefault="006D0778" w:rsidP="006D0778">
            <w:pPr>
              <w:jc w:val="center"/>
              <w:rPr>
                <w:color w:val="auto"/>
                <w:sz w:val="20"/>
              </w:rPr>
            </w:pPr>
          </w:p>
        </w:tc>
        <w:tc>
          <w:tcPr>
            <w:tcW w:w="605" w:type="pct"/>
            <w:shd w:val="clear" w:color="auto" w:fill="auto"/>
            <w:vAlign w:val="center"/>
          </w:tcPr>
          <w:p w14:paraId="5966D1AC" w14:textId="77777777" w:rsidR="006D0778" w:rsidRPr="006D0778" w:rsidRDefault="006D0778" w:rsidP="006D0778">
            <w:pPr>
              <w:jc w:val="center"/>
              <w:rPr>
                <w:color w:val="auto"/>
                <w:sz w:val="20"/>
              </w:rPr>
            </w:pPr>
          </w:p>
        </w:tc>
        <w:tc>
          <w:tcPr>
            <w:tcW w:w="556" w:type="pct"/>
            <w:shd w:val="clear" w:color="auto" w:fill="auto"/>
            <w:vAlign w:val="center"/>
          </w:tcPr>
          <w:p w14:paraId="5886A0A7" w14:textId="77777777" w:rsidR="006D0778" w:rsidRPr="006D0778" w:rsidRDefault="006D0778" w:rsidP="006D0778">
            <w:pPr>
              <w:jc w:val="center"/>
              <w:rPr>
                <w:color w:val="auto"/>
                <w:sz w:val="20"/>
              </w:rPr>
            </w:pPr>
          </w:p>
        </w:tc>
        <w:tc>
          <w:tcPr>
            <w:tcW w:w="556" w:type="pct"/>
            <w:shd w:val="clear" w:color="auto" w:fill="auto"/>
            <w:vAlign w:val="center"/>
          </w:tcPr>
          <w:p w14:paraId="3FCE1975" w14:textId="77777777" w:rsidR="006D0778" w:rsidRPr="006D0778" w:rsidRDefault="006D0778" w:rsidP="006D0778">
            <w:pPr>
              <w:jc w:val="center"/>
              <w:rPr>
                <w:color w:val="auto"/>
                <w:sz w:val="20"/>
              </w:rPr>
            </w:pPr>
          </w:p>
        </w:tc>
        <w:tc>
          <w:tcPr>
            <w:tcW w:w="556" w:type="pct"/>
            <w:shd w:val="clear" w:color="auto" w:fill="auto"/>
            <w:vAlign w:val="center"/>
          </w:tcPr>
          <w:p w14:paraId="60B381D5" w14:textId="77777777" w:rsidR="006D0778" w:rsidRPr="006D0778" w:rsidRDefault="006D0778" w:rsidP="006D0778">
            <w:pPr>
              <w:jc w:val="center"/>
              <w:rPr>
                <w:color w:val="auto"/>
                <w:sz w:val="20"/>
              </w:rPr>
            </w:pPr>
          </w:p>
        </w:tc>
      </w:tr>
      <w:tr w:rsidR="006D0778" w:rsidRPr="006D0778" w14:paraId="2400BE77" w14:textId="77777777" w:rsidTr="00D2109C">
        <w:trPr>
          <w:trHeight w:val="253"/>
        </w:trPr>
        <w:tc>
          <w:tcPr>
            <w:tcW w:w="2122" w:type="pct"/>
            <w:shd w:val="clear" w:color="auto" w:fill="auto"/>
            <w:vAlign w:val="center"/>
          </w:tcPr>
          <w:p w14:paraId="530321A9" w14:textId="77777777" w:rsidR="006D0778" w:rsidRPr="006D0778" w:rsidRDefault="006D0778" w:rsidP="006D0778">
            <w:pPr>
              <w:rPr>
                <w:color w:val="auto"/>
                <w:sz w:val="20"/>
              </w:rPr>
            </w:pPr>
            <w:r w:rsidRPr="006D0778">
              <w:rPr>
                <w:color w:val="auto"/>
                <w:sz w:val="20"/>
              </w:rPr>
              <w:t>Консолидовани фискални резултат</w:t>
            </w:r>
          </w:p>
        </w:tc>
        <w:tc>
          <w:tcPr>
            <w:tcW w:w="605" w:type="pct"/>
            <w:shd w:val="clear" w:color="auto" w:fill="auto"/>
            <w:vAlign w:val="center"/>
          </w:tcPr>
          <w:p w14:paraId="3A2F2CB5" w14:textId="77777777" w:rsidR="006D0778" w:rsidRPr="006D0778" w:rsidRDefault="006D0778" w:rsidP="006D0778">
            <w:pPr>
              <w:jc w:val="center"/>
              <w:rPr>
                <w:color w:val="auto"/>
                <w:sz w:val="20"/>
              </w:rPr>
            </w:pPr>
            <w:r w:rsidRPr="006D0778">
              <w:rPr>
                <w:color w:val="auto"/>
                <w:sz w:val="20"/>
              </w:rPr>
              <w:t>-2,1</w:t>
            </w:r>
          </w:p>
        </w:tc>
        <w:tc>
          <w:tcPr>
            <w:tcW w:w="605" w:type="pct"/>
            <w:shd w:val="clear" w:color="auto" w:fill="auto"/>
            <w:vAlign w:val="center"/>
          </w:tcPr>
          <w:p w14:paraId="3ED2ED34" w14:textId="77777777" w:rsidR="006D0778" w:rsidRPr="006D0778" w:rsidRDefault="006D0778" w:rsidP="006D0778">
            <w:pPr>
              <w:jc w:val="center"/>
              <w:rPr>
                <w:color w:val="auto"/>
                <w:sz w:val="20"/>
              </w:rPr>
            </w:pPr>
            <w:r w:rsidRPr="006D0778">
              <w:rPr>
                <w:color w:val="auto"/>
                <w:sz w:val="20"/>
              </w:rPr>
              <w:t>-2,7</w:t>
            </w:r>
          </w:p>
        </w:tc>
        <w:tc>
          <w:tcPr>
            <w:tcW w:w="556" w:type="pct"/>
            <w:shd w:val="clear" w:color="auto" w:fill="auto"/>
            <w:vAlign w:val="center"/>
          </w:tcPr>
          <w:p w14:paraId="3CE2A860" w14:textId="77777777" w:rsidR="006D0778" w:rsidRPr="006D0778" w:rsidRDefault="006D0778" w:rsidP="006D0778">
            <w:pPr>
              <w:jc w:val="center"/>
              <w:rPr>
                <w:color w:val="auto"/>
                <w:sz w:val="20"/>
              </w:rPr>
            </w:pPr>
            <w:r w:rsidRPr="006D0778">
              <w:rPr>
                <w:color w:val="auto"/>
                <w:sz w:val="20"/>
              </w:rPr>
              <w:t>-3,0</w:t>
            </w:r>
          </w:p>
        </w:tc>
        <w:tc>
          <w:tcPr>
            <w:tcW w:w="556" w:type="pct"/>
            <w:shd w:val="clear" w:color="auto" w:fill="auto"/>
            <w:vAlign w:val="center"/>
          </w:tcPr>
          <w:p w14:paraId="5E624576" w14:textId="77777777" w:rsidR="006D0778" w:rsidRPr="006D0778" w:rsidRDefault="006D0778" w:rsidP="006D0778">
            <w:pPr>
              <w:jc w:val="center"/>
              <w:rPr>
                <w:color w:val="auto"/>
                <w:sz w:val="20"/>
              </w:rPr>
            </w:pPr>
            <w:r w:rsidRPr="006D0778">
              <w:rPr>
                <w:color w:val="auto"/>
                <w:sz w:val="20"/>
              </w:rPr>
              <w:t>-3,0</w:t>
            </w:r>
          </w:p>
        </w:tc>
        <w:tc>
          <w:tcPr>
            <w:tcW w:w="556" w:type="pct"/>
            <w:shd w:val="clear" w:color="auto" w:fill="auto"/>
            <w:vAlign w:val="center"/>
          </w:tcPr>
          <w:p w14:paraId="7B0FB0DB" w14:textId="77777777" w:rsidR="006D0778" w:rsidRPr="006D0778" w:rsidRDefault="006D0778" w:rsidP="006D0778">
            <w:pPr>
              <w:jc w:val="center"/>
              <w:rPr>
                <w:color w:val="auto"/>
                <w:sz w:val="20"/>
              </w:rPr>
            </w:pPr>
            <w:r w:rsidRPr="006D0778">
              <w:rPr>
                <w:color w:val="auto"/>
                <w:sz w:val="20"/>
              </w:rPr>
              <w:t>-3,0</w:t>
            </w:r>
          </w:p>
        </w:tc>
      </w:tr>
      <w:tr w:rsidR="006D0778" w:rsidRPr="006D0778" w14:paraId="3AAE46F1" w14:textId="77777777" w:rsidTr="00D2109C">
        <w:trPr>
          <w:cnfStyle w:val="000000100000" w:firstRow="0" w:lastRow="0" w:firstColumn="0" w:lastColumn="0" w:oddVBand="0" w:evenVBand="0" w:oddHBand="1" w:evenHBand="0" w:firstRowFirstColumn="0" w:firstRowLastColumn="0" w:lastRowFirstColumn="0" w:lastRowLastColumn="0"/>
          <w:trHeight w:val="253"/>
        </w:trPr>
        <w:tc>
          <w:tcPr>
            <w:tcW w:w="2122" w:type="pct"/>
            <w:shd w:val="clear" w:color="auto" w:fill="auto"/>
            <w:vAlign w:val="center"/>
          </w:tcPr>
          <w:p w14:paraId="4B97AD47" w14:textId="77777777" w:rsidR="006D0778" w:rsidRPr="006D0778" w:rsidRDefault="006D0778" w:rsidP="006D0778">
            <w:pPr>
              <w:rPr>
                <w:color w:val="auto"/>
                <w:sz w:val="20"/>
              </w:rPr>
            </w:pPr>
            <w:r w:rsidRPr="006D0778">
              <w:rPr>
                <w:color w:val="auto"/>
                <w:sz w:val="20"/>
              </w:rPr>
              <w:t>Примарни консолидовани резултат</w:t>
            </w:r>
          </w:p>
        </w:tc>
        <w:tc>
          <w:tcPr>
            <w:tcW w:w="605" w:type="pct"/>
            <w:shd w:val="clear" w:color="auto" w:fill="auto"/>
            <w:vAlign w:val="center"/>
          </w:tcPr>
          <w:p w14:paraId="14DF52AA" w14:textId="77777777" w:rsidR="006D0778" w:rsidRPr="006D0778" w:rsidRDefault="006D0778" w:rsidP="006D0778">
            <w:pPr>
              <w:jc w:val="center"/>
              <w:rPr>
                <w:color w:val="auto"/>
                <w:sz w:val="20"/>
              </w:rPr>
            </w:pPr>
            <w:r w:rsidRPr="006D0778">
              <w:rPr>
                <w:color w:val="auto"/>
                <w:sz w:val="20"/>
              </w:rPr>
              <w:t>-0,5</w:t>
            </w:r>
          </w:p>
        </w:tc>
        <w:tc>
          <w:tcPr>
            <w:tcW w:w="605" w:type="pct"/>
            <w:shd w:val="clear" w:color="auto" w:fill="auto"/>
            <w:vAlign w:val="center"/>
          </w:tcPr>
          <w:p w14:paraId="5672FD60" w14:textId="77777777" w:rsidR="006D0778" w:rsidRPr="006D0778" w:rsidRDefault="006D0778" w:rsidP="006D0778">
            <w:pPr>
              <w:jc w:val="center"/>
              <w:rPr>
                <w:color w:val="auto"/>
                <w:sz w:val="20"/>
              </w:rPr>
            </w:pPr>
            <w:r w:rsidRPr="006D0778">
              <w:rPr>
                <w:color w:val="auto"/>
                <w:sz w:val="20"/>
              </w:rPr>
              <w:t>-0,9</w:t>
            </w:r>
          </w:p>
        </w:tc>
        <w:tc>
          <w:tcPr>
            <w:tcW w:w="556" w:type="pct"/>
            <w:shd w:val="clear" w:color="auto" w:fill="auto"/>
            <w:vAlign w:val="center"/>
          </w:tcPr>
          <w:p w14:paraId="146F3FDE" w14:textId="77777777" w:rsidR="006D0778" w:rsidRPr="006D0778" w:rsidRDefault="006D0778" w:rsidP="006D0778">
            <w:pPr>
              <w:jc w:val="center"/>
              <w:rPr>
                <w:color w:val="auto"/>
                <w:sz w:val="20"/>
              </w:rPr>
            </w:pPr>
            <w:r w:rsidRPr="006D0778">
              <w:rPr>
                <w:color w:val="auto"/>
                <w:sz w:val="20"/>
              </w:rPr>
              <w:t>-1,0</w:t>
            </w:r>
          </w:p>
        </w:tc>
        <w:tc>
          <w:tcPr>
            <w:tcW w:w="556" w:type="pct"/>
            <w:shd w:val="clear" w:color="auto" w:fill="auto"/>
            <w:vAlign w:val="center"/>
          </w:tcPr>
          <w:p w14:paraId="0AF1E205" w14:textId="77777777" w:rsidR="006D0778" w:rsidRPr="006D0778" w:rsidRDefault="006D0778" w:rsidP="006D0778">
            <w:pPr>
              <w:jc w:val="center"/>
              <w:rPr>
                <w:color w:val="auto"/>
                <w:sz w:val="20"/>
              </w:rPr>
            </w:pPr>
            <w:r w:rsidRPr="006D0778">
              <w:rPr>
                <w:color w:val="auto"/>
                <w:sz w:val="20"/>
              </w:rPr>
              <w:t>-1,0</w:t>
            </w:r>
          </w:p>
        </w:tc>
        <w:tc>
          <w:tcPr>
            <w:tcW w:w="556" w:type="pct"/>
            <w:shd w:val="clear" w:color="auto" w:fill="auto"/>
            <w:vAlign w:val="center"/>
          </w:tcPr>
          <w:p w14:paraId="7C78A065" w14:textId="77777777" w:rsidR="006D0778" w:rsidRPr="006D0778" w:rsidRDefault="006D0778" w:rsidP="006D0778">
            <w:pPr>
              <w:jc w:val="center"/>
              <w:rPr>
                <w:color w:val="auto"/>
                <w:sz w:val="20"/>
              </w:rPr>
            </w:pPr>
            <w:r w:rsidRPr="006D0778">
              <w:rPr>
                <w:color w:val="auto"/>
                <w:sz w:val="20"/>
              </w:rPr>
              <w:t>-1,1</w:t>
            </w:r>
          </w:p>
        </w:tc>
      </w:tr>
      <w:tr w:rsidR="006D0778" w:rsidRPr="006D0778" w14:paraId="60C38F31" w14:textId="77777777" w:rsidTr="00D2109C">
        <w:trPr>
          <w:trHeight w:val="253"/>
        </w:trPr>
        <w:tc>
          <w:tcPr>
            <w:tcW w:w="2122" w:type="pct"/>
            <w:shd w:val="clear" w:color="auto" w:fill="auto"/>
            <w:vAlign w:val="center"/>
          </w:tcPr>
          <w:p w14:paraId="4AE455F4" w14:textId="77777777" w:rsidR="006D0778" w:rsidRPr="006D0778" w:rsidRDefault="006D0778" w:rsidP="006D0778">
            <w:pPr>
              <w:rPr>
                <w:color w:val="auto"/>
                <w:sz w:val="20"/>
              </w:rPr>
            </w:pPr>
          </w:p>
        </w:tc>
        <w:tc>
          <w:tcPr>
            <w:tcW w:w="605" w:type="pct"/>
            <w:shd w:val="clear" w:color="auto" w:fill="auto"/>
            <w:vAlign w:val="center"/>
          </w:tcPr>
          <w:p w14:paraId="34C259A4" w14:textId="77777777" w:rsidR="006D0778" w:rsidRPr="006D0778" w:rsidRDefault="006D0778" w:rsidP="006D0778">
            <w:pPr>
              <w:jc w:val="center"/>
              <w:rPr>
                <w:color w:val="auto"/>
                <w:sz w:val="20"/>
              </w:rPr>
            </w:pPr>
          </w:p>
        </w:tc>
        <w:tc>
          <w:tcPr>
            <w:tcW w:w="605" w:type="pct"/>
            <w:shd w:val="clear" w:color="auto" w:fill="auto"/>
            <w:vAlign w:val="center"/>
          </w:tcPr>
          <w:p w14:paraId="1EF5C6EA" w14:textId="77777777" w:rsidR="006D0778" w:rsidRPr="006D0778" w:rsidRDefault="006D0778" w:rsidP="006D0778">
            <w:pPr>
              <w:jc w:val="center"/>
              <w:rPr>
                <w:color w:val="auto"/>
                <w:sz w:val="20"/>
              </w:rPr>
            </w:pPr>
          </w:p>
        </w:tc>
        <w:tc>
          <w:tcPr>
            <w:tcW w:w="556" w:type="pct"/>
            <w:shd w:val="clear" w:color="auto" w:fill="auto"/>
            <w:vAlign w:val="center"/>
          </w:tcPr>
          <w:p w14:paraId="55DCCCC8" w14:textId="77777777" w:rsidR="006D0778" w:rsidRPr="006D0778" w:rsidRDefault="006D0778" w:rsidP="006D0778">
            <w:pPr>
              <w:jc w:val="center"/>
              <w:rPr>
                <w:color w:val="auto"/>
                <w:sz w:val="20"/>
              </w:rPr>
            </w:pPr>
          </w:p>
        </w:tc>
        <w:tc>
          <w:tcPr>
            <w:tcW w:w="556" w:type="pct"/>
            <w:shd w:val="clear" w:color="auto" w:fill="auto"/>
            <w:vAlign w:val="center"/>
          </w:tcPr>
          <w:p w14:paraId="12A90354" w14:textId="77777777" w:rsidR="006D0778" w:rsidRPr="006D0778" w:rsidRDefault="006D0778" w:rsidP="006D0778">
            <w:pPr>
              <w:jc w:val="center"/>
              <w:rPr>
                <w:color w:val="auto"/>
                <w:sz w:val="20"/>
              </w:rPr>
            </w:pPr>
          </w:p>
        </w:tc>
        <w:tc>
          <w:tcPr>
            <w:tcW w:w="556" w:type="pct"/>
            <w:shd w:val="clear" w:color="auto" w:fill="auto"/>
            <w:vAlign w:val="center"/>
          </w:tcPr>
          <w:p w14:paraId="78F16BDA" w14:textId="77777777" w:rsidR="006D0778" w:rsidRPr="006D0778" w:rsidRDefault="006D0778" w:rsidP="006D0778">
            <w:pPr>
              <w:jc w:val="center"/>
              <w:rPr>
                <w:color w:val="auto"/>
                <w:sz w:val="20"/>
              </w:rPr>
            </w:pPr>
          </w:p>
        </w:tc>
      </w:tr>
      <w:tr w:rsidR="006D0778" w:rsidRPr="006D0778" w14:paraId="6CFC4D35" w14:textId="77777777" w:rsidTr="00D2109C">
        <w:trPr>
          <w:cnfStyle w:val="000000100000" w:firstRow="0" w:lastRow="0" w:firstColumn="0" w:lastColumn="0" w:oddVBand="0" w:evenVBand="0" w:oddHBand="1" w:evenHBand="0" w:firstRowFirstColumn="0" w:firstRowLastColumn="0" w:lastRowFirstColumn="0" w:lastRowLastColumn="0"/>
          <w:trHeight w:val="253"/>
        </w:trPr>
        <w:tc>
          <w:tcPr>
            <w:tcW w:w="2122" w:type="pct"/>
            <w:shd w:val="clear" w:color="auto" w:fill="auto"/>
            <w:vAlign w:val="center"/>
          </w:tcPr>
          <w:p w14:paraId="49593486" w14:textId="77777777" w:rsidR="006D0778" w:rsidRPr="006D0778" w:rsidRDefault="006D0778" w:rsidP="006D0778">
            <w:pPr>
              <w:rPr>
                <w:color w:val="auto"/>
                <w:sz w:val="20"/>
              </w:rPr>
            </w:pPr>
            <w:r w:rsidRPr="006D0778">
              <w:rPr>
                <w:color w:val="auto"/>
                <w:sz w:val="20"/>
              </w:rPr>
              <w:t>Дуг сектора државе</w:t>
            </w:r>
          </w:p>
        </w:tc>
        <w:tc>
          <w:tcPr>
            <w:tcW w:w="605" w:type="pct"/>
            <w:shd w:val="clear" w:color="auto" w:fill="auto"/>
            <w:vAlign w:val="center"/>
          </w:tcPr>
          <w:p w14:paraId="7E40DDD4" w14:textId="77777777" w:rsidR="006D0778" w:rsidRPr="006D0778" w:rsidRDefault="006D0778" w:rsidP="006D0778">
            <w:pPr>
              <w:jc w:val="center"/>
              <w:rPr>
                <w:color w:val="auto"/>
                <w:sz w:val="20"/>
              </w:rPr>
            </w:pPr>
            <w:r w:rsidRPr="006D0778">
              <w:rPr>
                <w:color w:val="auto"/>
                <w:sz w:val="20"/>
              </w:rPr>
              <w:t>48,4</w:t>
            </w:r>
          </w:p>
        </w:tc>
        <w:tc>
          <w:tcPr>
            <w:tcW w:w="605" w:type="pct"/>
            <w:shd w:val="clear" w:color="auto" w:fill="auto"/>
            <w:vAlign w:val="center"/>
          </w:tcPr>
          <w:p w14:paraId="198B1676" w14:textId="77777777" w:rsidR="006D0778" w:rsidRPr="006D0778" w:rsidRDefault="006D0778" w:rsidP="006D0778">
            <w:pPr>
              <w:jc w:val="center"/>
              <w:rPr>
                <w:color w:val="auto"/>
                <w:sz w:val="20"/>
              </w:rPr>
            </w:pPr>
            <w:r w:rsidRPr="006D0778">
              <w:rPr>
                <w:color w:val="auto"/>
                <w:sz w:val="20"/>
              </w:rPr>
              <w:t>47,9</w:t>
            </w:r>
          </w:p>
        </w:tc>
        <w:tc>
          <w:tcPr>
            <w:tcW w:w="556" w:type="pct"/>
            <w:shd w:val="clear" w:color="auto" w:fill="auto"/>
            <w:vAlign w:val="center"/>
          </w:tcPr>
          <w:p w14:paraId="07E97DDE" w14:textId="77777777" w:rsidR="006D0778" w:rsidRPr="006D0778" w:rsidRDefault="006D0778" w:rsidP="006D0778">
            <w:pPr>
              <w:jc w:val="center"/>
              <w:rPr>
                <w:color w:val="auto"/>
                <w:sz w:val="20"/>
              </w:rPr>
            </w:pPr>
            <w:r w:rsidRPr="006D0778">
              <w:rPr>
                <w:color w:val="auto"/>
                <w:sz w:val="20"/>
              </w:rPr>
              <w:t>47,5</w:t>
            </w:r>
          </w:p>
        </w:tc>
        <w:tc>
          <w:tcPr>
            <w:tcW w:w="556" w:type="pct"/>
            <w:shd w:val="clear" w:color="auto" w:fill="auto"/>
            <w:vAlign w:val="center"/>
          </w:tcPr>
          <w:p w14:paraId="238E6EB0" w14:textId="77777777" w:rsidR="006D0778" w:rsidRPr="006D0778" w:rsidRDefault="006D0778" w:rsidP="006D0778">
            <w:pPr>
              <w:jc w:val="center"/>
              <w:rPr>
                <w:color w:val="auto"/>
                <w:sz w:val="20"/>
              </w:rPr>
            </w:pPr>
            <w:r w:rsidRPr="006D0778">
              <w:rPr>
                <w:color w:val="auto"/>
                <w:sz w:val="20"/>
              </w:rPr>
              <w:t>47,0</w:t>
            </w:r>
          </w:p>
        </w:tc>
        <w:tc>
          <w:tcPr>
            <w:tcW w:w="556" w:type="pct"/>
            <w:shd w:val="clear" w:color="auto" w:fill="auto"/>
            <w:vAlign w:val="center"/>
          </w:tcPr>
          <w:p w14:paraId="2A3922E4" w14:textId="77777777" w:rsidR="006D0778" w:rsidRPr="006D0778" w:rsidRDefault="006D0778" w:rsidP="006D0778">
            <w:pPr>
              <w:jc w:val="center"/>
              <w:rPr>
                <w:color w:val="auto"/>
                <w:sz w:val="20"/>
              </w:rPr>
            </w:pPr>
            <w:r w:rsidRPr="006D0778">
              <w:rPr>
                <w:color w:val="auto"/>
                <w:sz w:val="20"/>
              </w:rPr>
              <w:t>46,5</w:t>
            </w:r>
          </w:p>
        </w:tc>
      </w:tr>
      <w:tr w:rsidR="006D0778" w:rsidRPr="006D0778" w14:paraId="5B7C9655" w14:textId="77777777" w:rsidTr="00D2109C">
        <w:trPr>
          <w:trHeight w:val="253"/>
        </w:trPr>
        <w:tc>
          <w:tcPr>
            <w:tcW w:w="2122" w:type="pct"/>
            <w:tcBorders>
              <w:bottom w:val="single" w:sz="4" w:space="0" w:color="002060"/>
            </w:tcBorders>
            <w:shd w:val="clear" w:color="auto" w:fill="auto"/>
            <w:vAlign w:val="center"/>
          </w:tcPr>
          <w:p w14:paraId="262AD5EE" w14:textId="77777777" w:rsidR="006D0778" w:rsidRPr="006D0778" w:rsidRDefault="006D0778" w:rsidP="006D0778">
            <w:pPr>
              <w:rPr>
                <w:color w:val="auto"/>
                <w:sz w:val="20"/>
              </w:rPr>
            </w:pPr>
            <w:r w:rsidRPr="006D0778">
              <w:rPr>
                <w:color w:val="auto"/>
                <w:sz w:val="20"/>
              </w:rPr>
              <w:t>Реална стопа раста БДП</w:t>
            </w:r>
          </w:p>
        </w:tc>
        <w:tc>
          <w:tcPr>
            <w:tcW w:w="605" w:type="pct"/>
            <w:tcBorders>
              <w:bottom w:val="single" w:sz="4" w:space="0" w:color="002060"/>
            </w:tcBorders>
            <w:shd w:val="clear" w:color="auto" w:fill="auto"/>
            <w:vAlign w:val="center"/>
          </w:tcPr>
          <w:p w14:paraId="545DBFAF" w14:textId="77777777" w:rsidR="006D0778" w:rsidRPr="006D0778" w:rsidRDefault="006D0778" w:rsidP="006D0778">
            <w:pPr>
              <w:jc w:val="center"/>
              <w:rPr>
                <w:color w:val="auto"/>
                <w:sz w:val="20"/>
              </w:rPr>
            </w:pPr>
            <w:r w:rsidRPr="006D0778">
              <w:rPr>
                <w:color w:val="auto"/>
                <w:sz w:val="20"/>
              </w:rPr>
              <w:t>3,8%</w:t>
            </w:r>
          </w:p>
        </w:tc>
        <w:tc>
          <w:tcPr>
            <w:tcW w:w="605" w:type="pct"/>
            <w:tcBorders>
              <w:bottom w:val="single" w:sz="4" w:space="0" w:color="002060"/>
            </w:tcBorders>
            <w:shd w:val="clear" w:color="auto" w:fill="auto"/>
            <w:vAlign w:val="center"/>
          </w:tcPr>
          <w:p w14:paraId="2B8F8D91" w14:textId="77777777" w:rsidR="006D0778" w:rsidRPr="006D0778" w:rsidRDefault="006D0778" w:rsidP="006D0778">
            <w:pPr>
              <w:jc w:val="center"/>
              <w:rPr>
                <w:color w:val="auto"/>
                <w:sz w:val="20"/>
              </w:rPr>
            </w:pPr>
            <w:r w:rsidRPr="006D0778">
              <w:rPr>
                <w:color w:val="auto"/>
                <w:sz w:val="20"/>
              </w:rPr>
              <w:t>3,8%</w:t>
            </w:r>
          </w:p>
        </w:tc>
        <w:tc>
          <w:tcPr>
            <w:tcW w:w="556" w:type="pct"/>
            <w:tcBorders>
              <w:bottom w:val="single" w:sz="4" w:space="0" w:color="002060"/>
            </w:tcBorders>
            <w:shd w:val="clear" w:color="auto" w:fill="auto"/>
            <w:vAlign w:val="center"/>
          </w:tcPr>
          <w:p w14:paraId="3D36CA38" w14:textId="77777777" w:rsidR="006D0778" w:rsidRPr="006D0778" w:rsidRDefault="006D0778" w:rsidP="006D0778">
            <w:pPr>
              <w:jc w:val="center"/>
              <w:rPr>
                <w:color w:val="auto"/>
                <w:sz w:val="20"/>
              </w:rPr>
            </w:pPr>
            <w:r w:rsidRPr="006D0778">
              <w:rPr>
                <w:color w:val="auto"/>
                <w:sz w:val="20"/>
              </w:rPr>
              <w:t>4,2%</w:t>
            </w:r>
          </w:p>
        </w:tc>
        <w:tc>
          <w:tcPr>
            <w:tcW w:w="556" w:type="pct"/>
            <w:tcBorders>
              <w:bottom w:val="single" w:sz="4" w:space="0" w:color="002060"/>
            </w:tcBorders>
            <w:shd w:val="clear" w:color="auto" w:fill="auto"/>
            <w:vAlign w:val="center"/>
          </w:tcPr>
          <w:p w14:paraId="79F89850" w14:textId="77777777" w:rsidR="006D0778" w:rsidRPr="006D0778" w:rsidRDefault="006D0778" w:rsidP="006D0778">
            <w:pPr>
              <w:jc w:val="center"/>
              <w:rPr>
                <w:color w:val="auto"/>
                <w:sz w:val="20"/>
              </w:rPr>
            </w:pPr>
            <w:r w:rsidRPr="006D0778">
              <w:rPr>
                <w:color w:val="auto"/>
                <w:sz w:val="20"/>
              </w:rPr>
              <w:t>4,0%</w:t>
            </w:r>
          </w:p>
        </w:tc>
        <w:tc>
          <w:tcPr>
            <w:tcW w:w="556" w:type="pct"/>
            <w:tcBorders>
              <w:bottom w:val="single" w:sz="4" w:space="0" w:color="002060"/>
            </w:tcBorders>
            <w:shd w:val="clear" w:color="auto" w:fill="auto"/>
            <w:vAlign w:val="center"/>
          </w:tcPr>
          <w:p w14:paraId="50F82A53" w14:textId="77777777" w:rsidR="006D0778" w:rsidRPr="006D0778" w:rsidRDefault="006D0778" w:rsidP="006D0778">
            <w:pPr>
              <w:jc w:val="center"/>
              <w:rPr>
                <w:color w:val="auto"/>
                <w:sz w:val="20"/>
              </w:rPr>
            </w:pPr>
            <w:r w:rsidRPr="006D0778">
              <w:rPr>
                <w:color w:val="auto"/>
                <w:sz w:val="20"/>
              </w:rPr>
              <w:t>5,0%</w:t>
            </w:r>
          </w:p>
        </w:tc>
      </w:tr>
    </w:tbl>
    <w:p w14:paraId="55A00F19" w14:textId="77777777" w:rsidR="006D0778" w:rsidRPr="006D0778" w:rsidRDefault="006D0778" w:rsidP="006D0778">
      <w:pPr>
        <w:rPr>
          <w:sz w:val="16"/>
          <w:szCs w:val="16"/>
          <w:lang w:val="sr-Cyrl-RS" w:eastAsia="ja-JP"/>
        </w:rPr>
      </w:pPr>
      <w:r w:rsidRPr="006D0778">
        <w:rPr>
          <w:sz w:val="16"/>
          <w:szCs w:val="16"/>
          <w:lang w:val="sr-Cyrl-RS" w:eastAsia="ja-JP"/>
        </w:rPr>
        <w:t>Извор: Министарство финансија</w:t>
      </w:r>
    </w:p>
    <w:p w14:paraId="78701236" w14:textId="77777777" w:rsidR="006D0778" w:rsidRPr="006D0778" w:rsidRDefault="006D0778" w:rsidP="006D0778">
      <w:pPr>
        <w:rPr>
          <w:rFonts w:cstheme="minorHAnsi"/>
          <w:b/>
          <w:color w:val="002060"/>
        </w:rPr>
      </w:pPr>
      <w:r w:rsidRPr="006D0778">
        <w:rPr>
          <w:rFonts w:eastAsia="MS PGothic" w:cstheme="minorHAnsi"/>
          <w:szCs w:val="20"/>
          <w:lang w:eastAsia="ja-JP"/>
        </w:rPr>
        <w:t>Циљеви фискалне политике у наредном средњорочном периоду биће обезбеђење стабилне позиције јавних финансија и опадајућа путања јавног дуга. Смањење</w:t>
      </w:r>
      <w:r w:rsidRPr="006D0778">
        <w:rPr>
          <w:rFonts w:cstheme="minorHAnsi"/>
        </w:rPr>
        <w:t xml:space="preserve"> учешћа дуга је уско везано за динамику планираног дефицита као главног фактора задуживања. Растући трошкови задуживања на међународном финансијском тржишту такође захтевају опрез при вођењу фискалне политике.</w:t>
      </w:r>
    </w:p>
    <w:p w14:paraId="7E77A38A" w14:textId="77777777" w:rsidR="006D0778" w:rsidRPr="006D0778" w:rsidRDefault="006D0778" w:rsidP="006D0778">
      <w:pPr>
        <w:rPr>
          <w:lang w:val="sr-Cyrl-RS" w:eastAsia="ja-JP"/>
        </w:rPr>
      </w:pPr>
      <w:r w:rsidRPr="006D0778">
        <w:rPr>
          <w:lang w:val="sr-Cyrl-RS" w:eastAsia="ja-JP"/>
        </w:rPr>
        <w:t>Графикон 10. Фискални резултат и дуг сектора државе, % БДП</w:t>
      </w:r>
    </w:p>
    <w:p w14:paraId="4EC9E423" w14:textId="77777777" w:rsidR="006D0778" w:rsidRPr="006D0778" w:rsidRDefault="006D0778" w:rsidP="006D0778">
      <w:pPr>
        <w:rPr>
          <w:lang w:val="sr-Latn-RS" w:eastAsia="ja-JP"/>
        </w:rPr>
      </w:pPr>
      <w:r w:rsidRPr="006D0778">
        <w:rPr>
          <w:noProof/>
        </w:rPr>
        <w:drawing>
          <wp:inline distT="0" distB="0" distL="0" distR="0" wp14:anchorId="4CE49968" wp14:editId="78DE1B65">
            <wp:extent cx="5762625" cy="2066925"/>
            <wp:effectExtent l="0" t="0" r="0" b="0"/>
            <wp:docPr id="19" name="Chart 19"/>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14:paraId="3241E80F" w14:textId="77777777" w:rsidR="006D0778" w:rsidRPr="006D0778" w:rsidRDefault="006D0778" w:rsidP="006D0778">
      <w:pPr>
        <w:rPr>
          <w:rFonts w:eastAsia="MS PGothic" w:cstheme="minorHAnsi"/>
          <w:spacing w:val="-2"/>
          <w:szCs w:val="20"/>
          <w:lang w:eastAsia="ja-JP"/>
        </w:rPr>
      </w:pPr>
      <w:r w:rsidRPr="006D0778">
        <w:rPr>
          <w:rFonts w:eastAsia="MS PGothic" w:cstheme="minorHAnsi"/>
          <w:spacing w:val="-2"/>
          <w:szCs w:val="20"/>
          <w:lang w:eastAsia="ja-JP"/>
        </w:rPr>
        <w:lastRenderedPageBreak/>
        <w:t>Експанзивна фискална политика током 2020. и 2021. године умањила је негативне економске последице пандемије. У 2022. години фокус је пребачен на заштиту привреде и становништва од енергетске кризе, док је у 2023. години фискална политика враћена у релативно стабилне оквире. Као подршка бржем привредном расту, почетком 2024. године започете су активности на реализацији развојног плана „Скок у будућност”. У наредном периоду, фискални импулс ће бити усмерен на повећање јавних инвестиција са фокусом на оне приоритетне и продуктивне, а реформом управљања јавним инвестицијама ће се додатно подржати висок квалитет инвестиционих улагања.</w:t>
      </w:r>
    </w:p>
    <w:p w14:paraId="25705D05" w14:textId="77777777" w:rsidR="006D0778" w:rsidRPr="006D0778" w:rsidRDefault="006D0778" w:rsidP="006D0778">
      <w:pPr>
        <w:rPr>
          <w:rFonts w:eastAsia="Times New Roman" w:cstheme="minorHAnsi"/>
          <w:b/>
          <w:bCs/>
          <w:spacing w:val="-2"/>
          <w:szCs w:val="20"/>
          <w:lang w:eastAsia="ja-JP"/>
        </w:rPr>
      </w:pPr>
      <w:r w:rsidRPr="006D0778">
        <w:rPr>
          <w:rFonts w:eastAsia="Calibri" w:cstheme="minorHAnsi"/>
          <w:spacing w:val="-2"/>
          <w:szCs w:val="20"/>
          <w:lang w:eastAsia="ja-JP"/>
        </w:rPr>
        <w:t>На приходној страни приоритет ће остати даље смањење пореског оптерећења зарада и наставак борбе против пореске евазије и сиве економије.</w:t>
      </w:r>
    </w:p>
    <w:p w14:paraId="62AD4CED" w14:textId="77777777" w:rsidR="006D0778" w:rsidRPr="006D0778" w:rsidRDefault="006D0778" w:rsidP="006D0778">
      <w:pPr>
        <w:keepNext/>
        <w:rPr>
          <w:rFonts w:eastAsia="MS PGothic" w:cstheme="minorHAnsi"/>
          <w:szCs w:val="20"/>
          <w:lang w:eastAsia="ja-JP"/>
        </w:rPr>
      </w:pPr>
      <w:r w:rsidRPr="006D0778">
        <w:rPr>
          <w:rFonts w:eastAsia="MS PGothic" w:cstheme="minorHAnsi"/>
          <w:szCs w:val="20"/>
          <w:lang w:eastAsia="ja-JP"/>
        </w:rPr>
        <w:t>Пројекција прихода у периоду од 2025. до 2027. године израђена је на основу:</w:t>
      </w:r>
    </w:p>
    <w:p w14:paraId="2D6CFE36" w14:textId="77777777" w:rsidR="006D0778" w:rsidRPr="006D0778" w:rsidRDefault="006D0778" w:rsidP="006D0778">
      <w:pPr>
        <w:numPr>
          <w:ilvl w:val="0"/>
          <w:numId w:val="22"/>
        </w:numPr>
        <w:spacing w:line="259" w:lineRule="auto"/>
        <w:contextualSpacing/>
        <w:rPr>
          <w:rFonts w:eastAsia="Calibri" w:cstheme="minorHAnsi"/>
        </w:rPr>
      </w:pPr>
      <w:r w:rsidRPr="006D0778">
        <w:rPr>
          <w:rFonts w:eastAsia="Calibri" w:cstheme="minorHAnsi"/>
        </w:rPr>
        <w:t>пројекције кретања најважнијих макроекономских показатеља: БДП и његових компоненти, инфлације, девизног курса, спољнотрговинске размене, запослености и зарада;</w:t>
      </w:r>
    </w:p>
    <w:p w14:paraId="4961167D" w14:textId="77777777" w:rsidR="006D0778" w:rsidRPr="006D0778" w:rsidRDefault="006D0778" w:rsidP="006D0778">
      <w:pPr>
        <w:numPr>
          <w:ilvl w:val="0"/>
          <w:numId w:val="22"/>
        </w:numPr>
        <w:spacing w:line="259" w:lineRule="auto"/>
        <w:contextualSpacing/>
        <w:rPr>
          <w:rFonts w:eastAsia="Calibri" w:cstheme="minorHAnsi"/>
        </w:rPr>
      </w:pPr>
      <w:r w:rsidRPr="006D0778">
        <w:rPr>
          <w:rFonts w:eastAsia="Calibri" w:cstheme="minorHAnsi"/>
        </w:rPr>
        <w:t>важеће и планиране измене пореске политике;</w:t>
      </w:r>
    </w:p>
    <w:p w14:paraId="2CA88E15" w14:textId="77777777" w:rsidR="006D0778" w:rsidRPr="006D0778" w:rsidRDefault="006D0778" w:rsidP="006D0778">
      <w:pPr>
        <w:numPr>
          <w:ilvl w:val="0"/>
          <w:numId w:val="22"/>
        </w:numPr>
        <w:spacing w:after="240" w:line="259" w:lineRule="auto"/>
        <w:rPr>
          <w:rFonts w:eastAsia="Calibri" w:cstheme="minorHAnsi"/>
          <w:lang w:val="sr-Cyrl-RS"/>
        </w:rPr>
      </w:pPr>
      <w:r w:rsidRPr="006D0778">
        <w:rPr>
          <w:rFonts w:eastAsia="Calibri" w:cstheme="minorHAnsi"/>
        </w:rPr>
        <w:t>процењених ефеката фискалних и структурних мера у наредном периоду.</w:t>
      </w:r>
    </w:p>
    <w:p w14:paraId="595F78D8" w14:textId="77777777" w:rsidR="006D0778" w:rsidRPr="006D0778" w:rsidRDefault="006D0778" w:rsidP="006D0778">
      <w:pPr>
        <w:keepNext/>
        <w:rPr>
          <w:lang w:val="sr-Cyrl-RS" w:eastAsia="ja-JP"/>
        </w:rPr>
      </w:pPr>
      <w:r w:rsidRPr="006D0778">
        <w:rPr>
          <w:lang w:val="sr-Cyrl-RS" w:eastAsia="ja-JP"/>
        </w:rPr>
        <w:t>Табела 8. Укупни приходи и донације у периоду 2023–2027. године, % БДП</w:t>
      </w:r>
    </w:p>
    <w:tbl>
      <w:tblPr>
        <w:tblStyle w:val="LightShading-Accent12114"/>
        <w:tblW w:w="5000" w:type="pct"/>
        <w:tblBorders>
          <w:top w:val="none" w:sz="0" w:space="0" w:color="auto"/>
          <w:bottom w:val="none" w:sz="0" w:space="0" w:color="auto"/>
        </w:tblBorders>
        <w:tblLook w:val="0420" w:firstRow="1" w:lastRow="0" w:firstColumn="0" w:lastColumn="0" w:noHBand="0" w:noVBand="1"/>
      </w:tblPr>
      <w:tblGrid>
        <w:gridCol w:w="3671"/>
        <w:gridCol w:w="1177"/>
        <w:gridCol w:w="1077"/>
        <w:gridCol w:w="1032"/>
        <w:gridCol w:w="1034"/>
        <w:gridCol w:w="1035"/>
      </w:tblGrid>
      <w:tr w:rsidR="006D0778" w:rsidRPr="006D0778" w14:paraId="53959ED6" w14:textId="77777777" w:rsidTr="00D2109C">
        <w:trPr>
          <w:cnfStyle w:val="100000000000" w:firstRow="1" w:lastRow="0" w:firstColumn="0" w:lastColumn="0" w:oddVBand="0" w:evenVBand="0" w:oddHBand="0" w:evenHBand="0" w:firstRowFirstColumn="0" w:firstRowLastColumn="0" w:lastRowFirstColumn="0" w:lastRowLastColumn="0"/>
          <w:trHeight w:hRule="exact" w:val="284"/>
          <w:tblHeader/>
        </w:trPr>
        <w:tc>
          <w:tcPr>
            <w:tcW w:w="2043" w:type="pct"/>
            <w:tcBorders>
              <w:top w:val="single" w:sz="4" w:space="0" w:color="auto"/>
              <w:bottom w:val="single" w:sz="4" w:space="0" w:color="002060"/>
            </w:tcBorders>
            <w:noWrap/>
            <w:vAlign w:val="center"/>
          </w:tcPr>
          <w:p w14:paraId="3EABDFAB" w14:textId="77777777" w:rsidR="006D0778" w:rsidRPr="006D0778" w:rsidRDefault="006D0778" w:rsidP="006D0778">
            <w:pPr>
              <w:keepLines/>
              <w:widowControl w:val="0"/>
              <w:shd w:val="clear" w:color="auto" w:fill="FFFFFF" w:themeFill="background1"/>
              <w:spacing w:line="276" w:lineRule="auto"/>
              <w:rPr>
                <w:rFonts w:eastAsia="Times New Roman"/>
                <w:color w:val="auto"/>
                <w:sz w:val="20"/>
              </w:rPr>
            </w:pPr>
            <w:r w:rsidRPr="006D0778">
              <w:rPr>
                <w:color w:val="auto"/>
                <w:sz w:val="20"/>
              </w:rPr>
              <w:t>Опис</w:t>
            </w:r>
          </w:p>
        </w:tc>
        <w:tc>
          <w:tcPr>
            <w:tcW w:w="605" w:type="pct"/>
            <w:tcBorders>
              <w:top w:val="single" w:sz="4" w:space="0" w:color="auto"/>
              <w:bottom w:val="single" w:sz="4" w:space="0" w:color="002060"/>
            </w:tcBorders>
            <w:vAlign w:val="center"/>
          </w:tcPr>
          <w:p w14:paraId="62B07DDC" w14:textId="77777777" w:rsidR="006D0778" w:rsidRPr="006D0778" w:rsidRDefault="006D0778" w:rsidP="006D0778">
            <w:pPr>
              <w:keepNext/>
              <w:widowControl w:val="0"/>
              <w:shd w:val="clear" w:color="auto" w:fill="FFFFFF" w:themeFill="background1"/>
              <w:spacing w:line="276" w:lineRule="auto"/>
              <w:jc w:val="right"/>
              <w:rPr>
                <w:rFonts w:eastAsia="Times New Roman"/>
                <w:color w:val="auto"/>
                <w:sz w:val="20"/>
              </w:rPr>
            </w:pPr>
            <w:r w:rsidRPr="006D0778">
              <w:rPr>
                <w:color w:val="auto"/>
                <w:sz w:val="20"/>
              </w:rPr>
              <w:t>Извршење</w:t>
            </w:r>
          </w:p>
        </w:tc>
        <w:tc>
          <w:tcPr>
            <w:tcW w:w="606" w:type="pct"/>
            <w:tcBorders>
              <w:top w:val="single" w:sz="4" w:space="0" w:color="auto"/>
              <w:bottom w:val="single" w:sz="4" w:space="0" w:color="002060"/>
            </w:tcBorders>
            <w:vAlign w:val="center"/>
          </w:tcPr>
          <w:p w14:paraId="27D9397D" w14:textId="77777777" w:rsidR="006D0778" w:rsidRPr="006D0778" w:rsidRDefault="006D0778" w:rsidP="006D0778">
            <w:pPr>
              <w:keepNext/>
              <w:widowControl w:val="0"/>
              <w:shd w:val="clear" w:color="auto" w:fill="FFFFFF" w:themeFill="background1"/>
              <w:spacing w:line="276" w:lineRule="auto"/>
              <w:jc w:val="right"/>
              <w:rPr>
                <w:rFonts w:eastAsia="Times New Roman"/>
                <w:color w:val="auto"/>
                <w:sz w:val="20"/>
              </w:rPr>
            </w:pPr>
            <w:r w:rsidRPr="006D0778">
              <w:rPr>
                <w:color w:val="auto"/>
                <w:sz w:val="20"/>
              </w:rPr>
              <w:t>Процена</w:t>
            </w:r>
          </w:p>
        </w:tc>
        <w:tc>
          <w:tcPr>
            <w:tcW w:w="1746" w:type="pct"/>
            <w:gridSpan w:val="3"/>
            <w:tcBorders>
              <w:top w:val="single" w:sz="4" w:space="0" w:color="auto"/>
              <w:bottom w:val="single" w:sz="4" w:space="0" w:color="002060"/>
            </w:tcBorders>
            <w:vAlign w:val="center"/>
          </w:tcPr>
          <w:p w14:paraId="537F3EB6" w14:textId="77777777" w:rsidR="006D0778" w:rsidRPr="006D0778" w:rsidRDefault="006D0778" w:rsidP="006D0778">
            <w:pPr>
              <w:keepNext/>
              <w:widowControl w:val="0"/>
              <w:shd w:val="clear" w:color="auto" w:fill="FFFFFF" w:themeFill="background1"/>
              <w:spacing w:line="276" w:lineRule="auto"/>
              <w:jc w:val="center"/>
              <w:rPr>
                <w:rFonts w:eastAsia="Times New Roman"/>
                <w:color w:val="auto"/>
                <w:sz w:val="20"/>
              </w:rPr>
            </w:pPr>
            <w:r w:rsidRPr="006D0778">
              <w:rPr>
                <w:color w:val="auto"/>
                <w:sz w:val="20"/>
              </w:rPr>
              <w:t>Пројекција</w:t>
            </w:r>
          </w:p>
        </w:tc>
      </w:tr>
      <w:tr w:rsidR="006D0778" w:rsidRPr="006D0778" w14:paraId="401C39CF" w14:textId="77777777" w:rsidTr="00D2109C">
        <w:trPr>
          <w:cnfStyle w:val="100000000000" w:firstRow="1" w:lastRow="0" w:firstColumn="0" w:lastColumn="0" w:oddVBand="0" w:evenVBand="0" w:oddHBand="0" w:evenHBand="0" w:firstRowFirstColumn="0" w:firstRowLastColumn="0" w:lastRowFirstColumn="0" w:lastRowLastColumn="0"/>
          <w:trHeight w:hRule="exact" w:val="284"/>
          <w:tblHeader/>
        </w:trPr>
        <w:tc>
          <w:tcPr>
            <w:tcW w:w="2043" w:type="pct"/>
            <w:tcBorders>
              <w:top w:val="single" w:sz="4" w:space="0" w:color="002060"/>
              <w:bottom w:val="single" w:sz="4" w:space="0" w:color="auto"/>
            </w:tcBorders>
            <w:shd w:val="clear" w:color="auto" w:fill="FFFFFF" w:themeFill="background1"/>
            <w:noWrap/>
          </w:tcPr>
          <w:p w14:paraId="2DFB65F7" w14:textId="77777777" w:rsidR="006D0778" w:rsidRPr="006D0778" w:rsidRDefault="006D0778" w:rsidP="006D0778">
            <w:pPr>
              <w:keepLines/>
              <w:widowControl w:val="0"/>
              <w:shd w:val="clear" w:color="auto" w:fill="FFFFFF" w:themeFill="background1"/>
              <w:spacing w:line="276" w:lineRule="auto"/>
              <w:rPr>
                <w:rFonts w:eastAsia="Times New Roman"/>
                <w:color w:val="auto"/>
                <w:sz w:val="20"/>
                <w:lang w:val="sr-Latn-RS"/>
              </w:rPr>
            </w:pPr>
          </w:p>
        </w:tc>
        <w:tc>
          <w:tcPr>
            <w:tcW w:w="605" w:type="pct"/>
            <w:tcBorders>
              <w:top w:val="single" w:sz="4" w:space="0" w:color="002060"/>
              <w:bottom w:val="single" w:sz="4" w:space="0" w:color="auto"/>
            </w:tcBorders>
            <w:shd w:val="clear" w:color="auto" w:fill="FFFFFF" w:themeFill="background1"/>
          </w:tcPr>
          <w:p w14:paraId="20836FA0" w14:textId="77777777" w:rsidR="006D0778" w:rsidRPr="006D0778" w:rsidRDefault="006D0778" w:rsidP="006D0778">
            <w:pPr>
              <w:keepNext/>
              <w:widowControl w:val="0"/>
              <w:shd w:val="clear" w:color="auto" w:fill="FFFFFF" w:themeFill="background1"/>
              <w:spacing w:line="276" w:lineRule="auto"/>
              <w:jc w:val="right"/>
              <w:rPr>
                <w:rFonts w:eastAsia="Times New Roman"/>
                <w:color w:val="auto"/>
                <w:sz w:val="20"/>
              </w:rPr>
            </w:pPr>
            <w:r w:rsidRPr="006D0778">
              <w:rPr>
                <w:rFonts w:eastAsia="Times New Roman"/>
                <w:color w:val="auto"/>
                <w:sz w:val="20"/>
              </w:rPr>
              <w:t>2023</w:t>
            </w:r>
          </w:p>
        </w:tc>
        <w:tc>
          <w:tcPr>
            <w:tcW w:w="606" w:type="pct"/>
            <w:tcBorders>
              <w:top w:val="single" w:sz="4" w:space="0" w:color="002060"/>
              <w:bottom w:val="single" w:sz="4" w:space="0" w:color="auto"/>
            </w:tcBorders>
            <w:shd w:val="clear" w:color="auto" w:fill="FFFFFF" w:themeFill="background1"/>
          </w:tcPr>
          <w:p w14:paraId="6D5E1E1F" w14:textId="77777777" w:rsidR="006D0778" w:rsidRPr="006D0778" w:rsidRDefault="006D0778" w:rsidP="006D0778">
            <w:pPr>
              <w:keepNext/>
              <w:widowControl w:val="0"/>
              <w:shd w:val="clear" w:color="auto" w:fill="FFFFFF" w:themeFill="background1"/>
              <w:spacing w:line="276" w:lineRule="auto"/>
              <w:jc w:val="right"/>
              <w:rPr>
                <w:rFonts w:eastAsia="Times New Roman"/>
                <w:color w:val="auto"/>
                <w:sz w:val="20"/>
              </w:rPr>
            </w:pPr>
            <w:r w:rsidRPr="006D0778">
              <w:rPr>
                <w:rFonts w:eastAsia="Times New Roman"/>
                <w:color w:val="auto"/>
                <w:sz w:val="20"/>
              </w:rPr>
              <w:t>2024</w:t>
            </w:r>
          </w:p>
        </w:tc>
        <w:tc>
          <w:tcPr>
            <w:tcW w:w="581" w:type="pct"/>
            <w:tcBorders>
              <w:top w:val="single" w:sz="4" w:space="0" w:color="002060"/>
              <w:bottom w:val="single" w:sz="4" w:space="0" w:color="auto"/>
            </w:tcBorders>
            <w:shd w:val="clear" w:color="auto" w:fill="FFFFFF" w:themeFill="background1"/>
          </w:tcPr>
          <w:p w14:paraId="4EB672AA" w14:textId="77777777" w:rsidR="006D0778" w:rsidRPr="006D0778" w:rsidRDefault="006D0778" w:rsidP="006D0778">
            <w:pPr>
              <w:keepNext/>
              <w:widowControl w:val="0"/>
              <w:shd w:val="clear" w:color="auto" w:fill="FFFFFF" w:themeFill="background1"/>
              <w:spacing w:line="276" w:lineRule="auto"/>
              <w:jc w:val="right"/>
              <w:rPr>
                <w:rFonts w:eastAsia="Times New Roman"/>
                <w:color w:val="auto"/>
                <w:sz w:val="20"/>
              </w:rPr>
            </w:pPr>
            <w:r w:rsidRPr="006D0778">
              <w:rPr>
                <w:rFonts w:eastAsia="Times New Roman"/>
                <w:color w:val="auto"/>
                <w:sz w:val="20"/>
              </w:rPr>
              <w:t>2025</w:t>
            </w:r>
          </w:p>
        </w:tc>
        <w:tc>
          <w:tcPr>
            <w:tcW w:w="582" w:type="pct"/>
            <w:tcBorders>
              <w:top w:val="single" w:sz="4" w:space="0" w:color="002060"/>
              <w:bottom w:val="single" w:sz="4" w:space="0" w:color="auto"/>
            </w:tcBorders>
            <w:shd w:val="clear" w:color="auto" w:fill="FFFFFF" w:themeFill="background1"/>
          </w:tcPr>
          <w:p w14:paraId="4859B0B6" w14:textId="77777777" w:rsidR="006D0778" w:rsidRPr="006D0778" w:rsidRDefault="006D0778" w:rsidP="006D0778">
            <w:pPr>
              <w:keepNext/>
              <w:widowControl w:val="0"/>
              <w:shd w:val="clear" w:color="auto" w:fill="FFFFFF" w:themeFill="background1"/>
              <w:spacing w:line="276" w:lineRule="auto"/>
              <w:jc w:val="right"/>
              <w:rPr>
                <w:rFonts w:eastAsia="Times New Roman"/>
                <w:color w:val="auto"/>
                <w:sz w:val="20"/>
              </w:rPr>
            </w:pPr>
            <w:r w:rsidRPr="006D0778">
              <w:rPr>
                <w:rFonts w:eastAsia="Times New Roman"/>
                <w:color w:val="auto"/>
                <w:sz w:val="20"/>
              </w:rPr>
              <w:t>2026</w:t>
            </w:r>
          </w:p>
        </w:tc>
        <w:tc>
          <w:tcPr>
            <w:tcW w:w="583" w:type="pct"/>
            <w:tcBorders>
              <w:top w:val="single" w:sz="4" w:space="0" w:color="002060"/>
              <w:bottom w:val="single" w:sz="4" w:space="0" w:color="auto"/>
            </w:tcBorders>
            <w:shd w:val="clear" w:color="auto" w:fill="FFFFFF" w:themeFill="background1"/>
          </w:tcPr>
          <w:p w14:paraId="33DCFE80" w14:textId="77777777" w:rsidR="006D0778" w:rsidRPr="006D0778" w:rsidRDefault="006D0778" w:rsidP="006D0778">
            <w:pPr>
              <w:keepNext/>
              <w:widowControl w:val="0"/>
              <w:shd w:val="clear" w:color="auto" w:fill="FFFFFF" w:themeFill="background1"/>
              <w:spacing w:line="276" w:lineRule="auto"/>
              <w:jc w:val="right"/>
              <w:rPr>
                <w:rFonts w:eastAsia="Times New Roman"/>
                <w:color w:val="auto"/>
                <w:sz w:val="20"/>
              </w:rPr>
            </w:pPr>
            <w:r w:rsidRPr="006D0778">
              <w:rPr>
                <w:rFonts w:eastAsia="Times New Roman"/>
                <w:color w:val="auto"/>
                <w:sz w:val="20"/>
              </w:rPr>
              <w:t>2027</w:t>
            </w:r>
          </w:p>
        </w:tc>
      </w:tr>
      <w:tr w:rsidR="006D0778" w:rsidRPr="006D0778" w14:paraId="1C285E9D" w14:textId="77777777" w:rsidTr="00D2109C">
        <w:trPr>
          <w:cnfStyle w:val="000000100000" w:firstRow="0" w:lastRow="0" w:firstColumn="0" w:lastColumn="0" w:oddVBand="0" w:evenVBand="0" w:oddHBand="1" w:evenHBand="0" w:firstRowFirstColumn="0" w:firstRowLastColumn="0" w:lastRowFirstColumn="0" w:lastRowLastColumn="0"/>
          <w:trHeight w:hRule="exact" w:val="284"/>
        </w:trPr>
        <w:tc>
          <w:tcPr>
            <w:tcW w:w="2043" w:type="pct"/>
            <w:tcBorders>
              <w:top w:val="single" w:sz="4" w:space="0" w:color="auto"/>
            </w:tcBorders>
            <w:shd w:val="clear" w:color="auto" w:fill="FFFFFF" w:themeFill="background1"/>
          </w:tcPr>
          <w:p w14:paraId="15E294B7" w14:textId="77777777" w:rsidR="006D0778" w:rsidRPr="006D0778" w:rsidRDefault="006D0778" w:rsidP="006D0778">
            <w:pPr>
              <w:keepLines/>
              <w:widowControl w:val="0"/>
              <w:shd w:val="clear" w:color="auto" w:fill="FFFFFF" w:themeFill="background1"/>
              <w:spacing w:line="276" w:lineRule="auto"/>
              <w:rPr>
                <w:rFonts w:eastAsia="Times New Roman"/>
                <w:bCs/>
                <w:color w:val="auto"/>
                <w:sz w:val="20"/>
              </w:rPr>
            </w:pPr>
            <w:r w:rsidRPr="006D0778">
              <w:rPr>
                <w:rFonts w:eastAsia="Times New Roman"/>
                <w:bCs/>
                <w:color w:val="auto"/>
                <w:sz w:val="20"/>
              </w:rPr>
              <w:t>ЈАВНИ ПРИХОДИ</w:t>
            </w:r>
          </w:p>
        </w:tc>
        <w:tc>
          <w:tcPr>
            <w:tcW w:w="605" w:type="pct"/>
            <w:tcBorders>
              <w:top w:val="single" w:sz="4" w:space="0" w:color="auto"/>
            </w:tcBorders>
            <w:shd w:val="clear" w:color="auto" w:fill="auto"/>
            <w:vAlign w:val="center"/>
          </w:tcPr>
          <w:p w14:paraId="306FF424"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39,4</w:t>
            </w:r>
          </w:p>
        </w:tc>
        <w:tc>
          <w:tcPr>
            <w:tcW w:w="606" w:type="pct"/>
            <w:tcBorders>
              <w:top w:val="single" w:sz="4" w:space="0" w:color="auto"/>
            </w:tcBorders>
            <w:shd w:val="clear" w:color="auto" w:fill="auto"/>
            <w:noWrap/>
            <w:vAlign w:val="center"/>
          </w:tcPr>
          <w:p w14:paraId="51F5E3BE"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40,8</w:t>
            </w:r>
          </w:p>
        </w:tc>
        <w:tc>
          <w:tcPr>
            <w:tcW w:w="581" w:type="pct"/>
            <w:tcBorders>
              <w:top w:val="single" w:sz="4" w:space="0" w:color="auto"/>
            </w:tcBorders>
            <w:shd w:val="clear" w:color="auto" w:fill="auto"/>
            <w:noWrap/>
            <w:vAlign w:val="center"/>
          </w:tcPr>
          <w:p w14:paraId="612EC19E"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41,3</w:t>
            </w:r>
          </w:p>
        </w:tc>
        <w:tc>
          <w:tcPr>
            <w:tcW w:w="582" w:type="pct"/>
            <w:tcBorders>
              <w:top w:val="single" w:sz="4" w:space="0" w:color="auto"/>
            </w:tcBorders>
            <w:shd w:val="clear" w:color="auto" w:fill="auto"/>
            <w:noWrap/>
            <w:vAlign w:val="center"/>
          </w:tcPr>
          <w:p w14:paraId="59C6C32E"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40,9</w:t>
            </w:r>
          </w:p>
        </w:tc>
        <w:tc>
          <w:tcPr>
            <w:tcW w:w="583" w:type="pct"/>
            <w:tcBorders>
              <w:top w:val="single" w:sz="4" w:space="0" w:color="auto"/>
            </w:tcBorders>
            <w:shd w:val="clear" w:color="auto" w:fill="auto"/>
            <w:noWrap/>
            <w:vAlign w:val="center"/>
          </w:tcPr>
          <w:p w14:paraId="393AB46C"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40,5</w:t>
            </w:r>
          </w:p>
        </w:tc>
      </w:tr>
      <w:tr w:rsidR="006D0778" w:rsidRPr="006D0778" w14:paraId="20989ECF" w14:textId="77777777" w:rsidTr="00D2109C">
        <w:trPr>
          <w:trHeight w:hRule="exact" w:val="284"/>
        </w:trPr>
        <w:tc>
          <w:tcPr>
            <w:tcW w:w="2043" w:type="pct"/>
            <w:shd w:val="clear" w:color="auto" w:fill="FFFFFF" w:themeFill="background1"/>
          </w:tcPr>
          <w:p w14:paraId="53C27C88" w14:textId="77777777" w:rsidR="006D0778" w:rsidRPr="006D0778" w:rsidRDefault="006D0778" w:rsidP="006D0778">
            <w:pPr>
              <w:keepLines/>
              <w:widowControl w:val="0"/>
              <w:shd w:val="clear" w:color="auto" w:fill="FFFFFF" w:themeFill="background1"/>
              <w:spacing w:line="276" w:lineRule="auto"/>
              <w:rPr>
                <w:rFonts w:eastAsia="Times New Roman"/>
                <w:bCs/>
                <w:color w:val="auto"/>
                <w:sz w:val="20"/>
              </w:rPr>
            </w:pPr>
            <w:r w:rsidRPr="006D0778">
              <w:rPr>
                <w:rFonts w:eastAsia="Times New Roman"/>
                <w:bCs/>
                <w:color w:val="auto"/>
                <w:sz w:val="20"/>
              </w:rPr>
              <w:t>Текући приходи</w:t>
            </w:r>
          </w:p>
        </w:tc>
        <w:tc>
          <w:tcPr>
            <w:tcW w:w="605" w:type="pct"/>
            <w:shd w:val="clear" w:color="auto" w:fill="FFFFFF" w:themeFill="background1"/>
          </w:tcPr>
          <w:p w14:paraId="673062E4"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38,9</w:t>
            </w:r>
          </w:p>
        </w:tc>
        <w:tc>
          <w:tcPr>
            <w:tcW w:w="606" w:type="pct"/>
            <w:shd w:val="clear" w:color="auto" w:fill="FFFFFF" w:themeFill="background1"/>
            <w:noWrap/>
          </w:tcPr>
          <w:p w14:paraId="464EBDD6"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40,5</w:t>
            </w:r>
          </w:p>
        </w:tc>
        <w:tc>
          <w:tcPr>
            <w:tcW w:w="581" w:type="pct"/>
            <w:shd w:val="clear" w:color="auto" w:fill="FFFFFF" w:themeFill="background1"/>
            <w:noWrap/>
          </w:tcPr>
          <w:p w14:paraId="55D5A1FE"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40,9</w:t>
            </w:r>
          </w:p>
        </w:tc>
        <w:tc>
          <w:tcPr>
            <w:tcW w:w="582" w:type="pct"/>
            <w:shd w:val="clear" w:color="auto" w:fill="FFFFFF" w:themeFill="background1"/>
            <w:noWrap/>
          </w:tcPr>
          <w:p w14:paraId="7FB472A6"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40,5</w:t>
            </w:r>
          </w:p>
        </w:tc>
        <w:tc>
          <w:tcPr>
            <w:tcW w:w="583" w:type="pct"/>
            <w:shd w:val="clear" w:color="auto" w:fill="FFFFFF" w:themeFill="background1"/>
            <w:noWrap/>
          </w:tcPr>
          <w:p w14:paraId="489F414A"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40,1</w:t>
            </w:r>
          </w:p>
        </w:tc>
      </w:tr>
      <w:tr w:rsidR="006D0778" w:rsidRPr="006D0778" w14:paraId="71ABA6CA" w14:textId="77777777" w:rsidTr="00D2109C">
        <w:trPr>
          <w:cnfStyle w:val="000000100000" w:firstRow="0" w:lastRow="0" w:firstColumn="0" w:lastColumn="0" w:oddVBand="0" w:evenVBand="0" w:oddHBand="1" w:evenHBand="0" w:firstRowFirstColumn="0" w:firstRowLastColumn="0" w:lastRowFirstColumn="0" w:lastRowLastColumn="0"/>
          <w:trHeight w:hRule="exact" w:val="284"/>
        </w:trPr>
        <w:tc>
          <w:tcPr>
            <w:tcW w:w="2043" w:type="pct"/>
            <w:shd w:val="clear" w:color="auto" w:fill="FFFFFF" w:themeFill="background1"/>
          </w:tcPr>
          <w:p w14:paraId="1A112665" w14:textId="77777777" w:rsidR="006D0778" w:rsidRPr="006D0778" w:rsidRDefault="006D0778" w:rsidP="006D0778">
            <w:pPr>
              <w:keepLines/>
              <w:widowControl w:val="0"/>
              <w:shd w:val="clear" w:color="auto" w:fill="FFFFFF" w:themeFill="background1"/>
              <w:spacing w:line="276" w:lineRule="auto"/>
              <w:rPr>
                <w:rFonts w:eastAsia="Times New Roman"/>
                <w:bCs/>
                <w:color w:val="auto"/>
                <w:sz w:val="20"/>
              </w:rPr>
            </w:pPr>
            <w:r w:rsidRPr="006D0778">
              <w:rPr>
                <w:rFonts w:eastAsia="Times New Roman"/>
                <w:bCs/>
                <w:color w:val="auto"/>
                <w:sz w:val="20"/>
              </w:rPr>
              <w:t xml:space="preserve"> Порески приходи</w:t>
            </w:r>
          </w:p>
        </w:tc>
        <w:tc>
          <w:tcPr>
            <w:tcW w:w="605" w:type="pct"/>
            <w:shd w:val="clear" w:color="auto" w:fill="FFFFFF" w:themeFill="background1"/>
          </w:tcPr>
          <w:p w14:paraId="1EFAB734"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34,9</w:t>
            </w:r>
          </w:p>
        </w:tc>
        <w:tc>
          <w:tcPr>
            <w:tcW w:w="606" w:type="pct"/>
            <w:shd w:val="clear" w:color="auto" w:fill="FFFFFF" w:themeFill="background1"/>
            <w:noWrap/>
          </w:tcPr>
          <w:p w14:paraId="1352F672"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36,2</w:t>
            </w:r>
          </w:p>
        </w:tc>
        <w:tc>
          <w:tcPr>
            <w:tcW w:w="581" w:type="pct"/>
            <w:shd w:val="clear" w:color="auto" w:fill="FFFFFF" w:themeFill="background1"/>
            <w:noWrap/>
          </w:tcPr>
          <w:p w14:paraId="70C541DD"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36,3</w:t>
            </w:r>
          </w:p>
        </w:tc>
        <w:tc>
          <w:tcPr>
            <w:tcW w:w="582" w:type="pct"/>
            <w:shd w:val="clear" w:color="auto" w:fill="FFFFFF" w:themeFill="background1"/>
            <w:noWrap/>
          </w:tcPr>
          <w:p w14:paraId="5A7C9BF1"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36,4</w:t>
            </w:r>
          </w:p>
        </w:tc>
        <w:tc>
          <w:tcPr>
            <w:tcW w:w="583" w:type="pct"/>
            <w:shd w:val="clear" w:color="auto" w:fill="FFFFFF" w:themeFill="background1"/>
            <w:noWrap/>
          </w:tcPr>
          <w:p w14:paraId="797752AD"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36,3</w:t>
            </w:r>
          </w:p>
        </w:tc>
      </w:tr>
      <w:tr w:rsidR="006D0778" w:rsidRPr="006D0778" w14:paraId="6449635F" w14:textId="77777777" w:rsidTr="00D2109C">
        <w:trPr>
          <w:trHeight w:hRule="exact" w:val="284"/>
        </w:trPr>
        <w:tc>
          <w:tcPr>
            <w:tcW w:w="2043" w:type="pct"/>
            <w:shd w:val="clear" w:color="auto" w:fill="FFFFFF" w:themeFill="background1"/>
          </w:tcPr>
          <w:p w14:paraId="612A7B9B" w14:textId="77777777" w:rsidR="006D0778" w:rsidRPr="006D0778" w:rsidRDefault="006D0778" w:rsidP="006D0778">
            <w:pPr>
              <w:keepLines/>
              <w:widowControl w:val="0"/>
              <w:shd w:val="clear" w:color="auto" w:fill="FFFFFF" w:themeFill="background1"/>
              <w:spacing w:line="276" w:lineRule="auto"/>
              <w:ind w:left="284"/>
              <w:rPr>
                <w:rFonts w:eastAsia="Times New Roman"/>
                <w:bCs/>
                <w:color w:val="auto"/>
                <w:sz w:val="20"/>
              </w:rPr>
            </w:pPr>
            <w:r w:rsidRPr="006D0778">
              <w:rPr>
                <w:rFonts w:eastAsia="Times New Roman"/>
                <w:bCs/>
                <w:color w:val="auto"/>
                <w:sz w:val="20"/>
              </w:rPr>
              <w:t>Порез на доходак грађана</w:t>
            </w:r>
          </w:p>
        </w:tc>
        <w:tc>
          <w:tcPr>
            <w:tcW w:w="605" w:type="pct"/>
            <w:shd w:val="clear" w:color="auto" w:fill="FFFFFF" w:themeFill="background1"/>
          </w:tcPr>
          <w:p w14:paraId="35D4DCA0"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3,9</w:t>
            </w:r>
          </w:p>
        </w:tc>
        <w:tc>
          <w:tcPr>
            <w:tcW w:w="606" w:type="pct"/>
            <w:shd w:val="clear" w:color="auto" w:fill="FFFFFF" w:themeFill="background1"/>
            <w:noWrap/>
          </w:tcPr>
          <w:p w14:paraId="4220AE82"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4,1</w:t>
            </w:r>
          </w:p>
        </w:tc>
        <w:tc>
          <w:tcPr>
            <w:tcW w:w="581" w:type="pct"/>
            <w:shd w:val="clear" w:color="auto" w:fill="FFFFFF" w:themeFill="background1"/>
            <w:noWrap/>
          </w:tcPr>
          <w:p w14:paraId="7AD37688"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4,1</w:t>
            </w:r>
          </w:p>
        </w:tc>
        <w:tc>
          <w:tcPr>
            <w:tcW w:w="582" w:type="pct"/>
            <w:shd w:val="clear" w:color="auto" w:fill="FFFFFF" w:themeFill="background1"/>
            <w:noWrap/>
          </w:tcPr>
          <w:p w14:paraId="1D774049"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4,2</w:t>
            </w:r>
          </w:p>
        </w:tc>
        <w:tc>
          <w:tcPr>
            <w:tcW w:w="583" w:type="pct"/>
            <w:shd w:val="clear" w:color="auto" w:fill="FFFFFF" w:themeFill="background1"/>
            <w:noWrap/>
          </w:tcPr>
          <w:p w14:paraId="02E9F42F"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4,2</w:t>
            </w:r>
          </w:p>
        </w:tc>
      </w:tr>
      <w:tr w:rsidR="006D0778" w:rsidRPr="006D0778" w14:paraId="27CE47C6" w14:textId="77777777" w:rsidTr="00D2109C">
        <w:trPr>
          <w:cnfStyle w:val="000000100000" w:firstRow="0" w:lastRow="0" w:firstColumn="0" w:lastColumn="0" w:oddVBand="0" w:evenVBand="0" w:oddHBand="1" w:evenHBand="0" w:firstRowFirstColumn="0" w:firstRowLastColumn="0" w:lastRowFirstColumn="0" w:lastRowLastColumn="0"/>
          <w:trHeight w:hRule="exact" w:val="284"/>
        </w:trPr>
        <w:tc>
          <w:tcPr>
            <w:tcW w:w="2043" w:type="pct"/>
            <w:shd w:val="clear" w:color="auto" w:fill="FFFFFF" w:themeFill="background1"/>
          </w:tcPr>
          <w:p w14:paraId="6E762B79" w14:textId="77777777" w:rsidR="006D0778" w:rsidRPr="006D0778" w:rsidRDefault="006D0778" w:rsidP="006D0778">
            <w:pPr>
              <w:keepLines/>
              <w:widowControl w:val="0"/>
              <w:shd w:val="clear" w:color="auto" w:fill="FFFFFF" w:themeFill="background1"/>
              <w:spacing w:line="276" w:lineRule="auto"/>
              <w:ind w:left="284"/>
              <w:rPr>
                <w:rFonts w:eastAsia="Times New Roman"/>
                <w:bCs/>
                <w:color w:val="auto"/>
                <w:sz w:val="20"/>
              </w:rPr>
            </w:pPr>
            <w:r w:rsidRPr="006D0778">
              <w:rPr>
                <w:rFonts w:eastAsia="Times New Roman"/>
                <w:bCs/>
                <w:color w:val="auto"/>
                <w:sz w:val="20"/>
              </w:rPr>
              <w:t>Порез на добит правних лица</w:t>
            </w:r>
          </w:p>
        </w:tc>
        <w:tc>
          <w:tcPr>
            <w:tcW w:w="605" w:type="pct"/>
            <w:shd w:val="clear" w:color="auto" w:fill="FFFFFF" w:themeFill="background1"/>
          </w:tcPr>
          <w:p w14:paraId="466EAA62"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3,1</w:t>
            </w:r>
          </w:p>
        </w:tc>
        <w:tc>
          <w:tcPr>
            <w:tcW w:w="606" w:type="pct"/>
            <w:shd w:val="clear" w:color="auto" w:fill="FFFFFF" w:themeFill="background1"/>
            <w:noWrap/>
          </w:tcPr>
          <w:p w14:paraId="1E8B3AF5"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3,0</w:t>
            </w:r>
          </w:p>
        </w:tc>
        <w:tc>
          <w:tcPr>
            <w:tcW w:w="581" w:type="pct"/>
            <w:shd w:val="clear" w:color="auto" w:fill="FFFFFF" w:themeFill="background1"/>
            <w:noWrap/>
          </w:tcPr>
          <w:p w14:paraId="5E619C2C"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2,8</w:t>
            </w:r>
          </w:p>
        </w:tc>
        <w:tc>
          <w:tcPr>
            <w:tcW w:w="582" w:type="pct"/>
            <w:shd w:val="clear" w:color="auto" w:fill="FFFFFF" w:themeFill="background1"/>
            <w:noWrap/>
          </w:tcPr>
          <w:p w14:paraId="61B135A6"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2,7</w:t>
            </w:r>
          </w:p>
        </w:tc>
        <w:tc>
          <w:tcPr>
            <w:tcW w:w="583" w:type="pct"/>
            <w:shd w:val="clear" w:color="auto" w:fill="FFFFFF" w:themeFill="background1"/>
            <w:noWrap/>
          </w:tcPr>
          <w:p w14:paraId="66641032"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2,7</w:t>
            </w:r>
          </w:p>
        </w:tc>
      </w:tr>
      <w:tr w:rsidR="006D0778" w:rsidRPr="006D0778" w14:paraId="37A82BF6" w14:textId="77777777" w:rsidTr="00D2109C">
        <w:trPr>
          <w:trHeight w:hRule="exact" w:val="284"/>
        </w:trPr>
        <w:tc>
          <w:tcPr>
            <w:tcW w:w="2043" w:type="pct"/>
            <w:shd w:val="clear" w:color="auto" w:fill="FFFFFF" w:themeFill="background1"/>
          </w:tcPr>
          <w:p w14:paraId="2FA44934" w14:textId="77777777" w:rsidR="006D0778" w:rsidRPr="006D0778" w:rsidRDefault="006D0778" w:rsidP="006D0778">
            <w:pPr>
              <w:keepLines/>
              <w:widowControl w:val="0"/>
              <w:shd w:val="clear" w:color="auto" w:fill="FFFFFF" w:themeFill="background1"/>
              <w:spacing w:line="276" w:lineRule="auto"/>
              <w:ind w:left="284"/>
              <w:rPr>
                <w:rFonts w:eastAsia="Times New Roman"/>
                <w:bCs/>
                <w:color w:val="auto"/>
                <w:sz w:val="20"/>
              </w:rPr>
            </w:pPr>
            <w:r w:rsidRPr="006D0778">
              <w:rPr>
                <w:rFonts w:eastAsia="Times New Roman"/>
                <w:bCs/>
                <w:color w:val="auto"/>
                <w:sz w:val="20"/>
              </w:rPr>
              <w:t>ПДВ</w:t>
            </w:r>
          </w:p>
        </w:tc>
        <w:tc>
          <w:tcPr>
            <w:tcW w:w="605" w:type="pct"/>
            <w:shd w:val="clear" w:color="auto" w:fill="FFFFFF" w:themeFill="background1"/>
          </w:tcPr>
          <w:p w14:paraId="4C99144D"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9,6</w:t>
            </w:r>
          </w:p>
        </w:tc>
        <w:tc>
          <w:tcPr>
            <w:tcW w:w="606" w:type="pct"/>
            <w:shd w:val="clear" w:color="auto" w:fill="FFFFFF" w:themeFill="background1"/>
            <w:noWrap/>
          </w:tcPr>
          <w:p w14:paraId="27ACA198"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10,0</w:t>
            </w:r>
          </w:p>
        </w:tc>
        <w:tc>
          <w:tcPr>
            <w:tcW w:w="581" w:type="pct"/>
            <w:shd w:val="clear" w:color="auto" w:fill="FFFFFF" w:themeFill="background1"/>
            <w:noWrap/>
          </w:tcPr>
          <w:p w14:paraId="24C012F8"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10,2</w:t>
            </w:r>
          </w:p>
        </w:tc>
        <w:tc>
          <w:tcPr>
            <w:tcW w:w="582" w:type="pct"/>
            <w:shd w:val="clear" w:color="auto" w:fill="FFFFFF" w:themeFill="background1"/>
            <w:noWrap/>
          </w:tcPr>
          <w:p w14:paraId="77A48A42"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10,3</w:t>
            </w:r>
          </w:p>
        </w:tc>
        <w:tc>
          <w:tcPr>
            <w:tcW w:w="583" w:type="pct"/>
            <w:shd w:val="clear" w:color="auto" w:fill="FFFFFF" w:themeFill="background1"/>
            <w:noWrap/>
          </w:tcPr>
          <w:p w14:paraId="7E5901D4"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10,4</w:t>
            </w:r>
          </w:p>
        </w:tc>
      </w:tr>
      <w:tr w:rsidR="006D0778" w:rsidRPr="006D0778" w14:paraId="7A54D427" w14:textId="77777777" w:rsidTr="00D2109C">
        <w:trPr>
          <w:cnfStyle w:val="000000100000" w:firstRow="0" w:lastRow="0" w:firstColumn="0" w:lastColumn="0" w:oddVBand="0" w:evenVBand="0" w:oddHBand="1" w:evenHBand="0" w:firstRowFirstColumn="0" w:firstRowLastColumn="0" w:lastRowFirstColumn="0" w:lastRowLastColumn="0"/>
          <w:trHeight w:hRule="exact" w:val="284"/>
        </w:trPr>
        <w:tc>
          <w:tcPr>
            <w:tcW w:w="2043" w:type="pct"/>
            <w:shd w:val="clear" w:color="auto" w:fill="FFFFFF" w:themeFill="background1"/>
          </w:tcPr>
          <w:p w14:paraId="49AB3F47" w14:textId="77777777" w:rsidR="006D0778" w:rsidRPr="006D0778" w:rsidRDefault="006D0778" w:rsidP="006D0778">
            <w:pPr>
              <w:keepLines/>
              <w:widowControl w:val="0"/>
              <w:shd w:val="clear" w:color="auto" w:fill="FFFFFF" w:themeFill="background1"/>
              <w:spacing w:line="276" w:lineRule="auto"/>
              <w:ind w:left="284"/>
              <w:rPr>
                <w:rFonts w:eastAsia="Times New Roman"/>
                <w:bCs/>
                <w:color w:val="auto"/>
                <w:sz w:val="20"/>
              </w:rPr>
            </w:pPr>
            <w:r w:rsidRPr="006D0778">
              <w:rPr>
                <w:rFonts w:eastAsia="Times New Roman"/>
                <w:bCs/>
                <w:color w:val="auto"/>
                <w:sz w:val="20"/>
              </w:rPr>
              <w:t>Акцизе</w:t>
            </w:r>
          </w:p>
        </w:tc>
        <w:tc>
          <w:tcPr>
            <w:tcW w:w="605" w:type="pct"/>
            <w:shd w:val="clear" w:color="auto" w:fill="FFFFFF" w:themeFill="background1"/>
          </w:tcPr>
          <w:p w14:paraId="49A76880"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4,2</w:t>
            </w:r>
          </w:p>
        </w:tc>
        <w:tc>
          <w:tcPr>
            <w:tcW w:w="606" w:type="pct"/>
            <w:shd w:val="clear" w:color="auto" w:fill="FFFFFF" w:themeFill="background1"/>
            <w:noWrap/>
          </w:tcPr>
          <w:p w14:paraId="3660CAF2"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4,2</w:t>
            </w:r>
          </w:p>
        </w:tc>
        <w:tc>
          <w:tcPr>
            <w:tcW w:w="581" w:type="pct"/>
            <w:shd w:val="clear" w:color="auto" w:fill="FFFFFF" w:themeFill="background1"/>
            <w:noWrap/>
          </w:tcPr>
          <w:p w14:paraId="3A567497"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4,1</w:t>
            </w:r>
          </w:p>
        </w:tc>
        <w:tc>
          <w:tcPr>
            <w:tcW w:w="582" w:type="pct"/>
            <w:shd w:val="clear" w:color="auto" w:fill="FFFFFF" w:themeFill="background1"/>
            <w:noWrap/>
          </w:tcPr>
          <w:p w14:paraId="21C3940F"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3,9</w:t>
            </w:r>
          </w:p>
        </w:tc>
        <w:tc>
          <w:tcPr>
            <w:tcW w:w="583" w:type="pct"/>
            <w:shd w:val="clear" w:color="auto" w:fill="FFFFFF" w:themeFill="background1"/>
            <w:noWrap/>
          </w:tcPr>
          <w:p w14:paraId="6713B6B3"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3,7</w:t>
            </w:r>
          </w:p>
        </w:tc>
      </w:tr>
      <w:tr w:rsidR="006D0778" w:rsidRPr="006D0778" w14:paraId="76E39BE4" w14:textId="77777777" w:rsidTr="00D2109C">
        <w:trPr>
          <w:trHeight w:hRule="exact" w:val="284"/>
        </w:trPr>
        <w:tc>
          <w:tcPr>
            <w:tcW w:w="2043" w:type="pct"/>
            <w:shd w:val="clear" w:color="auto" w:fill="FFFFFF" w:themeFill="background1"/>
          </w:tcPr>
          <w:p w14:paraId="235BE849" w14:textId="77777777" w:rsidR="006D0778" w:rsidRPr="006D0778" w:rsidRDefault="006D0778" w:rsidP="006D0778">
            <w:pPr>
              <w:keepLines/>
              <w:widowControl w:val="0"/>
              <w:shd w:val="clear" w:color="auto" w:fill="FFFFFF" w:themeFill="background1"/>
              <w:spacing w:line="276" w:lineRule="auto"/>
              <w:ind w:left="284"/>
              <w:rPr>
                <w:rFonts w:eastAsia="Times New Roman"/>
                <w:bCs/>
                <w:color w:val="auto"/>
                <w:sz w:val="20"/>
              </w:rPr>
            </w:pPr>
            <w:r w:rsidRPr="006D0778">
              <w:rPr>
                <w:rFonts w:eastAsia="Times New Roman"/>
                <w:bCs/>
                <w:color w:val="auto"/>
                <w:sz w:val="20"/>
              </w:rPr>
              <w:t>Царине</w:t>
            </w:r>
          </w:p>
        </w:tc>
        <w:tc>
          <w:tcPr>
            <w:tcW w:w="605" w:type="pct"/>
            <w:shd w:val="clear" w:color="auto" w:fill="FFFFFF" w:themeFill="background1"/>
          </w:tcPr>
          <w:p w14:paraId="17EB05C6"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0,9</w:t>
            </w:r>
          </w:p>
        </w:tc>
        <w:tc>
          <w:tcPr>
            <w:tcW w:w="606" w:type="pct"/>
            <w:shd w:val="clear" w:color="auto" w:fill="FFFFFF" w:themeFill="background1"/>
            <w:noWrap/>
          </w:tcPr>
          <w:p w14:paraId="2E493AD2"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0,9</w:t>
            </w:r>
          </w:p>
        </w:tc>
        <w:tc>
          <w:tcPr>
            <w:tcW w:w="581" w:type="pct"/>
            <w:shd w:val="clear" w:color="auto" w:fill="FFFFFF" w:themeFill="background1"/>
            <w:noWrap/>
          </w:tcPr>
          <w:p w14:paraId="4A62657A"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0,9</w:t>
            </w:r>
          </w:p>
        </w:tc>
        <w:tc>
          <w:tcPr>
            <w:tcW w:w="582" w:type="pct"/>
            <w:shd w:val="clear" w:color="auto" w:fill="FFFFFF" w:themeFill="background1"/>
            <w:noWrap/>
          </w:tcPr>
          <w:p w14:paraId="3BDBD555"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0,9</w:t>
            </w:r>
          </w:p>
        </w:tc>
        <w:tc>
          <w:tcPr>
            <w:tcW w:w="583" w:type="pct"/>
            <w:shd w:val="clear" w:color="auto" w:fill="FFFFFF" w:themeFill="background1"/>
            <w:noWrap/>
          </w:tcPr>
          <w:p w14:paraId="7B93F9D0"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0,9</w:t>
            </w:r>
          </w:p>
        </w:tc>
      </w:tr>
      <w:tr w:rsidR="006D0778" w:rsidRPr="006D0778" w14:paraId="0D3EB122" w14:textId="77777777" w:rsidTr="00D2109C">
        <w:trPr>
          <w:cnfStyle w:val="000000100000" w:firstRow="0" w:lastRow="0" w:firstColumn="0" w:lastColumn="0" w:oddVBand="0" w:evenVBand="0" w:oddHBand="1" w:evenHBand="0" w:firstRowFirstColumn="0" w:firstRowLastColumn="0" w:lastRowFirstColumn="0" w:lastRowLastColumn="0"/>
          <w:trHeight w:hRule="exact" w:val="284"/>
        </w:trPr>
        <w:tc>
          <w:tcPr>
            <w:tcW w:w="2043" w:type="pct"/>
            <w:shd w:val="clear" w:color="auto" w:fill="FFFFFF" w:themeFill="background1"/>
          </w:tcPr>
          <w:p w14:paraId="14E0796F" w14:textId="77777777" w:rsidR="006D0778" w:rsidRPr="006D0778" w:rsidRDefault="006D0778" w:rsidP="006D0778">
            <w:pPr>
              <w:keepLines/>
              <w:widowControl w:val="0"/>
              <w:shd w:val="clear" w:color="auto" w:fill="FFFFFF" w:themeFill="background1"/>
              <w:spacing w:line="276" w:lineRule="auto"/>
              <w:ind w:left="284"/>
              <w:rPr>
                <w:rFonts w:eastAsia="Times New Roman"/>
                <w:bCs/>
                <w:color w:val="auto"/>
                <w:sz w:val="20"/>
              </w:rPr>
            </w:pPr>
            <w:r w:rsidRPr="006D0778">
              <w:rPr>
                <w:rFonts w:eastAsia="Times New Roman"/>
                <w:bCs/>
                <w:color w:val="auto"/>
                <w:sz w:val="20"/>
              </w:rPr>
              <w:t>Остали порески приходи</w:t>
            </w:r>
          </w:p>
        </w:tc>
        <w:tc>
          <w:tcPr>
            <w:tcW w:w="605" w:type="pct"/>
            <w:shd w:val="clear" w:color="auto" w:fill="FFFFFF" w:themeFill="background1"/>
          </w:tcPr>
          <w:p w14:paraId="029F57B1"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1,2</w:t>
            </w:r>
          </w:p>
        </w:tc>
        <w:tc>
          <w:tcPr>
            <w:tcW w:w="606" w:type="pct"/>
            <w:shd w:val="clear" w:color="auto" w:fill="FFFFFF" w:themeFill="background1"/>
            <w:noWrap/>
          </w:tcPr>
          <w:p w14:paraId="35F3D5E7"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1,2</w:t>
            </w:r>
          </w:p>
        </w:tc>
        <w:tc>
          <w:tcPr>
            <w:tcW w:w="581" w:type="pct"/>
            <w:shd w:val="clear" w:color="auto" w:fill="FFFFFF" w:themeFill="background1"/>
            <w:noWrap/>
          </w:tcPr>
          <w:p w14:paraId="6661C606"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1,2</w:t>
            </w:r>
          </w:p>
        </w:tc>
        <w:tc>
          <w:tcPr>
            <w:tcW w:w="582" w:type="pct"/>
            <w:shd w:val="clear" w:color="auto" w:fill="FFFFFF" w:themeFill="background1"/>
            <w:noWrap/>
          </w:tcPr>
          <w:p w14:paraId="4FF6D37B"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1,1</w:t>
            </w:r>
          </w:p>
        </w:tc>
        <w:tc>
          <w:tcPr>
            <w:tcW w:w="583" w:type="pct"/>
            <w:shd w:val="clear" w:color="auto" w:fill="FFFFFF" w:themeFill="background1"/>
            <w:noWrap/>
          </w:tcPr>
          <w:p w14:paraId="4B1C06D3"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1,1</w:t>
            </w:r>
          </w:p>
        </w:tc>
      </w:tr>
      <w:tr w:rsidR="006D0778" w:rsidRPr="006D0778" w14:paraId="56DFDF15" w14:textId="77777777" w:rsidTr="00D2109C">
        <w:trPr>
          <w:trHeight w:hRule="exact" w:val="284"/>
        </w:trPr>
        <w:tc>
          <w:tcPr>
            <w:tcW w:w="2043" w:type="pct"/>
            <w:shd w:val="clear" w:color="auto" w:fill="FFFFFF" w:themeFill="background1"/>
          </w:tcPr>
          <w:p w14:paraId="391E2F15" w14:textId="77777777" w:rsidR="006D0778" w:rsidRPr="006D0778" w:rsidRDefault="006D0778" w:rsidP="006D0778">
            <w:pPr>
              <w:keepLines/>
              <w:widowControl w:val="0"/>
              <w:shd w:val="clear" w:color="auto" w:fill="FFFFFF" w:themeFill="background1"/>
              <w:spacing w:line="276" w:lineRule="auto"/>
              <w:ind w:left="284"/>
              <w:rPr>
                <w:rFonts w:eastAsia="Times New Roman"/>
                <w:bCs/>
                <w:color w:val="auto"/>
                <w:sz w:val="20"/>
              </w:rPr>
            </w:pPr>
            <w:r w:rsidRPr="006D0778">
              <w:rPr>
                <w:rFonts w:eastAsia="Times New Roman"/>
                <w:bCs/>
                <w:color w:val="auto"/>
                <w:sz w:val="20"/>
              </w:rPr>
              <w:t>Доприноси</w:t>
            </w:r>
          </w:p>
        </w:tc>
        <w:tc>
          <w:tcPr>
            <w:tcW w:w="605" w:type="pct"/>
            <w:shd w:val="clear" w:color="auto" w:fill="FFFFFF" w:themeFill="background1"/>
          </w:tcPr>
          <w:p w14:paraId="56010847"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12,0</w:t>
            </w:r>
          </w:p>
        </w:tc>
        <w:tc>
          <w:tcPr>
            <w:tcW w:w="606" w:type="pct"/>
            <w:shd w:val="clear" w:color="auto" w:fill="FFFFFF" w:themeFill="background1"/>
            <w:noWrap/>
          </w:tcPr>
          <w:p w14:paraId="00A768DC"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12,7</w:t>
            </w:r>
          </w:p>
        </w:tc>
        <w:tc>
          <w:tcPr>
            <w:tcW w:w="581" w:type="pct"/>
            <w:shd w:val="clear" w:color="auto" w:fill="FFFFFF" w:themeFill="background1"/>
            <w:noWrap/>
          </w:tcPr>
          <w:p w14:paraId="316E63F7"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13,0</w:t>
            </w:r>
          </w:p>
        </w:tc>
        <w:tc>
          <w:tcPr>
            <w:tcW w:w="582" w:type="pct"/>
            <w:shd w:val="clear" w:color="auto" w:fill="FFFFFF" w:themeFill="background1"/>
            <w:noWrap/>
          </w:tcPr>
          <w:p w14:paraId="72FDBC5E"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13,2</w:t>
            </w:r>
          </w:p>
        </w:tc>
        <w:tc>
          <w:tcPr>
            <w:tcW w:w="583" w:type="pct"/>
            <w:shd w:val="clear" w:color="auto" w:fill="FFFFFF" w:themeFill="background1"/>
            <w:noWrap/>
          </w:tcPr>
          <w:p w14:paraId="0B304BFD"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13,4</w:t>
            </w:r>
          </w:p>
        </w:tc>
      </w:tr>
      <w:tr w:rsidR="006D0778" w:rsidRPr="006D0778" w14:paraId="2A041FC3" w14:textId="77777777" w:rsidTr="00D2109C">
        <w:trPr>
          <w:cnfStyle w:val="000000100000" w:firstRow="0" w:lastRow="0" w:firstColumn="0" w:lastColumn="0" w:oddVBand="0" w:evenVBand="0" w:oddHBand="1" w:evenHBand="0" w:firstRowFirstColumn="0" w:firstRowLastColumn="0" w:lastRowFirstColumn="0" w:lastRowLastColumn="0"/>
          <w:trHeight w:hRule="exact" w:val="284"/>
        </w:trPr>
        <w:tc>
          <w:tcPr>
            <w:tcW w:w="2043" w:type="pct"/>
            <w:shd w:val="clear" w:color="auto" w:fill="FFFFFF" w:themeFill="background1"/>
          </w:tcPr>
          <w:p w14:paraId="657E0EFB" w14:textId="77777777" w:rsidR="006D0778" w:rsidRPr="006D0778" w:rsidRDefault="006D0778" w:rsidP="006D0778">
            <w:pPr>
              <w:keepLines/>
              <w:widowControl w:val="0"/>
              <w:shd w:val="clear" w:color="auto" w:fill="FFFFFF" w:themeFill="background1"/>
              <w:spacing w:line="276" w:lineRule="auto"/>
              <w:rPr>
                <w:rFonts w:eastAsia="Times New Roman"/>
                <w:bCs/>
                <w:color w:val="auto"/>
                <w:sz w:val="20"/>
              </w:rPr>
            </w:pPr>
            <w:r w:rsidRPr="006D0778">
              <w:rPr>
                <w:rFonts w:eastAsia="Times New Roman"/>
                <w:bCs/>
                <w:color w:val="auto"/>
                <w:sz w:val="20"/>
              </w:rPr>
              <w:t xml:space="preserve"> Непорески приходи</w:t>
            </w:r>
          </w:p>
        </w:tc>
        <w:tc>
          <w:tcPr>
            <w:tcW w:w="605" w:type="pct"/>
            <w:shd w:val="clear" w:color="auto" w:fill="FFFFFF" w:themeFill="background1"/>
          </w:tcPr>
          <w:p w14:paraId="301191AB"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4,0</w:t>
            </w:r>
          </w:p>
        </w:tc>
        <w:tc>
          <w:tcPr>
            <w:tcW w:w="606" w:type="pct"/>
            <w:shd w:val="clear" w:color="auto" w:fill="FFFFFF" w:themeFill="background1"/>
            <w:noWrap/>
          </w:tcPr>
          <w:p w14:paraId="2D0E28D6"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4,2</w:t>
            </w:r>
          </w:p>
        </w:tc>
        <w:tc>
          <w:tcPr>
            <w:tcW w:w="581" w:type="pct"/>
            <w:shd w:val="clear" w:color="auto" w:fill="FFFFFF" w:themeFill="background1"/>
            <w:noWrap/>
          </w:tcPr>
          <w:p w14:paraId="134159CF"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4,6</w:t>
            </w:r>
          </w:p>
        </w:tc>
        <w:tc>
          <w:tcPr>
            <w:tcW w:w="582" w:type="pct"/>
            <w:shd w:val="clear" w:color="auto" w:fill="FFFFFF" w:themeFill="background1"/>
            <w:noWrap/>
          </w:tcPr>
          <w:p w14:paraId="4D1F194A"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4,1</w:t>
            </w:r>
          </w:p>
        </w:tc>
        <w:tc>
          <w:tcPr>
            <w:tcW w:w="583" w:type="pct"/>
            <w:shd w:val="clear" w:color="auto" w:fill="FFFFFF" w:themeFill="background1"/>
            <w:noWrap/>
          </w:tcPr>
          <w:p w14:paraId="3D1A0379"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3,8</w:t>
            </w:r>
          </w:p>
        </w:tc>
      </w:tr>
      <w:tr w:rsidR="006D0778" w:rsidRPr="006D0778" w14:paraId="66EF1672" w14:textId="77777777" w:rsidTr="00D2109C">
        <w:trPr>
          <w:trHeight w:hRule="exact" w:val="284"/>
        </w:trPr>
        <w:tc>
          <w:tcPr>
            <w:tcW w:w="2043" w:type="pct"/>
            <w:tcBorders>
              <w:bottom w:val="single" w:sz="4" w:space="0" w:color="auto"/>
            </w:tcBorders>
            <w:shd w:val="clear" w:color="auto" w:fill="FFFFFF" w:themeFill="background1"/>
          </w:tcPr>
          <w:p w14:paraId="7B433768" w14:textId="77777777" w:rsidR="006D0778" w:rsidRPr="006D0778" w:rsidRDefault="006D0778" w:rsidP="006D0778">
            <w:pPr>
              <w:keepLines/>
              <w:widowControl w:val="0"/>
              <w:shd w:val="clear" w:color="auto" w:fill="FFFFFF" w:themeFill="background1"/>
              <w:spacing w:line="276" w:lineRule="auto"/>
              <w:rPr>
                <w:rFonts w:eastAsia="Times New Roman"/>
                <w:bCs/>
                <w:color w:val="auto"/>
                <w:sz w:val="20"/>
              </w:rPr>
            </w:pPr>
            <w:r w:rsidRPr="006D0778">
              <w:rPr>
                <w:rFonts w:eastAsia="Times New Roman"/>
                <w:bCs/>
                <w:color w:val="auto"/>
                <w:sz w:val="20"/>
              </w:rPr>
              <w:t>Донације</w:t>
            </w:r>
          </w:p>
        </w:tc>
        <w:tc>
          <w:tcPr>
            <w:tcW w:w="605" w:type="pct"/>
            <w:tcBorders>
              <w:bottom w:val="single" w:sz="4" w:space="0" w:color="auto"/>
            </w:tcBorders>
            <w:shd w:val="clear" w:color="auto" w:fill="FFFFFF" w:themeFill="background1"/>
          </w:tcPr>
          <w:p w14:paraId="5CB17A21"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0,5</w:t>
            </w:r>
          </w:p>
        </w:tc>
        <w:tc>
          <w:tcPr>
            <w:tcW w:w="606" w:type="pct"/>
            <w:tcBorders>
              <w:bottom w:val="single" w:sz="4" w:space="0" w:color="auto"/>
            </w:tcBorders>
            <w:shd w:val="clear" w:color="auto" w:fill="FFFFFF" w:themeFill="background1"/>
            <w:noWrap/>
          </w:tcPr>
          <w:p w14:paraId="1FA72CD1"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0,4</w:t>
            </w:r>
          </w:p>
        </w:tc>
        <w:tc>
          <w:tcPr>
            <w:tcW w:w="581" w:type="pct"/>
            <w:tcBorders>
              <w:bottom w:val="single" w:sz="4" w:space="0" w:color="auto"/>
            </w:tcBorders>
            <w:shd w:val="clear" w:color="auto" w:fill="FFFFFF" w:themeFill="background1"/>
            <w:noWrap/>
          </w:tcPr>
          <w:p w14:paraId="6B6F05D2"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0,4</w:t>
            </w:r>
          </w:p>
        </w:tc>
        <w:tc>
          <w:tcPr>
            <w:tcW w:w="582" w:type="pct"/>
            <w:tcBorders>
              <w:bottom w:val="single" w:sz="4" w:space="0" w:color="auto"/>
            </w:tcBorders>
            <w:shd w:val="clear" w:color="auto" w:fill="FFFFFF" w:themeFill="background1"/>
            <w:noWrap/>
          </w:tcPr>
          <w:p w14:paraId="1D3F3676"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0,4</w:t>
            </w:r>
          </w:p>
        </w:tc>
        <w:tc>
          <w:tcPr>
            <w:tcW w:w="583" w:type="pct"/>
            <w:tcBorders>
              <w:bottom w:val="single" w:sz="4" w:space="0" w:color="auto"/>
            </w:tcBorders>
            <w:shd w:val="clear" w:color="auto" w:fill="FFFFFF" w:themeFill="background1"/>
            <w:noWrap/>
          </w:tcPr>
          <w:p w14:paraId="1D19195F"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0,3</w:t>
            </w:r>
          </w:p>
        </w:tc>
      </w:tr>
    </w:tbl>
    <w:p w14:paraId="7D3CF172" w14:textId="77777777" w:rsidR="006D0778" w:rsidRPr="006D0778" w:rsidRDefault="006D0778" w:rsidP="006D0778">
      <w:pPr>
        <w:rPr>
          <w:sz w:val="16"/>
          <w:szCs w:val="16"/>
          <w:lang w:val="sr-Cyrl-RS" w:eastAsia="ja-JP"/>
        </w:rPr>
      </w:pPr>
      <w:r w:rsidRPr="006D0778">
        <w:rPr>
          <w:bCs/>
          <w:sz w:val="16"/>
          <w:szCs w:val="16"/>
          <w:lang w:val="sr-Cyrl-RS" w:eastAsia="ja-JP"/>
        </w:rPr>
        <w:t xml:space="preserve">Извор: </w:t>
      </w:r>
      <w:r w:rsidRPr="006D0778">
        <w:rPr>
          <w:sz w:val="16"/>
          <w:szCs w:val="16"/>
          <w:lang w:val="sr-Cyrl-RS" w:eastAsia="ja-JP"/>
        </w:rPr>
        <w:t>Министарство финансија</w:t>
      </w:r>
    </w:p>
    <w:p w14:paraId="2607A10B" w14:textId="77777777" w:rsidR="006D0778" w:rsidRPr="006D0778" w:rsidRDefault="006D0778" w:rsidP="006D0778">
      <w:pPr>
        <w:rPr>
          <w:rFonts w:eastAsia="MS PGothic" w:cstheme="minorHAnsi"/>
          <w:szCs w:val="20"/>
          <w:lang w:eastAsia="ja-JP"/>
        </w:rPr>
      </w:pPr>
      <w:r w:rsidRPr="006D0778">
        <w:rPr>
          <w:rFonts w:eastAsia="MS PGothic" w:cstheme="minorHAnsi"/>
          <w:szCs w:val="20"/>
          <w:lang w:eastAsia="ja-JP"/>
        </w:rPr>
        <w:t>Благо опадајући тренд укупних јавних прихода у посматраном периоду, у смислу учешћа у БДП, је очекиван с обзиром на пројектовану структуру средњорочног раста српске привреде. Пројекција пореских прихода подразумева одржавање постојећег степена наплате.</w:t>
      </w:r>
    </w:p>
    <w:p w14:paraId="0DB9FBF0" w14:textId="77777777" w:rsidR="006D0778" w:rsidRPr="006D0778" w:rsidRDefault="006D0778" w:rsidP="006D0778">
      <w:pPr>
        <w:rPr>
          <w:rFonts w:eastAsia="MS PGothic" w:cstheme="minorHAnsi"/>
          <w:szCs w:val="20"/>
          <w:lang w:eastAsia="ja-JP"/>
        </w:rPr>
      </w:pPr>
      <w:r w:rsidRPr="006D0778">
        <w:rPr>
          <w:rFonts w:eastAsia="MS PGothic" w:cstheme="minorHAnsi"/>
          <w:szCs w:val="20"/>
          <w:lang w:eastAsia="ja-JP"/>
        </w:rPr>
        <w:t xml:space="preserve">Преовлађујући облик пореза на доходак је порез на зараде, тако да су кретање масе зарада и запослености главни фактори који утичу на кретање овог пореског облика. С обзиром да се очекује бржи раст ове две компоненте од номиналног раста БДП очекује се благи пораст учешћа пореза на доходак у БДП. </w:t>
      </w:r>
    </w:p>
    <w:p w14:paraId="3302F0F8" w14:textId="77777777" w:rsidR="006D0778" w:rsidRPr="006D0778" w:rsidRDefault="006D0778" w:rsidP="006D0778">
      <w:pPr>
        <w:rPr>
          <w:rFonts w:eastAsia="MS PGothic" w:cstheme="minorHAnsi"/>
          <w:szCs w:val="20"/>
          <w:lang w:eastAsia="ja-JP"/>
        </w:rPr>
      </w:pPr>
      <w:r w:rsidRPr="006D0778">
        <w:rPr>
          <w:rFonts w:eastAsia="MS PGothic" w:cstheme="minorHAnsi"/>
          <w:szCs w:val="20"/>
          <w:lang w:eastAsia="ja-JP"/>
        </w:rPr>
        <w:t xml:space="preserve">На кретање пореза на зараде две мере ће утицати на два различита начина. Повећање минималне зараде од 13,7% ће повећати ниво зарада, те приход од пореза на зараде. Са друге стране повећање неопорезивог цензуса, такође за 13,7%, ће имати негативан ефекат у износу од 10,1 млрд динара на приходе од пореза на зараде. Укупан ефекат на </w:t>
      </w:r>
      <w:r w:rsidRPr="006D0778">
        <w:rPr>
          <w:rFonts w:eastAsia="MS PGothic" w:cstheme="minorHAnsi"/>
          <w:szCs w:val="20"/>
          <w:lang w:eastAsia="ja-JP"/>
        </w:rPr>
        <w:lastRenderedPageBreak/>
        <w:t>наплату прихода се процењује на 14,5 млрд динара, при чему је 4,4 млрд динара губитак наплате доприноса.</w:t>
      </w:r>
    </w:p>
    <w:p w14:paraId="12E31836" w14:textId="77777777" w:rsidR="006D0778" w:rsidRPr="006D0778" w:rsidRDefault="006D0778" w:rsidP="006D0778">
      <w:pPr>
        <w:rPr>
          <w:rFonts w:eastAsia="MS PGothic" w:cstheme="minorHAnsi"/>
          <w:szCs w:val="20"/>
          <w:lang w:eastAsia="ja-JP"/>
        </w:rPr>
      </w:pPr>
      <w:r w:rsidRPr="006D0778">
        <w:rPr>
          <w:rFonts w:eastAsia="MS PGothic" w:cstheme="minorHAnsi"/>
          <w:szCs w:val="20"/>
          <w:lang w:eastAsia="ja-JP"/>
        </w:rPr>
        <w:t>Остали облици пореза на доходак (порез на дивиденде, порез на приходе од камата, годишњи порез на доходак, итд.) ће расти спорије, то јест у складу са кретањем опште економске активности.</w:t>
      </w:r>
    </w:p>
    <w:p w14:paraId="2D249959" w14:textId="77777777" w:rsidR="006D0778" w:rsidRPr="006D0778" w:rsidRDefault="006D0778" w:rsidP="006D0778">
      <w:pPr>
        <w:rPr>
          <w:rFonts w:eastAsia="MS PGothic" w:cstheme="minorHAnsi"/>
          <w:szCs w:val="20"/>
          <w:lang w:eastAsia="ja-JP"/>
        </w:rPr>
      </w:pPr>
      <w:r w:rsidRPr="006D0778">
        <w:rPr>
          <w:rFonts w:eastAsia="MS PGothic" w:cstheme="minorHAnsi"/>
          <w:szCs w:val="20"/>
          <w:lang w:eastAsia="ja-JP"/>
        </w:rPr>
        <w:t>Кретање учешћа доприноса у БДП има сличну путању као и кретање учешћа пореза на зараде, с обзиром да су за њихову пројекцију коришћене исте претпоставке о кретању зарада и запослености. С обзиром на очекивано брже кретање масе зарада, и последично пореза и доприноса на зараде, у односу на номинални БДП, предвиђа се раст нивоа доприноса у односу на БДП. У пројекције је узет у обзир и губитак због повећања неопорезивог цензуса.</w:t>
      </w:r>
    </w:p>
    <w:p w14:paraId="701BBAFA" w14:textId="77777777" w:rsidR="006D0778" w:rsidRPr="006D0778" w:rsidRDefault="006D0778" w:rsidP="006D0778">
      <w:pPr>
        <w:rPr>
          <w:rFonts w:eastAsia="MS PGothic" w:cstheme="minorHAnsi"/>
          <w:szCs w:val="20"/>
          <w:lang w:eastAsia="ja-JP"/>
        </w:rPr>
      </w:pPr>
      <w:r w:rsidRPr="006D0778">
        <w:rPr>
          <w:rFonts w:eastAsia="MS PGothic" w:cstheme="minorHAnsi"/>
          <w:szCs w:val="20"/>
          <w:lang w:eastAsia="ja-JP"/>
        </w:rPr>
        <w:t>Приходи од пореза на добит правних лица у периоду 2025–2027. године зависиће од путање привредног раста, релативне стабилности курса динара и опште профитабилности привреде. Процена прихода по овом основу је неизвесна како због економских фактора, тако и због могућности коришћења пореског кредита или повраћаја, као и разлика између рачуноводствених и пореских биланса. Очекује се да се у периоду до 2027. године наплата пореза на добит стабилизује у складу са кретањем БДП.</w:t>
      </w:r>
    </w:p>
    <w:p w14:paraId="72E10C3E" w14:textId="77777777" w:rsidR="006D0778" w:rsidRPr="006D0778" w:rsidRDefault="006D0778" w:rsidP="006D0778">
      <w:pPr>
        <w:rPr>
          <w:rFonts w:eastAsia="MS PGothic" w:cstheme="minorHAnsi"/>
          <w:szCs w:val="20"/>
          <w:lang w:eastAsia="ja-JP"/>
        </w:rPr>
      </w:pPr>
      <w:r w:rsidRPr="006D0778">
        <w:rPr>
          <w:rFonts w:eastAsia="MS PGothic" w:cstheme="minorHAnsi"/>
          <w:szCs w:val="20"/>
          <w:lang w:eastAsia="ja-JP"/>
        </w:rPr>
        <w:t>Главна детерминанта кретања ПДВ је домаћа тражња вођена расположивим дохотком становништва. Расположиви доходак као највећа детерминанта потрошње зависи од кретања зарада, пензија, социјалне помоћи и осталих облика доходака, укључујући и дознаке, као и од динамике кредитне активности банака према становништву.</w:t>
      </w:r>
    </w:p>
    <w:p w14:paraId="3E9F9771" w14:textId="77777777" w:rsidR="006D0778" w:rsidRPr="006D0778" w:rsidRDefault="006D0778" w:rsidP="006D0778">
      <w:pPr>
        <w:rPr>
          <w:rFonts w:eastAsia="MS PGothic" w:cstheme="minorHAnsi"/>
          <w:szCs w:val="20"/>
          <w:lang w:eastAsia="ja-JP"/>
        </w:rPr>
      </w:pPr>
      <w:r w:rsidRPr="006D0778">
        <w:rPr>
          <w:rFonts w:eastAsia="MS PGothic" w:cstheme="minorHAnsi"/>
          <w:szCs w:val="20"/>
          <w:lang w:eastAsia="ja-JP"/>
        </w:rPr>
        <w:t>Као и код пореза на доходак грађана, ризици за остварење пројекције ПДВ у наредном периоду, поред опште неизвесности међународног економског окружења, односе се и на кретање зарада у приватном сектору, раст привредне активности, као и на степен сиве економије, односно ефикасност у њеном смањењу.</w:t>
      </w:r>
    </w:p>
    <w:p w14:paraId="0B8199B4" w14:textId="77777777" w:rsidR="006D0778" w:rsidRPr="006D0778" w:rsidRDefault="006D0778" w:rsidP="006D0778">
      <w:pPr>
        <w:rPr>
          <w:rFonts w:eastAsia="MS PGothic" w:cstheme="minorHAnsi"/>
          <w:szCs w:val="20"/>
          <w:lang w:eastAsia="ja-JP"/>
        </w:rPr>
      </w:pPr>
      <w:r w:rsidRPr="006D0778">
        <w:rPr>
          <w:rFonts w:eastAsia="MS PGothic" w:cstheme="minorHAnsi"/>
          <w:szCs w:val="20"/>
          <w:lang w:eastAsia="ja-JP"/>
        </w:rPr>
        <w:t>Подизање ефикасности наплате и контроле пореских обвезника ће бити настављено у наредном периоду, с тим што ефекти борбе против сиве економије нису експлицитно укључени у средњорочну пројекцију јавних прихода. У овом сегменту простор за даља побољшања створиће се јачањем и модернизацијом пореске администрације.</w:t>
      </w:r>
    </w:p>
    <w:p w14:paraId="05F24518" w14:textId="77777777" w:rsidR="006D0778" w:rsidRPr="006D0778" w:rsidRDefault="006D0778" w:rsidP="006D0778">
      <w:pPr>
        <w:rPr>
          <w:rFonts w:eastAsia="MS PGothic" w:cstheme="minorHAnsi"/>
          <w:szCs w:val="20"/>
          <w:lang w:eastAsia="ja-JP"/>
        </w:rPr>
      </w:pPr>
      <w:r w:rsidRPr="006D0778">
        <w:rPr>
          <w:rFonts w:eastAsia="MS PGothic" w:cstheme="minorHAnsi"/>
          <w:szCs w:val="20"/>
          <w:lang w:eastAsia="ja-JP"/>
        </w:rPr>
        <w:t>Пројекција прихода од акциза сачињена је на основу важеће акцизне политике и пројектоване потрошње акцизних производа. У октобру 2023. године је било ванредно повећање акциза од 8%, док је редовно усклађивање са растом потрошачких цена примењено током маја 2024. године. У наредним годинама, услед опрезности, није претпостављен раст потрошње нафтних деривата.</w:t>
      </w:r>
    </w:p>
    <w:p w14:paraId="3A514DC3" w14:textId="77777777" w:rsidR="006D0778" w:rsidRPr="006D0778" w:rsidRDefault="006D0778" w:rsidP="006D0778">
      <w:pPr>
        <w:rPr>
          <w:rFonts w:eastAsia="MS PGothic" w:cstheme="minorHAnsi"/>
          <w:szCs w:val="20"/>
          <w:lang w:eastAsia="ja-JP"/>
        </w:rPr>
      </w:pPr>
      <w:r w:rsidRPr="006D0778">
        <w:rPr>
          <w:rFonts w:eastAsia="MS PGothic" w:cstheme="minorHAnsi"/>
          <w:szCs w:val="20"/>
          <w:lang w:eastAsia="ja-JP"/>
        </w:rPr>
        <w:t xml:space="preserve">У оквиру акцизне политике код дуванских производа </w:t>
      </w:r>
      <w:r w:rsidRPr="006D0778">
        <w:rPr>
          <w:rFonts w:eastAsia="MS PGothic" w:cstheme="minorHAnsi"/>
          <w:szCs w:val="20"/>
          <w:lang w:val="sr-Cyrl-RS" w:eastAsia="ja-JP"/>
        </w:rPr>
        <w:t>је</w:t>
      </w:r>
      <w:r w:rsidRPr="006D0778">
        <w:rPr>
          <w:rFonts w:eastAsia="MS PGothic" w:cstheme="minorHAnsi"/>
          <w:szCs w:val="20"/>
          <w:lang w:eastAsia="ja-JP"/>
        </w:rPr>
        <w:t>, услед опрезности, предвиђен даљи очекивани пад тржишта дуванских производа.</w:t>
      </w:r>
    </w:p>
    <w:p w14:paraId="5C20F37A" w14:textId="77777777" w:rsidR="006D0778" w:rsidRPr="006D0778" w:rsidRDefault="006D0778" w:rsidP="006D0778">
      <w:pPr>
        <w:rPr>
          <w:rFonts w:eastAsia="MS PGothic" w:cstheme="minorHAnsi"/>
          <w:szCs w:val="20"/>
          <w:lang w:eastAsia="ja-JP"/>
        </w:rPr>
      </w:pPr>
      <w:r w:rsidRPr="006D0778">
        <w:rPr>
          <w:rFonts w:eastAsia="MS PGothic" w:cstheme="minorHAnsi"/>
          <w:szCs w:val="20"/>
          <w:lang w:eastAsia="ja-JP"/>
        </w:rPr>
        <w:t>Приходи од акциза на алкохолна пића, кафу и електричну енергију су пројектовани у складу са постојећом структуром потрошње и актуелном акцизном политиком, а од 2026. године предвиђено је увођење акцизе на природни гас који се користи за грејање и погон моторних возила.</w:t>
      </w:r>
    </w:p>
    <w:p w14:paraId="77296DA7" w14:textId="77777777" w:rsidR="006D0778" w:rsidRPr="006D0778" w:rsidRDefault="006D0778" w:rsidP="006D0778">
      <w:pPr>
        <w:rPr>
          <w:rFonts w:eastAsia="MS PGothic" w:cstheme="minorHAnsi"/>
          <w:szCs w:val="20"/>
          <w:lang w:eastAsia="ja-JP"/>
        </w:rPr>
      </w:pPr>
      <w:r w:rsidRPr="006D0778">
        <w:rPr>
          <w:rFonts w:eastAsia="MS PGothic" w:cstheme="minorHAnsi"/>
          <w:szCs w:val="20"/>
          <w:lang w:eastAsia="ja-JP"/>
        </w:rPr>
        <w:t>Приходи од царина ће се стабилизовати на нивоу од 0,9% БДП у наредном периоду, а пројектовани су у складу са очекиваним кретањем увоза, девизног курса и потрошње.</w:t>
      </w:r>
    </w:p>
    <w:p w14:paraId="0B6093CF" w14:textId="77777777" w:rsidR="006D0778" w:rsidRPr="006D0778" w:rsidRDefault="006D0778" w:rsidP="006D0778">
      <w:pPr>
        <w:rPr>
          <w:rFonts w:eastAsia="MS PGothic" w:cstheme="minorHAnsi"/>
          <w:szCs w:val="20"/>
          <w:lang w:eastAsia="ja-JP"/>
        </w:rPr>
      </w:pPr>
      <w:r w:rsidRPr="006D0778">
        <w:rPr>
          <w:rFonts w:eastAsia="MS PGothic" w:cstheme="minorHAnsi"/>
          <w:szCs w:val="20"/>
          <w:lang w:eastAsia="ja-JP"/>
        </w:rPr>
        <w:t xml:space="preserve">Пројектује се стабилизација учешћа у БДП осталих пореских прихода. Најзначајнији порески приход у овој категорији је порез на имовину чије учешће износи око 70%. </w:t>
      </w:r>
      <w:r w:rsidRPr="006D0778">
        <w:rPr>
          <w:rFonts w:eastAsia="MS PGothic" w:cstheme="minorHAnsi"/>
          <w:szCs w:val="20"/>
          <w:lang w:eastAsia="ja-JP"/>
        </w:rPr>
        <w:lastRenderedPageBreak/>
        <w:t>Номинално повећање овог прихода може се очекивати по основу проширења основице. Повећање степена наплате, кроз повећање обухвата непокретности на које се порез плаћа (то јест по основу проширења пореске базе), није укључено у пројекције у средњем року и представља позитиван ризик. Поред пореза на имовину, у остале пореске приходе укључују се и порези на употребу, држање и ношење добара, те други облици пореза на локалном нивоу. Они су пројектовани у складу са кретањем инфлације, будући да је инфлаторна компонента уграђена у значајан део ових пореских облика.</w:t>
      </w:r>
    </w:p>
    <w:p w14:paraId="131334A8" w14:textId="34F1D552" w:rsidR="006D0778" w:rsidRPr="006D0778" w:rsidRDefault="006D0778" w:rsidP="006D0778">
      <w:pPr>
        <w:rPr>
          <w:rFonts w:eastAsia="MS PGothic" w:cstheme="minorHAnsi"/>
          <w:szCs w:val="20"/>
          <w:lang w:eastAsia="ja-JP"/>
        </w:rPr>
      </w:pPr>
      <w:r w:rsidRPr="006D0778">
        <w:rPr>
          <w:rFonts w:eastAsia="MS PGothic" w:cstheme="minorHAnsi"/>
          <w:szCs w:val="20"/>
          <w:lang w:eastAsia="ja-JP"/>
        </w:rPr>
        <w:t>Скок непореских прихода у 2025. години резултат је очекиваних прихода по основу аукције лиценци за 5G технологију. Аукција би требало да се одржи т</w:t>
      </w:r>
      <w:r w:rsidR="002B1F9D">
        <w:rPr>
          <w:rFonts w:eastAsia="MS PGothic" w:cstheme="minorHAnsi"/>
          <w:szCs w:val="20"/>
          <w:lang w:eastAsia="ja-JP"/>
        </w:rPr>
        <w:t>оком 2025. године, а након тога</w:t>
      </w:r>
      <w:r w:rsidRPr="006D0778">
        <w:rPr>
          <w:rFonts w:eastAsia="MS PGothic" w:cstheme="minorHAnsi"/>
          <w:szCs w:val="20"/>
          <w:lang w:eastAsia="ja-JP"/>
        </w:rPr>
        <w:t xml:space="preserve"> се очекује</w:t>
      </w:r>
      <w:r w:rsidR="00CF6476">
        <w:rPr>
          <w:rFonts w:eastAsia="MS PGothic" w:cstheme="minorHAnsi"/>
          <w:szCs w:val="20"/>
          <w:lang w:eastAsia="ja-JP"/>
        </w:rPr>
        <w:t xml:space="preserve"> </w:t>
      </w:r>
      <w:r w:rsidRPr="006D0778">
        <w:rPr>
          <w:rFonts w:eastAsia="MS PGothic" w:cstheme="minorHAnsi"/>
          <w:szCs w:val="20"/>
          <w:lang w:eastAsia="ja-JP"/>
        </w:rPr>
        <w:t>смањење учешћа непореских прихода у БДП на 3,8% колико ће износити</w:t>
      </w:r>
      <w:r w:rsidR="00CF6476">
        <w:rPr>
          <w:rFonts w:eastAsia="MS PGothic" w:cstheme="minorHAnsi"/>
          <w:szCs w:val="20"/>
          <w:lang w:eastAsia="ja-JP"/>
        </w:rPr>
        <w:t xml:space="preserve"> </w:t>
      </w:r>
      <w:r w:rsidRPr="006D0778">
        <w:rPr>
          <w:rFonts w:eastAsia="MS PGothic" w:cstheme="minorHAnsi"/>
          <w:szCs w:val="20"/>
          <w:lang w:eastAsia="ja-JP"/>
        </w:rPr>
        <w:t xml:space="preserve">и у 2027. години. Разлог за смањење пројектованог учешћа непореских прихода у БДП је и искључивање из базне године свих оних прихода који се не сматрају структурним тј. трајним, првенствено ванредних непореских прихода. Сопствени приходи индиректних корисника који се први пут укључују у обухват сектора државе у 2025. години надоместиће искључивања једног дела ванредних (не-структурних) непореских прихода. </w:t>
      </w:r>
    </w:p>
    <w:p w14:paraId="62D7DD4E" w14:textId="77777777" w:rsidR="006D0778" w:rsidRPr="006D0778" w:rsidRDefault="006D0778" w:rsidP="006D0778">
      <w:pPr>
        <w:rPr>
          <w:rFonts w:eastAsia="MS PGothic" w:cstheme="minorHAnsi"/>
          <w:szCs w:val="20"/>
          <w:lang w:eastAsia="ja-JP"/>
        </w:rPr>
      </w:pPr>
      <w:r w:rsidRPr="006D0778">
        <w:rPr>
          <w:rFonts w:eastAsia="MS PGothic" w:cstheme="minorHAnsi"/>
          <w:szCs w:val="20"/>
          <w:lang w:eastAsia="ja-JP"/>
        </w:rPr>
        <w:t>Ванредни непорески приходи су углавном једнократни, у одређеној мери неизвесни, како по питању износа, тако и по питању тренутка уплате. Највећи део ових прихода представљају ванредне уплате добити јавних предузећа и агенција, дивиденде буџета, приходи по основу наплаћених потраживања АОД, емисионе премије, итд. Редовни непорески приходи обухватају различите таксе, накнаде, казне, приходе органа и организација и све остале приходе који се остварују устаљеном динамиком током године. Овај тип непореских прихода индексира се са оствареном инфлацијом у претходној години, или пак прати промену у вредности основице на коју се примењују, и услед тога се коригује пројектованом инфлацијом.</w:t>
      </w:r>
    </w:p>
    <w:p w14:paraId="0E51F618" w14:textId="77777777" w:rsidR="006D0778" w:rsidRPr="006D0778" w:rsidRDefault="006D0778" w:rsidP="006D0778">
      <w:pPr>
        <w:rPr>
          <w:rFonts w:eastAsia="MS PGothic" w:cstheme="minorHAnsi"/>
          <w:szCs w:val="20"/>
          <w:lang w:eastAsia="ja-JP"/>
        </w:rPr>
      </w:pPr>
      <w:r w:rsidRPr="006D0778">
        <w:rPr>
          <w:rFonts w:eastAsia="MS PGothic" w:cstheme="minorHAnsi"/>
          <w:szCs w:val="20"/>
          <w:lang w:eastAsia="ja-JP"/>
        </w:rPr>
        <w:t>Процесом приближавања државе чланству у ЕУ повећавају се расположива средства из ИПА и ИПАРД фондова која чине преовлађујући део прихода од донација. У пројектоване износе по основу донација укључена су и средства по основу секторске буџетске подршке ЕУ. Приходи по основу донација су неутрални у односу на резултат, с обзиром да су једнаки расходима по овом основу.</w:t>
      </w:r>
    </w:p>
    <w:p w14:paraId="795ABAC0" w14:textId="77777777" w:rsidR="006D0778" w:rsidRPr="006D0778" w:rsidRDefault="006D0778" w:rsidP="006D0778">
      <w:pPr>
        <w:spacing w:after="240"/>
        <w:rPr>
          <w:rFonts w:eastAsia="MS PGothic" w:cstheme="minorHAnsi"/>
          <w:szCs w:val="20"/>
          <w:lang w:val="sr-Cyrl-RS" w:eastAsia="ja-JP"/>
        </w:rPr>
      </w:pPr>
      <w:r w:rsidRPr="006D0778">
        <w:rPr>
          <w:rFonts w:eastAsia="MS PGothic" w:cstheme="minorHAnsi"/>
          <w:szCs w:val="20"/>
          <w:lang w:eastAsia="ja-JP"/>
        </w:rPr>
        <w:t xml:space="preserve">Одговорном фискалном политиком у комбинацији са добрим макроекономским перформансама у протеклом периоду обезбеђено је релаксирање политике плата и пензија и значајно повећање капиталних инвестиција као битне компоненте развоја привреде. Посебна пажња је посвећена унапређењу ефикасности реализације капиталних инвестиција државе. Социјална компонента буџета је побољшана бољим таргетирањем програма социјалне помоћи и већим издвајањем за функције здравства и образовања. Плате и пензије заједно чине преко </w:t>
      </w:r>
      <w:r w:rsidRPr="006D0778">
        <w:rPr>
          <w:rFonts w:eastAsia="MS PGothic" w:cstheme="minorHAnsi"/>
          <w:szCs w:val="20"/>
          <w:shd w:val="clear" w:color="auto" w:fill="FFFFFF" w:themeFill="background1"/>
          <w:lang w:eastAsia="ja-JP"/>
        </w:rPr>
        <w:t>40%</w:t>
      </w:r>
      <w:r w:rsidRPr="006D0778">
        <w:rPr>
          <w:rFonts w:eastAsia="MS PGothic" w:cstheme="minorHAnsi"/>
          <w:szCs w:val="20"/>
          <w:lang w:eastAsia="ja-JP"/>
        </w:rPr>
        <w:t xml:space="preserve"> расхода на нивоу сектора државе и њихова стабилизација је од пресудног значаја за одрживост јавних финансија.</w:t>
      </w:r>
    </w:p>
    <w:p w14:paraId="28BB5542" w14:textId="77777777" w:rsidR="006D0778" w:rsidRPr="006D0778" w:rsidRDefault="006D0778" w:rsidP="006D0778">
      <w:pPr>
        <w:rPr>
          <w:lang w:val="sr-Cyrl-RS" w:eastAsia="ja-JP"/>
        </w:rPr>
      </w:pPr>
      <w:r w:rsidRPr="006D0778">
        <w:rPr>
          <w:lang w:val="sr-Cyrl-RS" w:eastAsia="ja-JP"/>
        </w:rPr>
        <w:t>Табела 9. Укупни расходи у периоду 2023–2027. године, % БДП</w:t>
      </w:r>
    </w:p>
    <w:tbl>
      <w:tblPr>
        <w:tblStyle w:val="LightShading-Accent12214"/>
        <w:tblW w:w="4952" w:type="pct"/>
        <w:tblLook w:val="0420" w:firstRow="1" w:lastRow="0" w:firstColumn="0" w:lastColumn="0" w:noHBand="0" w:noVBand="1"/>
      </w:tblPr>
      <w:tblGrid>
        <w:gridCol w:w="3511"/>
        <w:gridCol w:w="1177"/>
        <w:gridCol w:w="1146"/>
        <w:gridCol w:w="1034"/>
        <w:gridCol w:w="1034"/>
        <w:gridCol w:w="1037"/>
      </w:tblGrid>
      <w:tr w:rsidR="006D0778" w:rsidRPr="006D0778" w14:paraId="3B7B17A3" w14:textId="77777777" w:rsidTr="00D2109C">
        <w:trPr>
          <w:cnfStyle w:val="100000000000" w:firstRow="1" w:lastRow="0" w:firstColumn="0" w:lastColumn="0" w:oddVBand="0" w:evenVBand="0" w:oddHBand="0" w:evenHBand="0" w:firstRowFirstColumn="0" w:firstRowLastColumn="0" w:lastRowFirstColumn="0" w:lastRowLastColumn="0"/>
          <w:trHeight w:hRule="exact" w:val="284"/>
          <w:tblHeader/>
        </w:trPr>
        <w:tc>
          <w:tcPr>
            <w:tcW w:w="1967" w:type="pct"/>
            <w:tcBorders>
              <w:top w:val="single" w:sz="4" w:space="0" w:color="002060"/>
              <w:bottom w:val="single" w:sz="4" w:space="0" w:color="002060"/>
            </w:tcBorders>
            <w:noWrap/>
            <w:vAlign w:val="center"/>
          </w:tcPr>
          <w:p w14:paraId="35C2820B" w14:textId="77777777" w:rsidR="006D0778" w:rsidRPr="006D0778" w:rsidRDefault="006D0778" w:rsidP="006D0778">
            <w:pPr>
              <w:widowControl w:val="0"/>
              <w:shd w:val="clear" w:color="auto" w:fill="FFFFFF" w:themeFill="background1"/>
              <w:spacing w:line="276" w:lineRule="auto"/>
              <w:rPr>
                <w:rFonts w:eastAsia="Times New Roman"/>
                <w:color w:val="auto"/>
                <w:sz w:val="20"/>
              </w:rPr>
            </w:pPr>
            <w:r w:rsidRPr="006D0778">
              <w:rPr>
                <w:color w:val="auto"/>
                <w:sz w:val="20"/>
              </w:rPr>
              <w:t>Опис</w:t>
            </w:r>
          </w:p>
        </w:tc>
        <w:tc>
          <w:tcPr>
            <w:tcW w:w="644" w:type="pct"/>
            <w:tcBorders>
              <w:top w:val="single" w:sz="4" w:space="0" w:color="002060"/>
              <w:bottom w:val="single" w:sz="4" w:space="0" w:color="002060"/>
            </w:tcBorders>
            <w:vAlign w:val="center"/>
          </w:tcPr>
          <w:p w14:paraId="0203BB43" w14:textId="77777777" w:rsidR="006D0778" w:rsidRPr="006D0778" w:rsidRDefault="006D0778" w:rsidP="006D0778">
            <w:pPr>
              <w:keepNext/>
              <w:widowControl w:val="0"/>
              <w:shd w:val="clear" w:color="auto" w:fill="FFFFFF" w:themeFill="background1"/>
              <w:spacing w:line="276" w:lineRule="auto"/>
              <w:jc w:val="right"/>
              <w:rPr>
                <w:rFonts w:eastAsia="Times New Roman"/>
                <w:color w:val="auto"/>
                <w:sz w:val="20"/>
              </w:rPr>
            </w:pPr>
            <w:r w:rsidRPr="006D0778">
              <w:rPr>
                <w:color w:val="auto"/>
                <w:sz w:val="20"/>
              </w:rPr>
              <w:t>Извршење</w:t>
            </w:r>
          </w:p>
        </w:tc>
        <w:tc>
          <w:tcPr>
            <w:tcW w:w="644" w:type="pct"/>
            <w:tcBorders>
              <w:top w:val="single" w:sz="4" w:space="0" w:color="002060"/>
              <w:bottom w:val="single" w:sz="4" w:space="0" w:color="002060"/>
            </w:tcBorders>
            <w:vAlign w:val="center"/>
          </w:tcPr>
          <w:p w14:paraId="6433B5F4" w14:textId="77777777" w:rsidR="006D0778" w:rsidRPr="006D0778" w:rsidRDefault="006D0778" w:rsidP="006D0778">
            <w:pPr>
              <w:keepNext/>
              <w:widowControl w:val="0"/>
              <w:shd w:val="clear" w:color="auto" w:fill="FFFFFF" w:themeFill="background1"/>
              <w:spacing w:line="276" w:lineRule="auto"/>
              <w:jc w:val="right"/>
              <w:rPr>
                <w:rFonts w:eastAsia="Times New Roman"/>
                <w:color w:val="auto"/>
                <w:sz w:val="20"/>
              </w:rPr>
            </w:pPr>
            <w:r w:rsidRPr="006D0778">
              <w:rPr>
                <w:color w:val="auto"/>
                <w:sz w:val="20"/>
              </w:rPr>
              <w:t>Процена</w:t>
            </w:r>
          </w:p>
        </w:tc>
        <w:tc>
          <w:tcPr>
            <w:tcW w:w="1745" w:type="pct"/>
            <w:gridSpan w:val="3"/>
            <w:tcBorders>
              <w:top w:val="single" w:sz="4" w:space="0" w:color="002060"/>
              <w:bottom w:val="single" w:sz="4" w:space="0" w:color="002060"/>
            </w:tcBorders>
            <w:vAlign w:val="center"/>
          </w:tcPr>
          <w:p w14:paraId="2ED84FD3" w14:textId="77777777" w:rsidR="006D0778" w:rsidRPr="006D0778" w:rsidRDefault="006D0778" w:rsidP="006D0778">
            <w:pPr>
              <w:keepNext/>
              <w:widowControl w:val="0"/>
              <w:shd w:val="clear" w:color="auto" w:fill="FFFFFF" w:themeFill="background1"/>
              <w:spacing w:line="276" w:lineRule="auto"/>
              <w:jc w:val="center"/>
              <w:rPr>
                <w:rFonts w:eastAsia="Times New Roman"/>
                <w:color w:val="auto"/>
                <w:sz w:val="20"/>
              </w:rPr>
            </w:pPr>
            <w:r w:rsidRPr="006D0778">
              <w:rPr>
                <w:color w:val="auto"/>
                <w:sz w:val="20"/>
              </w:rPr>
              <w:t>Пројекција</w:t>
            </w:r>
          </w:p>
        </w:tc>
      </w:tr>
      <w:tr w:rsidR="006D0778" w:rsidRPr="006D0778" w14:paraId="773CA01E" w14:textId="77777777" w:rsidTr="00D2109C">
        <w:trPr>
          <w:cnfStyle w:val="100000000000" w:firstRow="1" w:lastRow="0" w:firstColumn="0" w:lastColumn="0" w:oddVBand="0" w:evenVBand="0" w:oddHBand="0" w:evenHBand="0" w:firstRowFirstColumn="0" w:firstRowLastColumn="0" w:lastRowFirstColumn="0" w:lastRowLastColumn="0"/>
          <w:trHeight w:hRule="exact" w:val="284"/>
          <w:tblHeader/>
        </w:trPr>
        <w:tc>
          <w:tcPr>
            <w:tcW w:w="1967" w:type="pct"/>
            <w:tcBorders>
              <w:top w:val="single" w:sz="4" w:space="0" w:color="002060"/>
              <w:bottom w:val="nil"/>
            </w:tcBorders>
            <w:shd w:val="clear" w:color="auto" w:fill="FFFFFF" w:themeFill="background1"/>
            <w:noWrap/>
          </w:tcPr>
          <w:p w14:paraId="7C4694B7" w14:textId="77777777" w:rsidR="006D0778" w:rsidRPr="006D0778" w:rsidRDefault="006D0778" w:rsidP="006D0778">
            <w:pPr>
              <w:widowControl w:val="0"/>
              <w:shd w:val="clear" w:color="auto" w:fill="FFFFFF" w:themeFill="background1"/>
              <w:spacing w:line="276" w:lineRule="auto"/>
              <w:rPr>
                <w:rFonts w:eastAsia="Times New Roman"/>
                <w:color w:val="auto"/>
                <w:sz w:val="20"/>
              </w:rPr>
            </w:pPr>
          </w:p>
        </w:tc>
        <w:tc>
          <w:tcPr>
            <w:tcW w:w="644" w:type="pct"/>
            <w:tcBorders>
              <w:top w:val="single" w:sz="4" w:space="0" w:color="002060"/>
              <w:bottom w:val="single" w:sz="4" w:space="0" w:color="002060"/>
            </w:tcBorders>
            <w:shd w:val="clear" w:color="auto" w:fill="FFFFFF" w:themeFill="background1"/>
          </w:tcPr>
          <w:p w14:paraId="3AC41BC7" w14:textId="77777777" w:rsidR="006D0778" w:rsidRPr="006D0778" w:rsidRDefault="006D0778" w:rsidP="006D0778">
            <w:pPr>
              <w:keepNext/>
              <w:widowControl w:val="0"/>
              <w:shd w:val="clear" w:color="auto" w:fill="FFFFFF" w:themeFill="background1"/>
              <w:spacing w:line="276" w:lineRule="auto"/>
              <w:jc w:val="right"/>
              <w:rPr>
                <w:rFonts w:eastAsia="Times New Roman"/>
                <w:color w:val="auto"/>
                <w:sz w:val="20"/>
              </w:rPr>
            </w:pPr>
            <w:r w:rsidRPr="006D0778">
              <w:rPr>
                <w:rFonts w:eastAsia="Times New Roman"/>
                <w:color w:val="auto"/>
                <w:sz w:val="20"/>
              </w:rPr>
              <w:t>2023</w:t>
            </w:r>
          </w:p>
        </w:tc>
        <w:tc>
          <w:tcPr>
            <w:tcW w:w="644" w:type="pct"/>
            <w:tcBorders>
              <w:top w:val="single" w:sz="4" w:space="0" w:color="002060"/>
              <w:bottom w:val="single" w:sz="4" w:space="0" w:color="002060"/>
            </w:tcBorders>
            <w:shd w:val="clear" w:color="auto" w:fill="FFFFFF" w:themeFill="background1"/>
          </w:tcPr>
          <w:p w14:paraId="106A7F55" w14:textId="77777777" w:rsidR="006D0778" w:rsidRPr="006D0778" w:rsidRDefault="006D0778" w:rsidP="006D0778">
            <w:pPr>
              <w:keepNext/>
              <w:widowControl w:val="0"/>
              <w:shd w:val="clear" w:color="auto" w:fill="FFFFFF" w:themeFill="background1"/>
              <w:spacing w:line="276" w:lineRule="auto"/>
              <w:jc w:val="right"/>
              <w:rPr>
                <w:rFonts w:eastAsia="Times New Roman"/>
                <w:color w:val="auto"/>
                <w:sz w:val="20"/>
              </w:rPr>
            </w:pPr>
            <w:r w:rsidRPr="006D0778">
              <w:rPr>
                <w:rFonts w:eastAsia="Times New Roman"/>
                <w:color w:val="auto"/>
                <w:sz w:val="20"/>
              </w:rPr>
              <w:t>2024</w:t>
            </w:r>
          </w:p>
        </w:tc>
        <w:tc>
          <w:tcPr>
            <w:tcW w:w="581" w:type="pct"/>
            <w:tcBorders>
              <w:top w:val="single" w:sz="4" w:space="0" w:color="002060"/>
              <w:bottom w:val="single" w:sz="4" w:space="0" w:color="002060"/>
            </w:tcBorders>
            <w:shd w:val="clear" w:color="auto" w:fill="FFFFFF" w:themeFill="background1"/>
          </w:tcPr>
          <w:p w14:paraId="60A391C8" w14:textId="77777777" w:rsidR="006D0778" w:rsidRPr="006D0778" w:rsidRDefault="006D0778" w:rsidP="006D0778">
            <w:pPr>
              <w:keepNext/>
              <w:widowControl w:val="0"/>
              <w:shd w:val="clear" w:color="auto" w:fill="FFFFFF" w:themeFill="background1"/>
              <w:spacing w:line="276" w:lineRule="auto"/>
              <w:jc w:val="right"/>
              <w:rPr>
                <w:rFonts w:eastAsia="Times New Roman"/>
                <w:color w:val="auto"/>
                <w:sz w:val="20"/>
              </w:rPr>
            </w:pPr>
            <w:r w:rsidRPr="006D0778">
              <w:rPr>
                <w:rFonts w:eastAsia="Times New Roman"/>
                <w:color w:val="auto"/>
                <w:sz w:val="20"/>
              </w:rPr>
              <w:t>2025</w:t>
            </w:r>
          </w:p>
        </w:tc>
        <w:tc>
          <w:tcPr>
            <w:tcW w:w="581" w:type="pct"/>
            <w:tcBorders>
              <w:top w:val="single" w:sz="4" w:space="0" w:color="002060"/>
              <w:bottom w:val="single" w:sz="4" w:space="0" w:color="002060"/>
            </w:tcBorders>
            <w:shd w:val="clear" w:color="auto" w:fill="FFFFFF" w:themeFill="background1"/>
          </w:tcPr>
          <w:p w14:paraId="7E1C7E71" w14:textId="77777777" w:rsidR="006D0778" w:rsidRPr="006D0778" w:rsidRDefault="006D0778" w:rsidP="006D0778">
            <w:pPr>
              <w:keepNext/>
              <w:widowControl w:val="0"/>
              <w:shd w:val="clear" w:color="auto" w:fill="FFFFFF" w:themeFill="background1"/>
              <w:spacing w:line="276" w:lineRule="auto"/>
              <w:jc w:val="right"/>
              <w:rPr>
                <w:rFonts w:eastAsia="Times New Roman"/>
                <w:color w:val="auto"/>
                <w:sz w:val="20"/>
              </w:rPr>
            </w:pPr>
            <w:r w:rsidRPr="006D0778">
              <w:rPr>
                <w:rFonts w:eastAsia="Times New Roman"/>
                <w:color w:val="auto"/>
                <w:sz w:val="20"/>
              </w:rPr>
              <w:t>2026</w:t>
            </w:r>
          </w:p>
        </w:tc>
        <w:tc>
          <w:tcPr>
            <w:tcW w:w="583" w:type="pct"/>
            <w:tcBorders>
              <w:top w:val="single" w:sz="4" w:space="0" w:color="002060"/>
              <w:bottom w:val="single" w:sz="4" w:space="0" w:color="002060"/>
            </w:tcBorders>
            <w:shd w:val="clear" w:color="auto" w:fill="FFFFFF" w:themeFill="background1"/>
          </w:tcPr>
          <w:p w14:paraId="262BBE9F" w14:textId="77777777" w:rsidR="006D0778" w:rsidRPr="006D0778" w:rsidRDefault="006D0778" w:rsidP="006D0778">
            <w:pPr>
              <w:keepNext/>
              <w:widowControl w:val="0"/>
              <w:shd w:val="clear" w:color="auto" w:fill="FFFFFF" w:themeFill="background1"/>
              <w:spacing w:line="276" w:lineRule="auto"/>
              <w:jc w:val="right"/>
              <w:rPr>
                <w:rFonts w:eastAsia="Times New Roman"/>
                <w:color w:val="auto"/>
                <w:sz w:val="20"/>
              </w:rPr>
            </w:pPr>
            <w:r w:rsidRPr="006D0778">
              <w:rPr>
                <w:rFonts w:eastAsia="Times New Roman"/>
                <w:color w:val="auto"/>
                <w:sz w:val="20"/>
              </w:rPr>
              <w:t>2027</w:t>
            </w:r>
          </w:p>
        </w:tc>
      </w:tr>
      <w:tr w:rsidR="006D0778" w:rsidRPr="006D0778" w14:paraId="0C660026" w14:textId="77777777" w:rsidTr="00D2109C">
        <w:trPr>
          <w:cnfStyle w:val="000000100000" w:firstRow="0" w:lastRow="0" w:firstColumn="0" w:lastColumn="0" w:oddVBand="0" w:evenVBand="0" w:oddHBand="1" w:evenHBand="0" w:firstRowFirstColumn="0" w:firstRowLastColumn="0" w:lastRowFirstColumn="0" w:lastRowLastColumn="0"/>
          <w:trHeight w:hRule="exact" w:val="284"/>
        </w:trPr>
        <w:tc>
          <w:tcPr>
            <w:tcW w:w="1967" w:type="pct"/>
            <w:tcBorders>
              <w:top w:val="nil"/>
            </w:tcBorders>
            <w:shd w:val="clear" w:color="auto" w:fill="FFFFFF" w:themeFill="background1"/>
          </w:tcPr>
          <w:p w14:paraId="6BD78E3D" w14:textId="77777777" w:rsidR="006D0778" w:rsidRPr="006D0778" w:rsidRDefault="006D0778" w:rsidP="006D0778">
            <w:pPr>
              <w:widowControl w:val="0"/>
              <w:shd w:val="clear" w:color="auto" w:fill="FFFFFF" w:themeFill="background1"/>
              <w:spacing w:line="276" w:lineRule="auto"/>
              <w:rPr>
                <w:color w:val="auto"/>
                <w:sz w:val="20"/>
              </w:rPr>
            </w:pPr>
            <w:r w:rsidRPr="006D0778">
              <w:rPr>
                <w:color w:val="auto"/>
                <w:sz w:val="20"/>
              </w:rPr>
              <w:t>ЈАВНИ РАСХОДИ</w:t>
            </w:r>
          </w:p>
        </w:tc>
        <w:tc>
          <w:tcPr>
            <w:tcW w:w="644" w:type="pct"/>
            <w:tcBorders>
              <w:top w:val="single" w:sz="4" w:space="0" w:color="002060"/>
            </w:tcBorders>
            <w:shd w:val="clear" w:color="auto" w:fill="FFFFFF" w:themeFill="background1"/>
          </w:tcPr>
          <w:p w14:paraId="4778B75D"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41,4</w:t>
            </w:r>
          </w:p>
        </w:tc>
        <w:tc>
          <w:tcPr>
            <w:tcW w:w="644" w:type="pct"/>
            <w:tcBorders>
              <w:top w:val="single" w:sz="4" w:space="0" w:color="002060"/>
            </w:tcBorders>
            <w:shd w:val="clear" w:color="auto" w:fill="FFFFFF" w:themeFill="background1"/>
            <w:noWrap/>
          </w:tcPr>
          <w:p w14:paraId="7D1F58B4"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43,6</w:t>
            </w:r>
          </w:p>
        </w:tc>
        <w:tc>
          <w:tcPr>
            <w:tcW w:w="581" w:type="pct"/>
            <w:tcBorders>
              <w:top w:val="single" w:sz="4" w:space="0" w:color="002060"/>
            </w:tcBorders>
            <w:shd w:val="clear" w:color="auto" w:fill="FFFFFF" w:themeFill="background1"/>
            <w:noWrap/>
          </w:tcPr>
          <w:p w14:paraId="369ADD23"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44,3</w:t>
            </w:r>
          </w:p>
        </w:tc>
        <w:tc>
          <w:tcPr>
            <w:tcW w:w="581" w:type="pct"/>
            <w:tcBorders>
              <w:top w:val="single" w:sz="4" w:space="0" w:color="002060"/>
            </w:tcBorders>
            <w:shd w:val="clear" w:color="auto" w:fill="FFFFFF" w:themeFill="background1"/>
            <w:noWrap/>
          </w:tcPr>
          <w:p w14:paraId="6E226958"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43,9</w:t>
            </w:r>
          </w:p>
        </w:tc>
        <w:tc>
          <w:tcPr>
            <w:tcW w:w="583" w:type="pct"/>
            <w:tcBorders>
              <w:top w:val="single" w:sz="4" w:space="0" w:color="002060"/>
            </w:tcBorders>
            <w:shd w:val="clear" w:color="auto" w:fill="FFFFFF" w:themeFill="background1"/>
            <w:noWrap/>
          </w:tcPr>
          <w:p w14:paraId="393048CF"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43,5</w:t>
            </w:r>
          </w:p>
        </w:tc>
      </w:tr>
      <w:tr w:rsidR="006D0778" w:rsidRPr="006D0778" w14:paraId="7FD8B24C" w14:textId="77777777" w:rsidTr="00D2109C">
        <w:trPr>
          <w:trHeight w:hRule="exact" w:val="284"/>
        </w:trPr>
        <w:tc>
          <w:tcPr>
            <w:tcW w:w="1967" w:type="pct"/>
            <w:shd w:val="clear" w:color="auto" w:fill="FFFFFF" w:themeFill="background1"/>
          </w:tcPr>
          <w:p w14:paraId="40206834" w14:textId="77777777" w:rsidR="006D0778" w:rsidRPr="006D0778" w:rsidRDefault="006D0778" w:rsidP="006D0778">
            <w:pPr>
              <w:widowControl w:val="0"/>
              <w:shd w:val="clear" w:color="auto" w:fill="FFFFFF" w:themeFill="background1"/>
              <w:spacing w:line="276" w:lineRule="auto"/>
              <w:rPr>
                <w:rFonts w:eastAsia="Times New Roman"/>
                <w:bCs/>
                <w:color w:val="auto"/>
                <w:sz w:val="20"/>
              </w:rPr>
            </w:pPr>
            <w:r w:rsidRPr="006D0778">
              <w:rPr>
                <w:rFonts w:eastAsia="Times New Roman"/>
                <w:bCs/>
                <w:color w:val="auto"/>
                <w:sz w:val="20"/>
              </w:rPr>
              <w:t xml:space="preserve"> Текући расходи</w:t>
            </w:r>
          </w:p>
        </w:tc>
        <w:tc>
          <w:tcPr>
            <w:tcW w:w="644" w:type="pct"/>
            <w:shd w:val="clear" w:color="auto" w:fill="FFFFFF" w:themeFill="background1"/>
          </w:tcPr>
          <w:p w14:paraId="364A67C9"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33,9</w:t>
            </w:r>
          </w:p>
        </w:tc>
        <w:tc>
          <w:tcPr>
            <w:tcW w:w="644" w:type="pct"/>
            <w:shd w:val="clear" w:color="auto" w:fill="FFFFFF" w:themeFill="background1"/>
            <w:noWrap/>
          </w:tcPr>
          <w:p w14:paraId="5F7C5C24"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35,7</w:t>
            </w:r>
          </w:p>
        </w:tc>
        <w:tc>
          <w:tcPr>
            <w:tcW w:w="581" w:type="pct"/>
            <w:shd w:val="clear" w:color="auto" w:fill="FFFFFF" w:themeFill="background1"/>
            <w:noWrap/>
          </w:tcPr>
          <w:p w14:paraId="40E7ADEA"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36,5</w:t>
            </w:r>
          </w:p>
        </w:tc>
        <w:tc>
          <w:tcPr>
            <w:tcW w:w="581" w:type="pct"/>
            <w:shd w:val="clear" w:color="auto" w:fill="FFFFFF" w:themeFill="background1"/>
            <w:noWrap/>
          </w:tcPr>
          <w:p w14:paraId="1307C5DF"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36,3</w:t>
            </w:r>
          </w:p>
        </w:tc>
        <w:tc>
          <w:tcPr>
            <w:tcW w:w="583" w:type="pct"/>
            <w:shd w:val="clear" w:color="auto" w:fill="FFFFFF" w:themeFill="background1"/>
            <w:noWrap/>
          </w:tcPr>
          <w:p w14:paraId="2C3ECA03"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35,7</w:t>
            </w:r>
          </w:p>
        </w:tc>
      </w:tr>
      <w:tr w:rsidR="006D0778" w:rsidRPr="006D0778" w14:paraId="43D9A160" w14:textId="77777777" w:rsidTr="00D2109C">
        <w:trPr>
          <w:cnfStyle w:val="000000100000" w:firstRow="0" w:lastRow="0" w:firstColumn="0" w:lastColumn="0" w:oddVBand="0" w:evenVBand="0" w:oddHBand="1" w:evenHBand="0" w:firstRowFirstColumn="0" w:firstRowLastColumn="0" w:lastRowFirstColumn="0" w:lastRowLastColumn="0"/>
          <w:trHeight w:hRule="exact" w:val="284"/>
        </w:trPr>
        <w:tc>
          <w:tcPr>
            <w:tcW w:w="1967" w:type="pct"/>
            <w:shd w:val="clear" w:color="auto" w:fill="FFFFFF" w:themeFill="background1"/>
          </w:tcPr>
          <w:p w14:paraId="373D0C50" w14:textId="77777777" w:rsidR="006D0778" w:rsidRPr="006D0778" w:rsidRDefault="006D0778" w:rsidP="006D0778">
            <w:pPr>
              <w:widowControl w:val="0"/>
              <w:shd w:val="clear" w:color="auto" w:fill="FFFFFF" w:themeFill="background1"/>
              <w:spacing w:line="276" w:lineRule="auto"/>
              <w:ind w:left="284"/>
              <w:rPr>
                <w:rFonts w:eastAsia="Times New Roman"/>
                <w:bCs/>
                <w:color w:val="auto"/>
                <w:sz w:val="20"/>
              </w:rPr>
            </w:pPr>
            <w:r w:rsidRPr="006D0778">
              <w:rPr>
                <w:rFonts w:eastAsia="Times New Roman"/>
                <w:bCs/>
                <w:color w:val="auto"/>
                <w:sz w:val="20"/>
              </w:rPr>
              <w:t>Расходи за запослене</w:t>
            </w:r>
          </w:p>
        </w:tc>
        <w:tc>
          <w:tcPr>
            <w:tcW w:w="644" w:type="pct"/>
            <w:shd w:val="clear" w:color="auto" w:fill="FFFFFF" w:themeFill="background1"/>
          </w:tcPr>
          <w:p w14:paraId="3C0E38E5"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8,8</w:t>
            </w:r>
          </w:p>
        </w:tc>
        <w:tc>
          <w:tcPr>
            <w:tcW w:w="644" w:type="pct"/>
            <w:shd w:val="clear" w:color="auto" w:fill="FFFFFF" w:themeFill="background1"/>
            <w:noWrap/>
          </w:tcPr>
          <w:p w14:paraId="08A98F3F"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9,5</w:t>
            </w:r>
          </w:p>
        </w:tc>
        <w:tc>
          <w:tcPr>
            <w:tcW w:w="581" w:type="pct"/>
            <w:shd w:val="clear" w:color="auto" w:fill="FFFFFF" w:themeFill="background1"/>
            <w:noWrap/>
          </w:tcPr>
          <w:p w14:paraId="6BE9267F"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9,8</w:t>
            </w:r>
          </w:p>
        </w:tc>
        <w:tc>
          <w:tcPr>
            <w:tcW w:w="581" w:type="pct"/>
            <w:shd w:val="clear" w:color="auto" w:fill="FFFFFF" w:themeFill="background1"/>
            <w:noWrap/>
          </w:tcPr>
          <w:p w14:paraId="6A76C255"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9,8</w:t>
            </w:r>
          </w:p>
        </w:tc>
        <w:tc>
          <w:tcPr>
            <w:tcW w:w="583" w:type="pct"/>
            <w:shd w:val="clear" w:color="auto" w:fill="FFFFFF" w:themeFill="background1"/>
            <w:noWrap/>
          </w:tcPr>
          <w:p w14:paraId="690A1BCE"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9,8</w:t>
            </w:r>
          </w:p>
        </w:tc>
      </w:tr>
      <w:tr w:rsidR="006D0778" w:rsidRPr="006D0778" w14:paraId="05B715E1" w14:textId="77777777" w:rsidTr="00D2109C">
        <w:trPr>
          <w:trHeight w:hRule="exact" w:val="284"/>
        </w:trPr>
        <w:tc>
          <w:tcPr>
            <w:tcW w:w="1967" w:type="pct"/>
            <w:shd w:val="clear" w:color="auto" w:fill="FFFFFF" w:themeFill="background1"/>
          </w:tcPr>
          <w:p w14:paraId="0F10BD2A" w14:textId="77777777" w:rsidR="006D0778" w:rsidRPr="006D0778" w:rsidRDefault="006D0778" w:rsidP="006D0778">
            <w:pPr>
              <w:widowControl w:val="0"/>
              <w:shd w:val="clear" w:color="auto" w:fill="FFFFFF" w:themeFill="background1"/>
              <w:spacing w:line="276" w:lineRule="auto"/>
              <w:ind w:left="284"/>
              <w:rPr>
                <w:rFonts w:eastAsia="Times New Roman"/>
                <w:bCs/>
                <w:color w:val="auto"/>
                <w:sz w:val="20"/>
              </w:rPr>
            </w:pPr>
            <w:r w:rsidRPr="006D0778">
              <w:rPr>
                <w:rFonts w:eastAsia="Times New Roman"/>
                <w:bCs/>
                <w:color w:val="auto"/>
                <w:sz w:val="20"/>
              </w:rPr>
              <w:t>Куповина робе и услуга</w:t>
            </w:r>
          </w:p>
        </w:tc>
        <w:tc>
          <w:tcPr>
            <w:tcW w:w="644" w:type="pct"/>
            <w:shd w:val="clear" w:color="auto" w:fill="FFFFFF" w:themeFill="background1"/>
          </w:tcPr>
          <w:p w14:paraId="1035AD35"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7,1</w:t>
            </w:r>
          </w:p>
        </w:tc>
        <w:tc>
          <w:tcPr>
            <w:tcW w:w="644" w:type="pct"/>
            <w:shd w:val="clear" w:color="auto" w:fill="FFFFFF" w:themeFill="background1"/>
            <w:noWrap/>
          </w:tcPr>
          <w:p w14:paraId="76427F86"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7,4</w:t>
            </w:r>
          </w:p>
        </w:tc>
        <w:tc>
          <w:tcPr>
            <w:tcW w:w="581" w:type="pct"/>
            <w:shd w:val="clear" w:color="auto" w:fill="FFFFFF" w:themeFill="background1"/>
            <w:noWrap/>
          </w:tcPr>
          <w:p w14:paraId="70233D80"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7,9</w:t>
            </w:r>
          </w:p>
        </w:tc>
        <w:tc>
          <w:tcPr>
            <w:tcW w:w="581" w:type="pct"/>
            <w:shd w:val="clear" w:color="auto" w:fill="FFFFFF" w:themeFill="background1"/>
            <w:noWrap/>
          </w:tcPr>
          <w:p w14:paraId="12FB413A"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7,8</w:t>
            </w:r>
          </w:p>
        </w:tc>
        <w:tc>
          <w:tcPr>
            <w:tcW w:w="583" w:type="pct"/>
            <w:shd w:val="clear" w:color="auto" w:fill="FFFFFF" w:themeFill="background1"/>
            <w:noWrap/>
          </w:tcPr>
          <w:p w14:paraId="4C020CEF"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7,7</w:t>
            </w:r>
          </w:p>
        </w:tc>
      </w:tr>
      <w:tr w:rsidR="006D0778" w:rsidRPr="006D0778" w14:paraId="61704EBD" w14:textId="77777777" w:rsidTr="00D2109C">
        <w:trPr>
          <w:cnfStyle w:val="000000100000" w:firstRow="0" w:lastRow="0" w:firstColumn="0" w:lastColumn="0" w:oddVBand="0" w:evenVBand="0" w:oddHBand="1" w:evenHBand="0" w:firstRowFirstColumn="0" w:firstRowLastColumn="0" w:lastRowFirstColumn="0" w:lastRowLastColumn="0"/>
          <w:trHeight w:hRule="exact" w:val="284"/>
        </w:trPr>
        <w:tc>
          <w:tcPr>
            <w:tcW w:w="1967" w:type="pct"/>
            <w:shd w:val="clear" w:color="auto" w:fill="FFFFFF" w:themeFill="background1"/>
          </w:tcPr>
          <w:p w14:paraId="5BCEFF2D" w14:textId="77777777" w:rsidR="006D0778" w:rsidRPr="006D0778" w:rsidRDefault="006D0778" w:rsidP="006D0778">
            <w:pPr>
              <w:widowControl w:val="0"/>
              <w:shd w:val="clear" w:color="auto" w:fill="FFFFFF" w:themeFill="background1"/>
              <w:spacing w:line="276" w:lineRule="auto"/>
              <w:ind w:left="284"/>
              <w:rPr>
                <w:rFonts w:eastAsia="Times New Roman"/>
                <w:bCs/>
                <w:color w:val="auto"/>
                <w:sz w:val="20"/>
              </w:rPr>
            </w:pPr>
            <w:r w:rsidRPr="006D0778">
              <w:rPr>
                <w:rFonts w:eastAsia="Times New Roman"/>
                <w:bCs/>
                <w:color w:val="auto"/>
                <w:sz w:val="20"/>
              </w:rPr>
              <w:t>Отплата камата</w:t>
            </w:r>
          </w:p>
        </w:tc>
        <w:tc>
          <w:tcPr>
            <w:tcW w:w="644" w:type="pct"/>
            <w:shd w:val="clear" w:color="auto" w:fill="FFFFFF" w:themeFill="background1"/>
          </w:tcPr>
          <w:p w14:paraId="2F204228"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1,7</w:t>
            </w:r>
          </w:p>
        </w:tc>
        <w:tc>
          <w:tcPr>
            <w:tcW w:w="644" w:type="pct"/>
            <w:shd w:val="clear" w:color="auto" w:fill="FFFFFF" w:themeFill="background1"/>
            <w:noWrap/>
          </w:tcPr>
          <w:p w14:paraId="0396C616"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2,0</w:t>
            </w:r>
          </w:p>
        </w:tc>
        <w:tc>
          <w:tcPr>
            <w:tcW w:w="581" w:type="pct"/>
            <w:shd w:val="clear" w:color="auto" w:fill="FFFFFF" w:themeFill="background1"/>
            <w:noWrap/>
          </w:tcPr>
          <w:p w14:paraId="4A39ED65"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2,2</w:t>
            </w:r>
          </w:p>
        </w:tc>
        <w:tc>
          <w:tcPr>
            <w:tcW w:w="581" w:type="pct"/>
            <w:shd w:val="clear" w:color="auto" w:fill="FFFFFF" w:themeFill="background1"/>
            <w:noWrap/>
          </w:tcPr>
          <w:p w14:paraId="2B550666"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2,1</w:t>
            </w:r>
          </w:p>
        </w:tc>
        <w:tc>
          <w:tcPr>
            <w:tcW w:w="583" w:type="pct"/>
            <w:shd w:val="clear" w:color="auto" w:fill="FFFFFF" w:themeFill="background1"/>
            <w:noWrap/>
          </w:tcPr>
          <w:p w14:paraId="77E32E33"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2,0</w:t>
            </w:r>
          </w:p>
        </w:tc>
      </w:tr>
      <w:tr w:rsidR="006D0778" w:rsidRPr="006D0778" w14:paraId="65F2E013" w14:textId="77777777" w:rsidTr="00D2109C">
        <w:trPr>
          <w:trHeight w:hRule="exact" w:val="284"/>
        </w:trPr>
        <w:tc>
          <w:tcPr>
            <w:tcW w:w="1967" w:type="pct"/>
            <w:shd w:val="clear" w:color="auto" w:fill="FFFFFF" w:themeFill="background1"/>
          </w:tcPr>
          <w:p w14:paraId="2C899E60" w14:textId="77777777" w:rsidR="006D0778" w:rsidRPr="006D0778" w:rsidRDefault="006D0778" w:rsidP="006D0778">
            <w:pPr>
              <w:widowControl w:val="0"/>
              <w:shd w:val="clear" w:color="auto" w:fill="FFFFFF" w:themeFill="background1"/>
              <w:spacing w:line="276" w:lineRule="auto"/>
              <w:ind w:left="284"/>
              <w:rPr>
                <w:rFonts w:eastAsia="Times New Roman"/>
                <w:bCs/>
                <w:color w:val="auto"/>
                <w:sz w:val="20"/>
              </w:rPr>
            </w:pPr>
            <w:r w:rsidRPr="006D0778">
              <w:rPr>
                <w:rFonts w:eastAsia="Times New Roman"/>
                <w:bCs/>
                <w:color w:val="auto"/>
                <w:sz w:val="20"/>
              </w:rPr>
              <w:t>Субвенције</w:t>
            </w:r>
          </w:p>
        </w:tc>
        <w:tc>
          <w:tcPr>
            <w:tcW w:w="644" w:type="pct"/>
            <w:shd w:val="clear" w:color="auto" w:fill="FFFFFF" w:themeFill="background1"/>
          </w:tcPr>
          <w:p w14:paraId="368D8A10"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2,4</w:t>
            </w:r>
          </w:p>
        </w:tc>
        <w:tc>
          <w:tcPr>
            <w:tcW w:w="644" w:type="pct"/>
            <w:shd w:val="clear" w:color="auto" w:fill="FFFFFF" w:themeFill="background1"/>
            <w:noWrap/>
          </w:tcPr>
          <w:p w14:paraId="6EF662B3"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2,5</w:t>
            </w:r>
          </w:p>
        </w:tc>
        <w:tc>
          <w:tcPr>
            <w:tcW w:w="581" w:type="pct"/>
            <w:shd w:val="clear" w:color="auto" w:fill="FFFFFF" w:themeFill="background1"/>
            <w:noWrap/>
          </w:tcPr>
          <w:p w14:paraId="7D355387"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2,4</w:t>
            </w:r>
          </w:p>
        </w:tc>
        <w:tc>
          <w:tcPr>
            <w:tcW w:w="581" w:type="pct"/>
            <w:shd w:val="clear" w:color="auto" w:fill="FFFFFF" w:themeFill="background1"/>
            <w:noWrap/>
          </w:tcPr>
          <w:p w14:paraId="01D24E78"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2,4</w:t>
            </w:r>
          </w:p>
        </w:tc>
        <w:tc>
          <w:tcPr>
            <w:tcW w:w="583" w:type="pct"/>
            <w:shd w:val="clear" w:color="auto" w:fill="FFFFFF" w:themeFill="background1"/>
            <w:noWrap/>
          </w:tcPr>
          <w:p w14:paraId="7C18FEC6"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2,2</w:t>
            </w:r>
          </w:p>
        </w:tc>
      </w:tr>
      <w:tr w:rsidR="006D0778" w:rsidRPr="006D0778" w14:paraId="1DCBED4D" w14:textId="77777777" w:rsidTr="00D2109C">
        <w:trPr>
          <w:cnfStyle w:val="000000100000" w:firstRow="0" w:lastRow="0" w:firstColumn="0" w:lastColumn="0" w:oddVBand="0" w:evenVBand="0" w:oddHBand="1" w:evenHBand="0" w:firstRowFirstColumn="0" w:firstRowLastColumn="0" w:lastRowFirstColumn="0" w:lastRowLastColumn="0"/>
          <w:trHeight w:hRule="exact" w:val="284"/>
        </w:trPr>
        <w:tc>
          <w:tcPr>
            <w:tcW w:w="1967" w:type="pct"/>
            <w:shd w:val="clear" w:color="auto" w:fill="FFFFFF" w:themeFill="background1"/>
          </w:tcPr>
          <w:p w14:paraId="318B2A45" w14:textId="77777777" w:rsidR="006D0778" w:rsidRPr="006D0778" w:rsidRDefault="006D0778" w:rsidP="006D0778">
            <w:pPr>
              <w:widowControl w:val="0"/>
              <w:shd w:val="clear" w:color="auto" w:fill="FFFFFF" w:themeFill="background1"/>
              <w:spacing w:line="276" w:lineRule="auto"/>
              <w:ind w:left="284"/>
              <w:rPr>
                <w:rFonts w:eastAsia="Times New Roman"/>
                <w:bCs/>
                <w:color w:val="auto"/>
                <w:sz w:val="20"/>
              </w:rPr>
            </w:pPr>
            <w:r w:rsidRPr="006D0778">
              <w:rPr>
                <w:rFonts w:eastAsia="Times New Roman"/>
                <w:bCs/>
                <w:color w:val="auto"/>
                <w:sz w:val="20"/>
              </w:rPr>
              <w:lastRenderedPageBreak/>
              <w:t>Социјална помоћ и трансфери</w:t>
            </w:r>
          </w:p>
        </w:tc>
        <w:tc>
          <w:tcPr>
            <w:tcW w:w="644" w:type="pct"/>
            <w:shd w:val="clear" w:color="auto" w:fill="FFFFFF" w:themeFill="background1"/>
          </w:tcPr>
          <w:p w14:paraId="42E16C16"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12,5</w:t>
            </w:r>
          </w:p>
        </w:tc>
        <w:tc>
          <w:tcPr>
            <w:tcW w:w="644" w:type="pct"/>
            <w:shd w:val="clear" w:color="auto" w:fill="FFFFFF" w:themeFill="background1"/>
            <w:noWrap/>
          </w:tcPr>
          <w:p w14:paraId="5CFC6BB8"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13,0</w:t>
            </w:r>
          </w:p>
        </w:tc>
        <w:tc>
          <w:tcPr>
            <w:tcW w:w="581" w:type="pct"/>
            <w:shd w:val="clear" w:color="auto" w:fill="FFFFFF" w:themeFill="background1"/>
            <w:noWrap/>
          </w:tcPr>
          <w:p w14:paraId="5ABD68FA"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13,0</w:t>
            </w:r>
          </w:p>
        </w:tc>
        <w:tc>
          <w:tcPr>
            <w:tcW w:w="581" w:type="pct"/>
            <w:shd w:val="clear" w:color="auto" w:fill="FFFFFF" w:themeFill="background1"/>
            <w:noWrap/>
          </w:tcPr>
          <w:p w14:paraId="2F7137AE"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13,1</w:t>
            </w:r>
          </w:p>
        </w:tc>
        <w:tc>
          <w:tcPr>
            <w:tcW w:w="583" w:type="pct"/>
            <w:shd w:val="clear" w:color="auto" w:fill="FFFFFF" w:themeFill="background1"/>
            <w:noWrap/>
          </w:tcPr>
          <w:p w14:paraId="2571E787"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12,8</w:t>
            </w:r>
          </w:p>
        </w:tc>
      </w:tr>
      <w:tr w:rsidR="006D0778" w:rsidRPr="006D0778" w14:paraId="2B736417" w14:textId="77777777" w:rsidTr="00D2109C">
        <w:trPr>
          <w:trHeight w:hRule="exact" w:val="284"/>
        </w:trPr>
        <w:tc>
          <w:tcPr>
            <w:tcW w:w="1967" w:type="pct"/>
            <w:shd w:val="clear" w:color="auto" w:fill="FFFFFF" w:themeFill="background1"/>
          </w:tcPr>
          <w:p w14:paraId="335B72D9" w14:textId="77777777" w:rsidR="006D0778" w:rsidRPr="006D0778" w:rsidRDefault="006D0778" w:rsidP="006D0778">
            <w:pPr>
              <w:widowControl w:val="0"/>
              <w:shd w:val="clear" w:color="auto" w:fill="FFFFFF" w:themeFill="background1"/>
              <w:spacing w:line="276" w:lineRule="auto"/>
              <w:ind w:left="397"/>
              <w:rPr>
                <w:rFonts w:eastAsia="Times New Roman"/>
                <w:bCs/>
                <w:i/>
                <w:color w:val="auto"/>
                <w:sz w:val="20"/>
              </w:rPr>
            </w:pPr>
            <w:r w:rsidRPr="006D0778">
              <w:rPr>
                <w:rFonts w:eastAsia="Times New Roman"/>
                <w:bCs/>
                <w:i/>
                <w:color w:val="auto"/>
                <w:sz w:val="20"/>
              </w:rPr>
              <w:t>од чега пензије</w:t>
            </w:r>
          </w:p>
        </w:tc>
        <w:tc>
          <w:tcPr>
            <w:tcW w:w="644" w:type="pct"/>
            <w:shd w:val="clear" w:color="auto" w:fill="FFFFFF" w:themeFill="background1"/>
          </w:tcPr>
          <w:p w14:paraId="5651BA6F" w14:textId="77777777" w:rsidR="006D0778" w:rsidRPr="006D0778" w:rsidRDefault="006D0778" w:rsidP="006D0778">
            <w:pPr>
              <w:shd w:val="clear" w:color="auto" w:fill="FFFFFF" w:themeFill="background1"/>
              <w:spacing w:line="276" w:lineRule="auto"/>
              <w:jc w:val="right"/>
              <w:rPr>
                <w:i/>
                <w:color w:val="auto"/>
                <w:sz w:val="20"/>
              </w:rPr>
            </w:pPr>
            <w:r w:rsidRPr="006D0778">
              <w:rPr>
                <w:i/>
                <w:color w:val="auto"/>
                <w:sz w:val="20"/>
              </w:rPr>
              <w:t>8,8</w:t>
            </w:r>
          </w:p>
        </w:tc>
        <w:tc>
          <w:tcPr>
            <w:tcW w:w="644" w:type="pct"/>
            <w:shd w:val="clear" w:color="auto" w:fill="FFFFFF" w:themeFill="background1"/>
            <w:noWrap/>
          </w:tcPr>
          <w:p w14:paraId="186A18BB" w14:textId="77777777" w:rsidR="006D0778" w:rsidRPr="006D0778" w:rsidRDefault="006D0778" w:rsidP="006D0778">
            <w:pPr>
              <w:shd w:val="clear" w:color="auto" w:fill="FFFFFF" w:themeFill="background1"/>
              <w:spacing w:line="276" w:lineRule="auto"/>
              <w:jc w:val="right"/>
              <w:rPr>
                <w:i/>
                <w:color w:val="auto"/>
                <w:sz w:val="20"/>
              </w:rPr>
            </w:pPr>
            <w:r w:rsidRPr="006D0778">
              <w:rPr>
                <w:i/>
                <w:color w:val="auto"/>
                <w:sz w:val="20"/>
              </w:rPr>
              <w:t>9,7</w:t>
            </w:r>
          </w:p>
        </w:tc>
        <w:tc>
          <w:tcPr>
            <w:tcW w:w="581" w:type="pct"/>
            <w:shd w:val="clear" w:color="auto" w:fill="FFFFFF" w:themeFill="background1"/>
            <w:noWrap/>
          </w:tcPr>
          <w:p w14:paraId="394380B2" w14:textId="77777777" w:rsidR="006D0778" w:rsidRPr="006D0778" w:rsidRDefault="006D0778" w:rsidP="006D0778">
            <w:pPr>
              <w:shd w:val="clear" w:color="auto" w:fill="FFFFFF" w:themeFill="background1"/>
              <w:spacing w:line="276" w:lineRule="auto"/>
              <w:jc w:val="right"/>
              <w:rPr>
                <w:i/>
                <w:color w:val="auto"/>
                <w:sz w:val="20"/>
              </w:rPr>
            </w:pPr>
            <w:r w:rsidRPr="006D0778">
              <w:rPr>
                <w:i/>
                <w:color w:val="auto"/>
                <w:sz w:val="20"/>
              </w:rPr>
              <w:t>10,1</w:t>
            </w:r>
          </w:p>
        </w:tc>
        <w:tc>
          <w:tcPr>
            <w:tcW w:w="581" w:type="pct"/>
            <w:shd w:val="clear" w:color="auto" w:fill="FFFFFF" w:themeFill="background1"/>
            <w:noWrap/>
          </w:tcPr>
          <w:p w14:paraId="6DAD006E" w14:textId="77777777" w:rsidR="006D0778" w:rsidRPr="006D0778" w:rsidRDefault="006D0778" w:rsidP="006D0778">
            <w:pPr>
              <w:shd w:val="clear" w:color="auto" w:fill="FFFFFF" w:themeFill="background1"/>
              <w:spacing w:line="276" w:lineRule="auto"/>
              <w:jc w:val="right"/>
              <w:rPr>
                <w:i/>
                <w:color w:val="auto"/>
                <w:sz w:val="20"/>
              </w:rPr>
            </w:pPr>
            <w:r w:rsidRPr="006D0778">
              <w:rPr>
                <w:i/>
                <w:color w:val="auto"/>
                <w:sz w:val="20"/>
              </w:rPr>
              <w:t>10,2</w:t>
            </w:r>
          </w:p>
        </w:tc>
        <w:tc>
          <w:tcPr>
            <w:tcW w:w="583" w:type="pct"/>
            <w:shd w:val="clear" w:color="auto" w:fill="FFFFFF" w:themeFill="background1"/>
            <w:noWrap/>
          </w:tcPr>
          <w:p w14:paraId="20F67F03" w14:textId="77777777" w:rsidR="006D0778" w:rsidRPr="006D0778" w:rsidRDefault="006D0778" w:rsidP="006D0778">
            <w:pPr>
              <w:shd w:val="clear" w:color="auto" w:fill="FFFFFF" w:themeFill="background1"/>
              <w:spacing w:line="276" w:lineRule="auto"/>
              <w:jc w:val="right"/>
              <w:rPr>
                <w:i/>
                <w:color w:val="auto"/>
                <w:sz w:val="20"/>
              </w:rPr>
            </w:pPr>
            <w:r w:rsidRPr="006D0778">
              <w:rPr>
                <w:i/>
                <w:color w:val="auto"/>
                <w:sz w:val="20"/>
              </w:rPr>
              <w:t>10,0</w:t>
            </w:r>
          </w:p>
        </w:tc>
      </w:tr>
      <w:tr w:rsidR="006D0778" w:rsidRPr="006D0778" w14:paraId="4B461414" w14:textId="77777777" w:rsidTr="00D2109C">
        <w:trPr>
          <w:cnfStyle w:val="000000100000" w:firstRow="0" w:lastRow="0" w:firstColumn="0" w:lastColumn="0" w:oddVBand="0" w:evenVBand="0" w:oddHBand="1" w:evenHBand="0" w:firstRowFirstColumn="0" w:firstRowLastColumn="0" w:lastRowFirstColumn="0" w:lastRowLastColumn="0"/>
          <w:trHeight w:hRule="exact" w:val="284"/>
        </w:trPr>
        <w:tc>
          <w:tcPr>
            <w:tcW w:w="1967" w:type="pct"/>
            <w:shd w:val="clear" w:color="auto" w:fill="FFFFFF" w:themeFill="background1"/>
          </w:tcPr>
          <w:p w14:paraId="04D3A392" w14:textId="77777777" w:rsidR="006D0778" w:rsidRPr="006D0778" w:rsidRDefault="006D0778" w:rsidP="006D0778">
            <w:pPr>
              <w:widowControl w:val="0"/>
              <w:shd w:val="clear" w:color="auto" w:fill="FFFFFF" w:themeFill="background1"/>
              <w:spacing w:line="276" w:lineRule="auto"/>
              <w:ind w:left="284"/>
              <w:rPr>
                <w:rFonts w:eastAsia="Times New Roman"/>
                <w:bCs/>
                <w:color w:val="auto"/>
                <w:sz w:val="20"/>
              </w:rPr>
            </w:pPr>
            <w:r w:rsidRPr="006D0778">
              <w:rPr>
                <w:rFonts w:eastAsia="Times New Roman"/>
                <w:bCs/>
                <w:color w:val="auto"/>
                <w:sz w:val="20"/>
              </w:rPr>
              <w:t>Остали текући расходи</w:t>
            </w:r>
          </w:p>
        </w:tc>
        <w:tc>
          <w:tcPr>
            <w:tcW w:w="644" w:type="pct"/>
            <w:shd w:val="clear" w:color="auto" w:fill="FFFFFF" w:themeFill="background1"/>
          </w:tcPr>
          <w:p w14:paraId="4636CA04"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1,4</w:t>
            </w:r>
          </w:p>
        </w:tc>
        <w:tc>
          <w:tcPr>
            <w:tcW w:w="644" w:type="pct"/>
            <w:shd w:val="clear" w:color="auto" w:fill="FFFFFF" w:themeFill="background1"/>
            <w:noWrap/>
          </w:tcPr>
          <w:p w14:paraId="3EF0DB36"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1,4</w:t>
            </w:r>
          </w:p>
        </w:tc>
        <w:tc>
          <w:tcPr>
            <w:tcW w:w="581" w:type="pct"/>
            <w:shd w:val="clear" w:color="auto" w:fill="FFFFFF" w:themeFill="background1"/>
            <w:noWrap/>
          </w:tcPr>
          <w:p w14:paraId="391685B4"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1,2</w:t>
            </w:r>
          </w:p>
        </w:tc>
        <w:tc>
          <w:tcPr>
            <w:tcW w:w="581" w:type="pct"/>
            <w:shd w:val="clear" w:color="auto" w:fill="FFFFFF" w:themeFill="background1"/>
            <w:noWrap/>
          </w:tcPr>
          <w:p w14:paraId="30141120"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1,1</w:t>
            </w:r>
          </w:p>
        </w:tc>
        <w:tc>
          <w:tcPr>
            <w:tcW w:w="583" w:type="pct"/>
            <w:shd w:val="clear" w:color="auto" w:fill="FFFFFF" w:themeFill="background1"/>
            <w:noWrap/>
          </w:tcPr>
          <w:p w14:paraId="0CE1BE16"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1,1</w:t>
            </w:r>
          </w:p>
        </w:tc>
      </w:tr>
      <w:tr w:rsidR="006D0778" w:rsidRPr="006D0778" w14:paraId="43524020" w14:textId="77777777" w:rsidTr="00D2109C">
        <w:trPr>
          <w:trHeight w:hRule="exact" w:val="284"/>
        </w:trPr>
        <w:tc>
          <w:tcPr>
            <w:tcW w:w="1967" w:type="pct"/>
            <w:shd w:val="clear" w:color="auto" w:fill="FFFFFF" w:themeFill="background1"/>
          </w:tcPr>
          <w:p w14:paraId="5A7D250C" w14:textId="77777777" w:rsidR="006D0778" w:rsidRPr="006D0778" w:rsidRDefault="006D0778" w:rsidP="006D0778">
            <w:pPr>
              <w:widowControl w:val="0"/>
              <w:shd w:val="clear" w:color="auto" w:fill="FFFFFF" w:themeFill="background1"/>
              <w:spacing w:line="276" w:lineRule="auto"/>
              <w:rPr>
                <w:rFonts w:eastAsia="Times New Roman"/>
                <w:bCs/>
                <w:color w:val="auto"/>
                <w:sz w:val="20"/>
              </w:rPr>
            </w:pPr>
            <w:r w:rsidRPr="006D0778">
              <w:rPr>
                <w:rFonts w:eastAsia="Times New Roman"/>
                <w:bCs/>
                <w:color w:val="auto"/>
                <w:sz w:val="20"/>
              </w:rPr>
              <w:t xml:space="preserve"> Капитални расходи</w:t>
            </w:r>
          </w:p>
        </w:tc>
        <w:tc>
          <w:tcPr>
            <w:tcW w:w="644" w:type="pct"/>
            <w:shd w:val="clear" w:color="auto" w:fill="FFFFFF" w:themeFill="background1"/>
          </w:tcPr>
          <w:p w14:paraId="0E0318C6"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6,4</w:t>
            </w:r>
          </w:p>
        </w:tc>
        <w:tc>
          <w:tcPr>
            <w:tcW w:w="644" w:type="pct"/>
            <w:shd w:val="clear" w:color="auto" w:fill="FFFFFF" w:themeFill="background1"/>
            <w:noWrap/>
          </w:tcPr>
          <w:p w14:paraId="27DA2E7C"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7,4</w:t>
            </w:r>
          </w:p>
        </w:tc>
        <w:tc>
          <w:tcPr>
            <w:tcW w:w="581" w:type="pct"/>
            <w:shd w:val="clear" w:color="auto" w:fill="FFFFFF" w:themeFill="background1"/>
            <w:noWrap/>
          </w:tcPr>
          <w:p w14:paraId="78361A9E"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7,4</w:t>
            </w:r>
          </w:p>
        </w:tc>
        <w:tc>
          <w:tcPr>
            <w:tcW w:w="581" w:type="pct"/>
            <w:shd w:val="clear" w:color="auto" w:fill="FFFFFF" w:themeFill="background1"/>
            <w:noWrap/>
          </w:tcPr>
          <w:p w14:paraId="4EA81BDB"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7,2</w:t>
            </w:r>
          </w:p>
        </w:tc>
        <w:tc>
          <w:tcPr>
            <w:tcW w:w="583" w:type="pct"/>
            <w:shd w:val="clear" w:color="auto" w:fill="FFFFFF" w:themeFill="background1"/>
            <w:noWrap/>
          </w:tcPr>
          <w:p w14:paraId="22416F29"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7,4</w:t>
            </w:r>
          </w:p>
        </w:tc>
      </w:tr>
      <w:tr w:rsidR="006D0778" w:rsidRPr="006D0778" w14:paraId="5986290C" w14:textId="77777777" w:rsidTr="00D2109C">
        <w:trPr>
          <w:cnfStyle w:val="000000100000" w:firstRow="0" w:lastRow="0" w:firstColumn="0" w:lastColumn="0" w:oddVBand="0" w:evenVBand="0" w:oddHBand="1" w:evenHBand="0" w:firstRowFirstColumn="0" w:firstRowLastColumn="0" w:lastRowFirstColumn="0" w:lastRowLastColumn="0"/>
          <w:trHeight w:hRule="exact" w:val="284"/>
        </w:trPr>
        <w:tc>
          <w:tcPr>
            <w:tcW w:w="1967" w:type="pct"/>
            <w:tcBorders>
              <w:bottom w:val="nil"/>
            </w:tcBorders>
            <w:shd w:val="clear" w:color="auto" w:fill="FFFFFF" w:themeFill="background1"/>
            <w:noWrap/>
          </w:tcPr>
          <w:p w14:paraId="4572E95C" w14:textId="77777777" w:rsidR="006D0778" w:rsidRPr="006D0778" w:rsidRDefault="006D0778" w:rsidP="006D0778">
            <w:pPr>
              <w:widowControl w:val="0"/>
              <w:shd w:val="clear" w:color="auto" w:fill="FFFFFF" w:themeFill="background1"/>
              <w:spacing w:line="276" w:lineRule="auto"/>
              <w:rPr>
                <w:rFonts w:eastAsia="Times New Roman"/>
                <w:bCs/>
                <w:color w:val="auto"/>
                <w:sz w:val="20"/>
              </w:rPr>
            </w:pPr>
            <w:r w:rsidRPr="006D0778">
              <w:rPr>
                <w:rFonts w:eastAsia="Times New Roman"/>
                <w:bCs/>
                <w:color w:val="auto"/>
                <w:sz w:val="20"/>
              </w:rPr>
              <w:t xml:space="preserve"> Нето буџетске позајмице</w:t>
            </w:r>
          </w:p>
        </w:tc>
        <w:tc>
          <w:tcPr>
            <w:tcW w:w="644" w:type="pct"/>
            <w:tcBorders>
              <w:bottom w:val="nil"/>
            </w:tcBorders>
            <w:shd w:val="clear" w:color="auto" w:fill="FFFFFF" w:themeFill="background1"/>
          </w:tcPr>
          <w:p w14:paraId="646F512D"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0,8</w:t>
            </w:r>
          </w:p>
        </w:tc>
        <w:tc>
          <w:tcPr>
            <w:tcW w:w="644" w:type="pct"/>
            <w:tcBorders>
              <w:bottom w:val="nil"/>
            </w:tcBorders>
            <w:shd w:val="clear" w:color="auto" w:fill="FFFFFF" w:themeFill="background1"/>
            <w:noWrap/>
          </w:tcPr>
          <w:p w14:paraId="1D8A14A0"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0,2</w:t>
            </w:r>
          </w:p>
        </w:tc>
        <w:tc>
          <w:tcPr>
            <w:tcW w:w="581" w:type="pct"/>
            <w:tcBorders>
              <w:bottom w:val="nil"/>
            </w:tcBorders>
            <w:shd w:val="clear" w:color="auto" w:fill="FFFFFF" w:themeFill="background1"/>
            <w:noWrap/>
          </w:tcPr>
          <w:p w14:paraId="5545F978"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0,2</w:t>
            </w:r>
          </w:p>
        </w:tc>
        <w:tc>
          <w:tcPr>
            <w:tcW w:w="581" w:type="pct"/>
            <w:tcBorders>
              <w:bottom w:val="nil"/>
            </w:tcBorders>
            <w:shd w:val="clear" w:color="auto" w:fill="FFFFFF" w:themeFill="background1"/>
            <w:noWrap/>
          </w:tcPr>
          <w:p w14:paraId="78804509"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0,2</w:t>
            </w:r>
          </w:p>
        </w:tc>
        <w:tc>
          <w:tcPr>
            <w:tcW w:w="583" w:type="pct"/>
            <w:tcBorders>
              <w:bottom w:val="nil"/>
            </w:tcBorders>
            <w:shd w:val="clear" w:color="auto" w:fill="FFFFFF" w:themeFill="background1"/>
            <w:noWrap/>
          </w:tcPr>
          <w:p w14:paraId="6BE55F4E"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0,2</w:t>
            </w:r>
          </w:p>
        </w:tc>
      </w:tr>
      <w:tr w:rsidR="006D0778" w:rsidRPr="006D0778" w14:paraId="6B13F8DB" w14:textId="77777777" w:rsidTr="00D2109C">
        <w:trPr>
          <w:trHeight w:hRule="exact" w:val="284"/>
        </w:trPr>
        <w:tc>
          <w:tcPr>
            <w:tcW w:w="1967" w:type="pct"/>
            <w:tcBorders>
              <w:top w:val="nil"/>
              <w:bottom w:val="single" w:sz="4" w:space="0" w:color="002060"/>
            </w:tcBorders>
            <w:shd w:val="clear" w:color="auto" w:fill="FFFFFF" w:themeFill="background1"/>
            <w:noWrap/>
          </w:tcPr>
          <w:p w14:paraId="0AE198FD" w14:textId="77777777" w:rsidR="006D0778" w:rsidRPr="006D0778" w:rsidRDefault="006D0778" w:rsidP="006D0778">
            <w:pPr>
              <w:widowControl w:val="0"/>
              <w:shd w:val="clear" w:color="auto" w:fill="FFFFFF" w:themeFill="background1"/>
              <w:spacing w:line="276" w:lineRule="auto"/>
              <w:rPr>
                <w:rFonts w:eastAsia="Times New Roman"/>
                <w:bCs/>
                <w:color w:val="auto"/>
                <w:sz w:val="20"/>
              </w:rPr>
            </w:pPr>
            <w:r w:rsidRPr="006D0778">
              <w:rPr>
                <w:rFonts w:eastAsia="Times New Roman"/>
                <w:bCs/>
                <w:color w:val="auto"/>
                <w:sz w:val="20"/>
              </w:rPr>
              <w:t xml:space="preserve"> Отплата по основу гаранција</w:t>
            </w:r>
          </w:p>
        </w:tc>
        <w:tc>
          <w:tcPr>
            <w:tcW w:w="644" w:type="pct"/>
            <w:tcBorders>
              <w:top w:val="nil"/>
              <w:bottom w:val="single" w:sz="4" w:space="0" w:color="002060"/>
            </w:tcBorders>
            <w:shd w:val="clear" w:color="auto" w:fill="FFFFFF" w:themeFill="background1"/>
          </w:tcPr>
          <w:p w14:paraId="0BB6DD68"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0,3</w:t>
            </w:r>
          </w:p>
        </w:tc>
        <w:tc>
          <w:tcPr>
            <w:tcW w:w="644" w:type="pct"/>
            <w:tcBorders>
              <w:top w:val="nil"/>
              <w:bottom w:val="single" w:sz="4" w:space="0" w:color="002060"/>
            </w:tcBorders>
            <w:shd w:val="clear" w:color="auto" w:fill="FFFFFF" w:themeFill="background1"/>
            <w:noWrap/>
          </w:tcPr>
          <w:p w14:paraId="01589ACE"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0,3</w:t>
            </w:r>
          </w:p>
        </w:tc>
        <w:tc>
          <w:tcPr>
            <w:tcW w:w="581" w:type="pct"/>
            <w:tcBorders>
              <w:top w:val="nil"/>
              <w:bottom w:val="single" w:sz="4" w:space="0" w:color="002060"/>
            </w:tcBorders>
            <w:shd w:val="clear" w:color="auto" w:fill="FFFFFF" w:themeFill="background1"/>
            <w:noWrap/>
          </w:tcPr>
          <w:p w14:paraId="3F3770E8"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0,2</w:t>
            </w:r>
          </w:p>
        </w:tc>
        <w:tc>
          <w:tcPr>
            <w:tcW w:w="581" w:type="pct"/>
            <w:tcBorders>
              <w:top w:val="nil"/>
              <w:bottom w:val="single" w:sz="4" w:space="0" w:color="002060"/>
            </w:tcBorders>
            <w:shd w:val="clear" w:color="auto" w:fill="FFFFFF" w:themeFill="background1"/>
            <w:noWrap/>
          </w:tcPr>
          <w:p w14:paraId="4CF3443B"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0,2</w:t>
            </w:r>
          </w:p>
        </w:tc>
        <w:tc>
          <w:tcPr>
            <w:tcW w:w="583" w:type="pct"/>
            <w:tcBorders>
              <w:top w:val="nil"/>
              <w:bottom w:val="single" w:sz="4" w:space="0" w:color="002060"/>
            </w:tcBorders>
            <w:shd w:val="clear" w:color="auto" w:fill="FFFFFF" w:themeFill="background1"/>
            <w:noWrap/>
          </w:tcPr>
          <w:p w14:paraId="2B8D6978" w14:textId="77777777" w:rsidR="006D0778" w:rsidRPr="006D0778" w:rsidRDefault="006D0778" w:rsidP="006D0778">
            <w:pPr>
              <w:shd w:val="clear" w:color="auto" w:fill="FFFFFF" w:themeFill="background1"/>
              <w:spacing w:line="276" w:lineRule="auto"/>
              <w:jc w:val="right"/>
              <w:rPr>
                <w:color w:val="auto"/>
                <w:sz w:val="20"/>
              </w:rPr>
            </w:pPr>
            <w:r w:rsidRPr="006D0778">
              <w:rPr>
                <w:color w:val="auto"/>
                <w:sz w:val="20"/>
              </w:rPr>
              <w:t>0,2</w:t>
            </w:r>
          </w:p>
        </w:tc>
      </w:tr>
    </w:tbl>
    <w:p w14:paraId="783EE8B5" w14:textId="77777777" w:rsidR="006D0778" w:rsidRPr="006D0778" w:rsidRDefault="006D0778" w:rsidP="006D0778">
      <w:pPr>
        <w:rPr>
          <w:sz w:val="16"/>
          <w:szCs w:val="16"/>
          <w:lang w:val="sr-Cyrl-RS" w:eastAsia="ja-JP"/>
        </w:rPr>
      </w:pPr>
      <w:r w:rsidRPr="006D0778">
        <w:rPr>
          <w:bCs/>
          <w:sz w:val="16"/>
          <w:szCs w:val="16"/>
          <w:lang w:val="sr-Cyrl-RS" w:eastAsia="ja-JP"/>
        </w:rPr>
        <w:t xml:space="preserve">Извор: </w:t>
      </w:r>
      <w:r w:rsidRPr="006D0778">
        <w:rPr>
          <w:sz w:val="16"/>
          <w:szCs w:val="16"/>
          <w:lang w:val="sr-Cyrl-RS" w:eastAsia="ja-JP"/>
        </w:rPr>
        <w:t>Министарство финансија</w:t>
      </w:r>
    </w:p>
    <w:p w14:paraId="20727166" w14:textId="77777777" w:rsidR="006D0778" w:rsidRPr="006D0778" w:rsidRDefault="006D0778" w:rsidP="006D0778">
      <w:pPr>
        <w:rPr>
          <w:rFonts w:eastAsia="Calibri" w:cstheme="minorHAnsi"/>
          <w:szCs w:val="20"/>
          <w:lang w:eastAsia="ja-JP"/>
        </w:rPr>
      </w:pPr>
      <w:r w:rsidRPr="006D0778">
        <w:rPr>
          <w:rFonts w:eastAsia="Calibri" w:cstheme="minorHAnsi"/>
          <w:szCs w:val="20"/>
          <w:lang w:eastAsia="ja-JP"/>
        </w:rPr>
        <w:t xml:space="preserve">Фискални простор предвиђен за раст зарада, у наредном периоду, ће се повећавати умерено и контролисано, водећи рачуна о њиховом учешћу у БДП. Раст у 2025. години углавном је последица проширења обухвата сектора државе. </w:t>
      </w:r>
    </w:p>
    <w:p w14:paraId="61752374" w14:textId="77777777" w:rsidR="006D0778" w:rsidRPr="006D0778" w:rsidRDefault="006D0778" w:rsidP="006D0778">
      <w:pPr>
        <w:rPr>
          <w:rFonts w:eastAsia="Calibri" w:cstheme="minorHAnsi"/>
          <w:szCs w:val="20"/>
          <w:lang w:eastAsia="ja-JP"/>
        </w:rPr>
      </w:pPr>
      <w:r w:rsidRPr="006D0778">
        <w:rPr>
          <w:rFonts w:eastAsia="Calibri" w:cstheme="minorHAnsi"/>
          <w:szCs w:val="20"/>
          <w:lang w:eastAsia="ja-JP"/>
        </w:rPr>
        <w:t>Чланом 27е Закона о буџетском систему предвиђено је ограничење расхода за запослене сектора државе од 10% БДП. Усклађивање плата у свим институцијама (ентитетима) које чине сектор државе, ограничено је дефинисаним учешћем ових расхода у БДП. Надаље, ово ограничење коригује се навише у случају повећања обухвата сектора државе, односно укључивањем нових ентитета у сектор државе, односно наниже у случају искључивања ентитета из сектора државе</w:t>
      </w:r>
      <w:r w:rsidRPr="006D0778">
        <w:rPr>
          <w:rFonts w:eastAsia="Calibri" w:cstheme="minorHAnsi"/>
          <w:szCs w:val="20"/>
          <w:vertAlign w:val="superscript"/>
          <w:lang w:eastAsia="ja-JP"/>
        </w:rPr>
        <w:footnoteReference w:id="7"/>
      </w:r>
      <w:r w:rsidRPr="006D0778">
        <w:rPr>
          <w:rFonts w:eastAsia="Calibri" w:cstheme="minorHAnsi"/>
          <w:szCs w:val="20"/>
          <w:lang w:eastAsia="ja-JP"/>
        </w:rPr>
        <w:t>.</w:t>
      </w:r>
    </w:p>
    <w:p w14:paraId="65DE0B54" w14:textId="77777777" w:rsidR="006D0778" w:rsidRPr="006D0778" w:rsidRDefault="006D0778" w:rsidP="006D0778">
      <w:pPr>
        <w:widowControl w:val="0"/>
        <w:rPr>
          <w:rFonts w:eastAsia="Calibri" w:cstheme="minorHAnsi"/>
          <w:spacing w:val="2"/>
          <w:szCs w:val="20"/>
          <w:lang w:eastAsia="ja-JP"/>
        </w:rPr>
      </w:pPr>
      <w:r w:rsidRPr="006D0778">
        <w:rPr>
          <w:rFonts w:eastAsia="Calibri" w:cstheme="minorHAnsi"/>
          <w:spacing w:val="2"/>
          <w:szCs w:val="20"/>
          <w:lang w:eastAsia="ja-JP"/>
        </w:rPr>
        <w:t>Како је у 2023. години фискални оквир сектора државе проширен за сопствена средства здравствених установа и средњих школа, а процењени ниво расхода за запослене из тих средстава је 0,2% БДП, п</w:t>
      </w:r>
      <w:r w:rsidRPr="006D0778">
        <w:rPr>
          <w:rFonts w:eastAsia="Calibri" w:cstheme="minorHAnsi"/>
          <w:bCs/>
          <w:spacing w:val="2"/>
          <w:szCs w:val="20"/>
          <w:lang w:eastAsia="ja-JP"/>
        </w:rPr>
        <w:t>роширивање обухвата сектора државе, по овом основу, имплицира корекцију максималног лимита за расходе запослених у сектору државе на 10,2% БДП.</w:t>
      </w:r>
    </w:p>
    <w:p w14:paraId="12658ED4" w14:textId="3BD75891" w:rsidR="006D0778" w:rsidRPr="006D0778" w:rsidRDefault="006D0778" w:rsidP="006D0778">
      <w:pPr>
        <w:widowControl w:val="0"/>
        <w:rPr>
          <w:rFonts w:eastAsia="Calibri" w:cstheme="minorHAnsi"/>
          <w:szCs w:val="20"/>
          <w:lang w:eastAsia="ja-JP"/>
        </w:rPr>
      </w:pPr>
      <w:r w:rsidRPr="006D0778">
        <w:rPr>
          <w:rFonts w:eastAsia="Calibri" w:cstheme="minorHAnsi"/>
          <w:szCs w:val="20"/>
          <w:lang w:eastAsia="ja-JP"/>
        </w:rPr>
        <w:t>У 2024. години обухват сектора државе се додатно проширио за један број ванбуџетских корисника (јавнe агенцијe, институти и други ентитети), те је и максимални лимит за расходе запослених у сектору државе подигнут на 10,4%, с обзиром да је ниво зарада у овим институцијама око 0,2% БДП. Укључивање преосталих сопствених прихода и расхода индиректних корисника републичког буџета у обухват</w:t>
      </w:r>
      <w:r w:rsidR="002B1F9D">
        <w:rPr>
          <w:rFonts w:eastAsia="Calibri" w:cstheme="minorHAnsi"/>
          <w:szCs w:val="20"/>
          <w:lang w:eastAsia="ja-JP"/>
        </w:rPr>
        <w:t xml:space="preserve"> сектора државе у 2025. години </w:t>
      </w:r>
      <w:r w:rsidRPr="006D0778">
        <w:rPr>
          <w:rFonts w:eastAsia="Calibri" w:cstheme="minorHAnsi"/>
          <w:szCs w:val="20"/>
          <w:lang w:eastAsia="ja-JP"/>
        </w:rPr>
        <w:t xml:space="preserve">доводи до подизања лимита за расходе запослених на 10,6% БДП, с обзиром да је учешће расхода за запосленe исплаћених из сопствених прихода око 0,2% БДП. С обзиром на то маса зарада у сектору државе ће достићи нешто виши ниво, него ове године. </w:t>
      </w:r>
    </w:p>
    <w:p w14:paraId="5D25116A" w14:textId="77777777" w:rsidR="006D0778" w:rsidRPr="006D0778" w:rsidRDefault="006D0778" w:rsidP="006D0778">
      <w:pPr>
        <w:widowControl w:val="0"/>
        <w:rPr>
          <w:rFonts w:eastAsia="Calibri" w:cstheme="minorHAnsi"/>
          <w:szCs w:val="20"/>
          <w:lang w:eastAsia="ja-JP"/>
        </w:rPr>
      </w:pPr>
      <w:r w:rsidRPr="006D0778">
        <w:rPr>
          <w:rFonts w:eastAsia="Calibri" w:cstheme="minorHAnsi"/>
          <w:szCs w:val="20"/>
          <w:lang w:eastAsia="ja-JP"/>
        </w:rPr>
        <w:t xml:space="preserve">Укључивање расхода из сопствених извора индиректних корисника ће утицати на издатке за робе и услуге. Процењује се да ће ефекат укључивања нових ентитета подићи ниво ових расхода за око 0,4% БДП. У средњорочном периоду њиховo учешће у БДП се постепено смањује. </w:t>
      </w:r>
    </w:p>
    <w:p w14:paraId="7219E466" w14:textId="77777777" w:rsidR="006D0778" w:rsidRPr="006D0778" w:rsidRDefault="006D0778" w:rsidP="006D0778">
      <w:pPr>
        <w:rPr>
          <w:rFonts w:eastAsia="Calibri" w:cstheme="minorHAnsi"/>
          <w:szCs w:val="20"/>
          <w:lang w:eastAsia="ja-JP"/>
        </w:rPr>
      </w:pPr>
      <w:r w:rsidRPr="006D0778">
        <w:rPr>
          <w:rFonts w:eastAsia="Calibri" w:cstheme="minorHAnsi"/>
          <w:szCs w:val="20"/>
          <w:lang w:eastAsia="ja-JP"/>
        </w:rPr>
        <w:t xml:space="preserve">Социјална помоћ и трансфери становништву представљају највећу расходну категорију буџета државе. Највећа појединачна ставка ове групе расхода, а уједно и највећа ставка свих расхода, су пензије. Од 2020. године закључно са 2022. годином, пензије су се усклађивале коришћењем „швајцарске формуле”, како би се истовремено обезбедио раст животног стандарда пензионера и одрживост пензионог и система јавних финансија. „Швајцарска формула” подразумева индексацију, односно увећање пензија једнако збиру половине стопе раста просечне зараде и половине стопе раста потрошачких цена. Од 2023. године примењује се другачији начин индексације пензија, односно, усклађивање пензија узима у обзир и учешће пензија у БДП, како би се додатно </w:t>
      </w:r>
      <w:r w:rsidRPr="006D0778">
        <w:rPr>
          <w:rFonts w:eastAsia="Calibri" w:cstheme="minorHAnsi"/>
          <w:szCs w:val="20"/>
          <w:lang w:eastAsia="ja-JP"/>
        </w:rPr>
        <w:lastRenderedPageBreak/>
        <w:t>заштитио животни стандард пензионера. Индексација пензија, те њихово кретање, опредељује и путању кретања укупних расхода за трансфере становништву и социјалну заштиту кад је реч о учешћу у БДП. У 2024.години пензије су индексиране растом зарада, а у 2025. години ће се применити швајцарска формула. Остали облици социјалних давања и трансфера становништву у наредном периоду усклађиваће се применом прописане индексације, текућих и планираних измена политика у овој области и пројектованим бројем корисника.</w:t>
      </w:r>
    </w:p>
    <w:p w14:paraId="665C158A" w14:textId="02671CFD" w:rsidR="006D0778" w:rsidRPr="006D0778" w:rsidRDefault="006D0778" w:rsidP="006D0778">
      <w:pPr>
        <w:rPr>
          <w:rFonts w:eastAsia="Calibri" w:cstheme="minorHAnsi"/>
          <w:szCs w:val="20"/>
          <w:lang w:eastAsia="ja-JP"/>
        </w:rPr>
      </w:pPr>
      <w:r w:rsidRPr="006D0778">
        <w:rPr>
          <w:rFonts w:eastAsia="Calibri" w:cstheme="minorHAnsi"/>
          <w:szCs w:val="20"/>
          <w:lang w:eastAsia="ja-JP"/>
        </w:rPr>
        <w:t>Током 2024. године бележи се привремени раст субвенција у смислу учешћа у БДП, узрокован д</w:t>
      </w:r>
      <w:r w:rsidR="002B1F9D">
        <w:rPr>
          <w:rFonts w:eastAsia="Calibri" w:cstheme="minorHAnsi"/>
          <w:szCs w:val="20"/>
          <w:lang w:eastAsia="ja-JP"/>
        </w:rPr>
        <w:t xml:space="preserve">одатним субвенцијама намењеним </w:t>
      </w:r>
      <w:r w:rsidRPr="006D0778">
        <w:rPr>
          <w:rFonts w:eastAsia="Calibri" w:cstheme="minorHAnsi"/>
          <w:szCs w:val="20"/>
          <w:lang w:eastAsia="ja-JP"/>
        </w:rPr>
        <w:t>пољопривреди, енергетици и саобраћајној инфраструктури. За наредни средњорочни период, предвиђа се релативно непромењен номинални износ субвенција, док ће њихово учешће у БДП на крају 2027. године износити 2,2%.</w:t>
      </w:r>
    </w:p>
    <w:p w14:paraId="75B32BF7" w14:textId="77777777" w:rsidR="006D0778" w:rsidRPr="006D0778" w:rsidRDefault="006D0778" w:rsidP="006D0778">
      <w:pPr>
        <w:rPr>
          <w:rFonts w:eastAsia="Calibri" w:cstheme="minorHAnsi"/>
          <w:szCs w:val="20"/>
          <w:lang w:eastAsia="ja-JP"/>
        </w:rPr>
      </w:pPr>
      <w:r w:rsidRPr="006D0778">
        <w:rPr>
          <w:rFonts w:eastAsia="Calibri" w:cstheme="minorHAnsi"/>
          <w:szCs w:val="20"/>
          <w:lang w:eastAsia="ja-JP"/>
        </w:rPr>
        <w:t xml:space="preserve">Категорије осталих текућих расхода чине различити издаци, као што су дотације удружењима, политичким странкама, верским и спортским организацијама, казне, накнада штете итд. У наредном периоду се очекује опадајући тренд ових расхода. </w:t>
      </w:r>
    </w:p>
    <w:p w14:paraId="75AAA4F4" w14:textId="77777777" w:rsidR="006D0778" w:rsidRPr="006D0778" w:rsidRDefault="006D0778" w:rsidP="006D0778">
      <w:pPr>
        <w:rPr>
          <w:rFonts w:eastAsia="Calibri" w:cstheme="minorHAnsi"/>
          <w:szCs w:val="20"/>
          <w:lang w:eastAsia="ja-JP"/>
        </w:rPr>
      </w:pPr>
      <w:r w:rsidRPr="006D0778">
        <w:rPr>
          <w:rFonts w:eastAsia="Calibri" w:cstheme="minorHAnsi"/>
          <w:szCs w:val="20"/>
          <w:lang w:eastAsia="ja-JP"/>
        </w:rPr>
        <w:t xml:space="preserve">Током претходних година значајно је побољшана ефикасност извршења јавних инвестиција упркос проблемима које су проузроковали пандемија и енергетска криза. У наредном средњорочном периоду очекује се пораст нивоа улагања у јавну инфраструктуру, након одлуке да се изложба Експо одржи 2027. године у Београду и реализације програма </w:t>
      </w:r>
      <w:r w:rsidRPr="006D0778">
        <w:rPr>
          <w:rFonts w:cstheme="minorHAnsi"/>
          <w:bCs/>
          <w:szCs w:val="20"/>
        </w:rPr>
        <w:t>„Скок у будућност – Србија 2027”</w:t>
      </w:r>
      <w:r w:rsidRPr="006D0778">
        <w:rPr>
          <w:rFonts w:eastAsia="Calibri" w:cstheme="minorHAnsi"/>
          <w:szCs w:val="20"/>
          <w:lang w:eastAsia="ja-JP"/>
        </w:rPr>
        <w:t xml:space="preserve">. Најзначајнији радови су на путној, железничкој, комуналној и водној инфраструктури. Поред саобраћајне инфраструктуре обезбеђена су средства за додатна капитална улагања у здравству, енергетици, заштити животне средине, просвети, култури, одбрани и другим областима које представљају најважније функције државе. </w:t>
      </w:r>
    </w:p>
    <w:p w14:paraId="2E871928" w14:textId="77777777" w:rsidR="006D0778" w:rsidRPr="006D0778" w:rsidRDefault="006D0778" w:rsidP="006D0778">
      <w:r w:rsidRPr="006D0778">
        <w:rPr>
          <w:rFonts w:eastAsia="Calibri" w:cstheme="minorHAnsi"/>
          <w:szCs w:val="20"/>
          <w:lang w:eastAsia="ja-JP"/>
        </w:rPr>
        <w:t xml:space="preserve">Опште опредељење фискалне политике у средњем року јесте повећање улагања у инфраструктуру на свим нивоима власти. Кад је реч о локалном нивоу власти то се пре свега односи на улагања у водоводну и канализациону инфраструктуру, управљање отпадом, локалну путну инфраструктуру и </w:t>
      </w:r>
      <w:r w:rsidRPr="006D0778">
        <w:rPr>
          <w:rFonts w:eastAsia="Calibri" w:cstheme="minorHAnsi"/>
          <w:color w:val="323E4F" w:themeColor="text2" w:themeShade="BF"/>
          <w:szCs w:val="20"/>
          <w:lang w:eastAsia="ja-JP"/>
        </w:rPr>
        <w:t>друго.</w:t>
      </w:r>
    </w:p>
    <w:p w14:paraId="0FDCD865" w14:textId="77777777" w:rsidR="006D0778" w:rsidRPr="006D0778" w:rsidRDefault="006D0778" w:rsidP="006D0778">
      <w:pPr>
        <w:rPr>
          <w:rFonts w:eastAsia="Calibri" w:cstheme="minorHAnsi"/>
          <w:szCs w:val="20"/>
          <w:lang w:eastAsia="ja-JP"/>
        </w:rPr>
      </w:pPr>
      <w:r w:rsidRPr="006D0778">
        <w:rPr>
          <w:rFonts w:eastAsia="Calibri" w:cstheme="minorHAnsi"/>
          <w:szCs w:val="20"/>
          <w:lang w:eastAsia="ja-JP"/>
        </w:rPr>
        <w:t>У средњорочном фискалном оквиру, до краја 2027. године, пројектована је избалансирана укупна фискална позиција локалне самоуправе. То значи да у збиру сви градови и општине имају приближно избалансиран буџет. Пројекција је рађена на основу кретања у претходном периоду у коме су збирно ЈЛС најчешће биле у суфициту. Овакво стање на нивоу свих локалних самоуправа је последица раздуживања у претходном периоду. То не значи да појединачне ЈЛС не могу забележити дефицит (у складу са фискалним правилом), што зависи од фискалне позиције сваке појединачне општине и града.</w:t>
      </w:r>
    </w:p>
    <w:p w14:paraId="26664B66" w14:textId="77777777" w:rsidR="006D0778" w:rsidRPr="006D0778" w:rsidRDefault="006D0778" w:rsidP="006D0778">
      <w:pPr>
        <w:rPr>
          <w:rFonts w:eastAsia="Calibri" w:cstheme="minorHAnsi"/>
          <w:szCs w:val="20"/>
          <w:lang w:eastAsia="ja-JP"/>
        </w:rPr>
      </w:pPr>
      <w:r w:rsidRPr="006D0778">
        <w:rPr>
          <w:rFonts w:eastAsia="Calibri" w:cstheme="minorHAnsi"/>
          <w:szCs w:val="20"/>
          <w:lang w:eastAsia="ja-JP"/>
        </w:rPr>
        <w:t>На кретање категорије буџетских позајмица највише су утицала средства намењена превазилажењу негативних последица енергетске кризе. У наредном периоду очекује се снижавање учешћа ове расходне категорије на 0,2% БДП.</w:t>
      </w:r>
    </w:p>
    <w:p w14:paraId="3D673E14" w14:textId="77777777" w:rsidR="006D0778" w:rsidRPr="006D0778" w:rsidRDefault="006D0778" w:rsidP="006D0778">
      <w:pPr>
        <w:rPr>
          <w:rFonts w:eastAsia="Calibri" w:cstheme="minorHAnsi"/>
          <w:szCs w:val="20"/>
          <w:lang w:eastAsia="ja-JP"/>
        </w:rPr>
      </w:pPr>
      <w:r w:rsidRPr="006D0778">
        <w:rPr>
          <w:rFonts w:eastAsia="Calibri" w:cstheme="minorHAnsi"/>
          <w:szCs w:val="20"/>
          <w:lang w:eastAsia="ja-JP"/>
        </w:rPr>
        <w:t>Отплата по основу издатих гаранција и плаћање гаранција по комерцијалним трансакцијама представљају обавезе по основу дуга јавних предузећа које је републички буџет преузео на себе, с обзиром да та предузећа нису могла самостално да их извршавају. У претходном периоду ови расходи су значајно смањени, а планом отплате предвиђено је да ће у 2027. години ови расходи износити 0,2% БДП на годишњем нивоу.</w:t>
      </w:r>
    </w:p>
    <w:p w14:paraId="3CC55DAE" w14:textId="77777777" w:rsidR="006D0778" w:rsidRPr="006D0778" w:rsidRDefault="006D0778" w:rsidP="006D0778">
      <w:pPr>
        <w:rPr>
          <w:rFonts w:eastAsia="MS PGothic" w:cstheme="minorHAnsi"/>
          <w:szCs w:val="20"/>
          <w:lang w:val="sr-Cyrl-RS" w:eastAsia="ja-JP"/>
        </w:rPr>
      </w:pPr>
    </w:p>
    <w:p w14:paraId="7AA7C2EF" w14:textId="77777777" w:rsidR="006D0778" w:rsidRPr="006D0778" w:rsidRDefault="006D0778" w:rsidP="006D0778">
      <w:pPr>
        <w:rPr>
          <w:lang w:val="sr-Cyrl-RS" w:eastAsia="ja-JP"/>
        </w:rPr>
      </w:pPr>
    </w:p>
    <w:p w14:paraId="10EE4C27" w14:textId="77777777" w:rsidR="006D0778" w:rsidRPr="006D0778" w:rsidRDefault="006D0778" w:rsidP="006D0778">
      <w:pPr>
        <w:keepNext/>
        <w:keepLines/>
        <w:spacing w:before="40" w:after="160"/>
        <w:outlineLvl w:val="1"/>
        <w:rPr>
          <w:rFonts w:eastAsia="Calibri" w:cs="Times New Roman"/>
          <w:szCs w:val="24"/>
          <w:lang w:val="sr-Cyrl-RS"/>
        </w:rPr>
      </w:pPr>
      <w:r w:rsidRPr="006D0778">
        <w:rPr>
          <w:rFonts w:eastAsia="Calibri" w:cs="Times New Roman"/>
          <w:szCs w:val="24"/>
          <w:lang w:val="sr-Cyrl-RS"/>
        </w:rPr>
        <w:lastRenderedPageBreak/>
        <w:t>4. ЦИКЛИЧНО ПРИЛАГОЂЕНИ ФИСКАЛНИ БИЛАНС</w:t>
      </w:r>
    </w:p>
    <w:p w14:paraId="20EC3B6D" w14:textId="77777777" w:rsidR="006D0778" w:rsidRPr="006D0778" w:rsidRDefault="006D0778" w:rsidP="006D0778">
      <w:pPr>
        <w:rPr>
          <w:rFonts w:eastAsia="MS PGothic" w:cs="Times New Roman"/>
          <w:szCs w:val="20"/>
          <w:lang w:val="sr-Cyrl-RS" w:eastAsia="ja-JP"/>
        </w:rPr>
      </w:pPr>
      <w:r w:rsidRPr="006D0778">
        <w:rPr>
          <w:rFonts w:eastAsia="MS PGothic" w:cstheme="minorHAnsi"/>
          <w:szCs w:val="20"/>
          <w:lang w:val="sr-Cyrl-RS" w:eastAsia="ja-JP"/>
        </w:rPr>
        <w:t xml:space="preserve">Циклично прилагођени фискални биланс је фискални биланс из кога је искључен изоловани утицај привредног циклуса, </w:t>
      </w:r>
      <w:r w:rsidRPr="006D0778">
        <w:rPr>
          <w:rFonts w:eastAsia="MS PGothic" w:cs="Times New Roman"/>
          <w:szCs w:val="20"/>
          <w:lang w:val="sr-Cyrl-RS" w:eastAsia="ja-JP"/>
        </w:rPr>
        <w:t>а идентитет од кога се полази је следећи</w:t>
      </w:r>
      <w:r w:rsidRPr="006D0778">
        <w:rPr>
          <w:rFonts w:eastAsia="MS PGothic" w:cs="Times New Roman"/>
          <w:szCs w:val="20"/>
          <w:vertAlign w:val="superscript"/>
          <w:lang w:val="sr-Cyrl-RS" w:eastAsia="ja-JP"/>
        </w:rPr>
        <w:footnoteReference w:id="8"/>
      </w:r>
      <w:r w:rsidRPr="006D0778">
        <w:rPr>
          <w:rFonts w:eastAsia="MS PGothic" w:cs="Times New Roman"/>
          <w:szCs w:val="20"/>
          <w:lang w:val="sr-Cyrl-RS" w:eastAsia="ja-JP"/>
        </w:rPr>
        <w:t>:</w:t>
      </w:r>
    </w:p>
    <w:p w14:paraId="21B09479" w14:textId="77777777" w:rsidR="006D0778" w:rsidRPr="006D0778" w:rsidRDefault="006D0778" w:rsidP="006D0778">
      <w:pPr>
        <w:jc w:val="center"/>
        <w:rPr>
          <w:rFonts w:eastAsia="MS PGothic" w:cs="Times New Roman"/>
          <w:szCs w:val="20"/>
          <w:lang w:val="sr-Cyrl-RS" w:eastAsia="ja-JP"/>
        </w:rPr>
      </w:pPr>
      <w:r w:rsidRPr="006D0778">
        <w:rPr>
          <w:rFonts w:eastAsia="MS PGothic" w:cs="Times New Roman"/>
          <w:szCs w:val="20"/>
          <w:lang w:val="sr-Cyrl-RS" w:eastAsia="ja-JP"/>
        </w:rPr>
        <w:t>FB = CB + CAB</w:t>
      </w:r>
    </w:p>
    <w:p w14:paraId="0E3CB190" w14:textId="77777777" w:rsidR="006D0778" w:rsidRPr="006D0778" w:rsidRDefault="006D0778" w:rsidP="006D0778">
      <w:pPr>
        <w:rPr>
          <w:rFonts w:eastAsia="MS PGothic" w:cstheme="minorHAnsi"/>
          <w:szCs w:val="20"/>
          <w:lang w:val="sr-Cyrl-RS" w:eastAsia="ja-JP"/>
        </w:rPr>
      </w:pPr>
      <w:r w:rsidRPr="006D0778">
        <w:rPr>
          <w:rFonts w:eastAsia="MS PGothic" w:cs="Times New Roman"/>
          <w:szCs w:val="20"/>
          <w:lang w:val="sr-Cyrl-RS" w:eastAsia="ja-JP"/>
        </w:rPr>
        <w:t>Део фискалног биланса (FB)</w:t>
      </w:r>
      <w:r w:rsidRPr="006D0778">
        <w:rPr>
          <w:rFonts w:eastAsia="MS PGothic" w:cs="Times New Roman"/>
          <w:i/>
          <w:szCs w:val="20"/>
          <w:lang w:val="sr-Cyrl-RS" w:eastAsia="ja-JP"/>
        </w:rPr>
        <w:t xml:space="preserve"> </w:t>
      </w:r>
      <w:r w:rsidRPr="006D0778">
        <w:rPr>
          <w:rFonts w:eastAsia="MS PGothic" w:cs="Times New Roman"/>
          <w:szCs w:val="20"/>
          <w:lang w:val="sr-Cyrl-RS" w:eastAsia="ja-JP"/>
        </w:rPr>
        <w:t>који није под утицајем цикличних флуктуација назива се циклично прилагођени фискални биланс (CAB),</w:t>
      </w:r>
      <w:r w:rsidRPr="006D0778">
        <w:rPr>
          <w:rFonts w:eastAsia="MS PGothic" w:cs="Times New Roman"/>
          <w:i/>
          <w:szCs w:val="20"/>
          <w:lang w:val="sr-Cyrl-RS" w:eastAsia="ja-JP"/>
        </w:rPr>
        <w:t xml:space="preserve"> </w:t>
      </w:r>
      <w:r w:rsidRPr="006D0778">
        <w:rPr>
          <w:rFonts w:eastAsia="MS PGothic" w:cs="Times New Roman"/>
          <w:szCs w:val="20"/>
          <w:lang w:val="sr-Cyrl-RS" w:eastAsia="ja-JP"/>
        </w:rPr>
        <w:t>а циљ ове процедуре је изоловање цикличне компоненте</w:t>
      </w:r>
      <w:r w:rsidRPr="006D0778">
        <w:rPr>
          <w:rFonts w:ascii="Calibri" w:eastAsia="MS PGothic" w:hAnsi="Calibri" w:cs="Calibri"/>
          <w:szCs w:val="20"/>
          <w:lang w:val="sr-Cyrl-RS" w:eastAsia="ja-JP"/>
        </w:rPr>
        <w:t xml:space="preserve"> </w:t>
      </w:r>
      <w:r w:rsidRPr="006D0778">
        <w:rPr>
          <w:rFonts w:eastAsia="MS PGothic" w:cstheme="minorHAnsi"/>
          <w:szCs w:val="20"/>
          <w:lang w:val="sr-Cyrl-RS" w:eastAsia="ja-JP"/>
        </w:rPr>
        <w:t>фискалног биланса (CB) која је резултат дејства производног јаза. Стварни фискални биланс биће једнак циклично прилагођеном у случају да је производни јаз једнак нули, тј. ако је стопа раста реалног БДП једнака потенцијалној. Структурни фискални биланс се даље рачунски добија елиминацијом једнократних ефеката на приходној и расходној страни, и тако показује структурну (трајну) фискалну позицију.</w:t>
      </w:r>
    </w:p>
    <w:p w14:paraId="49749F5A" w14:textId="77777777" w:rsidR="006D0778" w:rsidRPr="006D0778" w:rsidRDefault="006D0778" w:rsidP="006D0778">
      <w:pPr>
        <w:rPr>
          <w:rFonts w:eastAsia="MS PGothic" w:cstheme="minorHAnsi"/>
          <w:szCs w:val="20"/>
          <w:lang w:val="sr-Cyrl-RS" w:eastAsia="ja-JP"/>
        </w:rPr>
      </w:pPr>
      <w:r w:rsidRPr="006D0778">
        <w:rPr>
          <w:rFonts w:ascii="Calibri" w:eastAsia="MS PGothic" w:hAnsi="Calibri" w:cs="Calibri"/>
          <w:szCs w:val="20"/>
          <w:lang w:val="sr-Cyrl-RS" w:eastAsia="ja-JP"/>
        </w:rPr>
        <w:t>Ф</w:t>
      </w:r>
      <w:r w:rsidRPr="006D0778">
        <w:rPr>
          <w:rFonts w:eastAsia="MS PGothic" w:cstheme="minorHAnsi"/>
          <w:szCs w:val="20"/>
          <w:lang w:val="sr-Cyrl-RS" w:eastAsia="ja-JP"/>
        </w:rPr>
        <w:t>искални простор креиран у претходном периоду и значајно структурно унапређена фискална позиција земље, омогућили су релаксацију фискалне политике у кризним временима.</w:t>
      </w:r>
    </w:p>
    <w:p w14:paraId="1A1228D3" w14:textId="77777777" w:rsidR="006D0778" w:rsidRPr="006D0778" w:rsidRDefault="006D0778" w:rsidP="006D0778">
      <w:pPr>
        <w:rPr>
          <w:rFonts w:eastAsia="MS PGothic" w:cs="Times New Roman"/>
          <w:szCs w:val="20"/>
          <w:lang w:val="sr-Cyrl-RS" w:eastAsia="ja-JP"/>
        </w:rPr>
      </w:pPr>
      <w:r w:rsidRPr="006D0778">
        <w:rPr>
          <w:rFonts w:eastAsia="MS PGothic" w:cs="Times New Roman"/>
          <w:szCs w:val="20"/>
          <w:lang w:val="sr-Cyrl-RS" w:eastAsia="ja-JP"/>
        </w:rPr>
        <w:t>Избијањем пандемије COVID-19 почетком 2020. године и увођењем мера за здравствену заштиту становништва, глобална економија је ушла у кризу без преседана. Утицај на фискалну позицију је био видљив кроз смањене прихода буџета, који су последица успоравања економске активности услед пандемије, и драматично већих расхода условљених већим трошковима здравствене заштите и доношењем обимног пакета помоћи привреди и грађанима. У таквој ситуацији, уобичајена анализа привредног циклуса, квантификација фискалних мултипликатора и оцена еластичности фискалног баланса у односу на производни јаз не даје сасвим коректне оцене фискалне позиције земље. Одговор фискалне политике на сложену економску ситуацију узроковану пандемијом коронавируса у 2020. и 2021. години, представљен је опсежним пакетом мера помоћи привреди. У случају одсуства мера подршке привреди и становништву благ пад БДП у 2020. години и снажан опоравак током 2021. године би изостао, а већа контракција привреде би утицала на знатно спорији опоравак у наредном средњорочном периоду.</w:t>
      </w:r>
    </w:p>
    <w:p w14:paraId="45B4D40F" w14:textId="77777777" w:rsidR="006D0778" w:rsidRPr="006D0778" w:rsidRDefault="006D0778" w:rsidP="006D0778">
      <w:pPr>
        <w:rPr>
          <w:lang w:val="sr-Latn-RS"/>
        </w:rPr>
      </w:pPr>
    </w:p>
    <w:p w14:paraId="45382023" w14:textId="77777777" w:rsidR="006D0778" w:rsidRPr="006D0778" w:rsidRDefault="006D0778" w:rsidP="006D0778">
      <w:pPr>
        <w:rPr>
          <w:rFonts w:eastAsia="MS PGothic" w:cs="Times New Roman"/>
          <w:bCs/>
          <w:szCs w:val="24"/>
          <w:lang w:val="sr-Cyrl-RS"/>
        </w:rPr>
      </w:pPr>
      <w:r w:rsidRPr="006D0778">
        <w:rPr>
          <w:rFonts w:eastAsia="MS PGothic" w:cs="Times New Roman"/>
          <w:bCs/>
          <w:szCs w:val="24"/>
          <w:lang w:val="sr-Cyrl-RS"/>
        </w:rPr>
        <w:t>Табела 10. Фискални биланс и компоненте за обрачун циклично прилагођеног биланса у периоду 2005–2026. године, % БДП*</w:t>
      </w:r>
    </w:p>
    <w:tbl>
      <w:tblPr>
        <w:tblStyle w:val="PlainTable2"/>
        <w:tblW w:w="0" w:type="auto"/>
        <w:jc w:val="center"/>
        <w:tblLook w:val="04A0" w:firstRow="1" w:lastRow="0" w:firstColumn="1" w:lastColumn="0" w:noHBand="0" w:noVBand="1"/>
      </w:tblPr>
      <w:tblGrid>
        <w:gridCol w:w="709"/>
        <w:gridCol w:w="1049"/>
        <w:gridCol w:w="899"/>
        <w:gridCol w:w="969"/>
        <w:gridCol w:w="1132"/>
        <w:gridCol w:w="1160"/>
        <w:gridCol w:w="1080"/>
        <w:gridCol w:w="1108"/>
        <w:gridCol w:w="920"/>
      </w:tblGrid>
      <w:tr w:rsidR="006D0778" w:rsidRPr="006D0778" w14:paraId="7C937612" w14:textId="77777777" w:rsidTr="006D0778">
        <w:trPr>
          <w:cnfStyle w:val="100000000000" w:firstRow="1" w:lastRow="0" w:firstColumn="0" w:lastColumn="0" w:oddVBand="0" w:evenVBand="0" w:oddHBand="0" w:evenHBand="0" w:firstRowFirstColumn="0" w:firstRowLastColumn="0" w:lastRowFirstColumn="0" w:lastRowLastColumn="0"/>
          <w:trHeight w:val="20"/>
          <w:tblHeader/>
          <w:jc w:val="center"/>
        </w:trPr>
        <w:tc>
          <w:tcPr>
            <w:cnfStyle w:val="001000000000" w:firstRow="0" w:lastRow="0" w:firstColumn="1" w:lastColumn="0" w:oddVBand="0" w:evenVBand="0" w:oddHBand="0" w:evenHBand="0" w:firstRowFirstColumn="0" w:firstRowLastColumn="0" w:lastRowFirstColumn="0" w:lastRowLastColumn="0"/>
            <w:tcW w:w="709" w:type="dxa"/>
            <w:noWrap/>
            <w:vAlign w:val="center"/>
            <w:hideMark/>
          </w:tcPr>
          <w:p w14:paraId="1535ACA5" w14:textId="77777777" w:rsidR="006D0778" w:rsidRPr="006D0778" w:rsidRDefault="006D0778" w:rsidP="006D0778">
            <w:pPr>
              <w:jc w:val="center"/>
              <w:rPr>
                <w:rFonts w:eastAsia="Times New Roman" w:cs="Times New Roman"/>
                <w:sz w:val="16"/>
                <w:szCs w:val="16"/>
              </w:rPr>
            </w:pPr>
          </w:p>
        </w:tc>
        <w:tc>
          <w:tcPr>
            <w:tcW w:w="919" w:type="dxa"/>
            <w:vAlign w:val="center"/>
            <w:hideMark/>
          </w:tcPr>
          <w:p w14:paraId="472CE5D2" w14:textId="77777777" w:rsidR="006D0778" w:rsidRPr="006D0778" w:rsidRDefault="006D0778" w:rsidP="006D0778">
            <w:pPr>
              <w:jc w:val="center"/>
              <w:cnfStyle w:val="100000000000" w:firstRow="1" w:lastRow="0" w:firstColumn="0" w:lastColumn="0" w:oddVBand="0" w:evenVBand="0" w:oddHBand="0" w:evenHBand="0" w:firstRowFirstColumn="0" w:firstRowLastColumn="0" w:lastRowFirstColumn="0" w:lastRowLastColumn="0"/>
              <w:rPr>
                <w:rFonts w:eastAsia="Times New Roman" w:cs="Times New Roman"/>
                <w:b w:val="0"/>
                <w:sz w:val="16"/>
                <w:szCs w:val="16"/>
              </w:rPr>
            </w:pPr>
            <w:r w:rsidRPr="006D0778">
              <w:rPr>
                <w:rFonts w:eastAsia="Times New Roman" w:cs="Times New Roman"/>
                <w:b w:val="0"/>
                <w:sz w:val="16"/>
                <w:szCs w:val="16"/>
              </w:rPr>
              <w:t>Производни јаз</w:t>
            </w:r>
          </w:p>
        </w:tc>
        <w:tc>
          <w:tcPr>
            <w:tcW w:w="0" w:type="auto"/>
            <w:vAlign w:val="center"/>
            <w:hideMark/>
          </w:tcPr>
          <w:p w14:paraId="207985C1" w14:textId="77777777" w:rsidR="006D0778" w:rsidRPr="006D0778" w:rsidRDefault="006D0778" w:rsidP="006D0778">
            <w:pPr>
              <w:jc w:val="center"/>
              <w:cnfStyle w:val="100000000000" w:firstRow="1" w:lastRow="0" w:firstColumn="0" w:lastColumn="0" w:oddVBand="0" w:evenVBand="0" w:oddHBand="0" w:evenHBand="0" w:firstRowFirstColumn="0" w:firstRowLastColumn="0" w:lastRowFirstColumn="0" w:lastRowLastColumn="0"/>
              <w:rPr>
                <w:rFonts w:eastAsia="Times New Roman" w:cs="Times New Roman"/>
                <w:b w:val="0"/>
                <w:sz w:val="16"/>
                <w:szCs w:val="16"/>
              </w:rPr>
            </w:pPr>
            <w:r w:rsidRPr="006D0778">
              <w:rPr>
                <w:rFonts w:eastAsia="Times New Roman" w:cs="Times New Roman"/>
                <w:b w:val="0"/>
                <w:sz w:val="16"/>
                <w:szCs w:val="16"/>
              </w:rPr>
              <w:t xml:space="preserve">Фискални </w:t>
            </w:r>
            <w:r w:rsidRPr="006D0778">
              <w:rPr>
                <w:rFonts w:eastAsia="Times New Roman" w:cs="Times New Roman"/>
                <w:b w:val="0"/>
                <w:sz w:val="16"/>
                <w:szCs w:val="16"/>
              </w:rPr>
              <w:br/>
              <w:t>биланс</w:t>
            </w:r>
          </w:p>
        </w:tc>
        <w:tc>
          <w:tcPr>
            <w:tcW w:w="0" w:type="auto"/>
            <w:vAlign w:val="center"/>
            <w:hideMark/>
          </w:tcPr>
          <w:p w14:paraId="710CF622" w14:textId="77777777" w:rsidR="006D0778" w:rsidRPr="006D0778" w:rsidRDefault="006D0778" w:rsidP="006D0778">
            <w:pPr>
              <w:jc w:val="center"/>
              <w:cnfStyle w:val="100000000000" w:firstRow="1" w:lastRow="0" w:firstColumn="0" w:lastColumn="0" w:oddVBand="0" w:evenVBand="0" w:oddHBand="0" w:evenHBand="0" w:firstRowFirstColumn="0" w:firstRowLastColumn="0" w:lastRowFirstColumn="0" w:lastRowLastColumn="0"/>
              <w:rPr>
                <w:rFonts w:eastAsia="Times New Roman" w:cs="Times New Roman"/>
                <w:b w:val="0"/>
                <w:sz w:val="16"/>
                <w:szCs w:val="16"/>
              </w:rPr>
            </w:pPr>
            <w:r w:rsidRPr="006D0778">
              <w:rPr>
                <w:rFonts w:eastAsia="Times New Roman" w:cs="Times New Roman"/>
                <w:b w:val="0"/>
                <w:sz w:val="16"/>
                <w:szCs w:val="16"/>
              </w:rPr>
              <w:t>Примарни фискални биланс</w:t>
            </w:r>
          </w:p>
        </w:tc>
        <w:tc>
          <w:tcPr>
            <w:tcW w:w="0" w:type="auto"/>
            <w:vAlign w:val="center"/>
            <w:hideMark/>
          </w:tcPr>
          <w:p w14:paraId="194B58F6" w14:textId="36A81A01" w:rsidR="006D0778" w:rsidRPr="006D0778" w:rsidRDefault="006D0778" w:rsidP="006D0778">
            <w:pPr>
              <w:jc w:val="center"/>
              <w:cnfStyle w:val="100000000000" w:firstRow="1" w:lastRow="0" w:firstColumn="0" w:lastColumn="0" w:oddVBand="0" w:evenVBand="0" w:oddHBand="0" w:evenHBand="0" w:firstRowFirstColumn="0" w:firstRowLastColumn="0" w:lastRowFirstColumn="0" w:lastRowLastColumn="0"/>
              <w:rPr>
                <w:rFonts w:eastAsia="Times New Roman" w:cs="Times New Roman"/>
                <w:b w:val="0"/>
                <w:sz w:val="16"/>
                <w:szCs w:val="16"/>
              </w:rPr>
            </w:pPr>
            <w:r w:rsidRPr="006D0778">
              <w:rPr>
                <w:rFonts w:eastAsia="Times New Roman" w:cs="Times New Roman"/>
                <w:b w:val="0"/>
                <w:sz w:val="16"/>
                <w:szCs w:val="16"/>
              </w:rPr>
              <w:t xml:space="preserve">Циклично </w:t>
            </w:r>
            <w:r w:rsidRPr="006D0778">
              <w:rPr>
                <w:rFonts w:eastAsia="Times New Roman" w:cs="Times New Roman"/>
                <w:b w:val="0"/>
                <w:sz w:val="16"/>
                <w:szCs w:val="16"/>
              </w:rPr>
              <w:br/>
              <w:t>прилагођени</w:t>
            </w:r>
            <w:r w:rsidR="00CF6476">
              <w:rPr>
                <w:rFonts w:eastAsia="Times New Roman" w:cs="Times New Roman"/>
                <w:b w:val="0"/>
                <w:sz w:val="16"/>
                <w:szCs w:val="16"/>
              </w:rPr>
              <w:t xml:space="preserve"> </w:t>
            </w:r>
            <w:r w:rsidRPr="006D0778">
              <w:rPr>
                <w:rFonts w:eastAsia="Times New Roman" w:cs="Times New Roman"/>
                <w:b w:val="0"/>
                <w:sz w:val="16"/>
                <w:szCs w:val="16"/>
              </w:rPr>
              <w:t>фискални биланс</w:t>
            </w:r>
          </w:p>
        </w:tc>
        <w:tc>
          <w:tcPr>
            <w:tcW w:w="0" w:type="auto"/>
            <w:vAlign w:val="center"/>
            <w:hideMark/>
          </w:tcPr>
          <w:p w14:paraId="7AA08A57" w14:textId="77777777" w:rsidR="006D0778" w:rsidRPr="006D0778" w:rsidRDefault="006D0778" w:rsidP="006D0778">
            <w:pPr>
              <w:jc w:val="center"/>
              <w:cnfStyle w:val="100000000000" w:firstRow="1" w:lastRow="0" w:firstColumn="0" w:lastColumn="0" w:oddVBand="0" w:evenVBand="0" w:oddHBand="0" w:evenHBand="0" w:firstRowFirstColumn="0" w:firstRowLastColumn="0" w:lastRowFirstColumn="0" w:lastRowLastColumn="0"/>
              <w:rPr>
                <w:rFonts w:eastAsia="Times New Roman" w:cs="Times New Roman"/>
                <w:b w:val="0"/>
                <w:sz w:val="16"/>
                <w:szCs w:val="16"/>
              </w:rPr>
            </w:pPr>
            <w:r w:rsidRPr="006D0778">
              <w:rPr>
                <w:rFonts w:eastAsia="Times New Roman" w:cs="Times New Roman"/>
                <w:b w:val="0"/>
                <w:sz w:val="16"/>
                <w:szCs w:val="16"/>
              </w:rPr>
              <w:t xml:space="preserve">Циклично </w:t>
            </w:r>
            <w:r w:rsidRPr="006D0778">
              <w:rPr>
                <w:rFonts w:eastAsia="Times New Roman" w:cs="Times New Roman"/>
                <w:b w:val="0"/>
                <w:sz w:val="16"/>
                <w:szCs w:val="16"/>
              </w:rPr>
              <w:br/>
              <w:t>прилагођени примарни фискални биланс</w:t>
            </w:r>
          </w:p>
        </w:tc>
        <w:tc>
          <w:tcPr>
            <w:tcW w:w="0" w:type="auto"/>
            <w:vAlign w:val="center"/>
            <w:hideMark/>
          </w:tcPr>
          <w:p w14:paraId="7BE8158D" w14:textId="475B0DCE" w:rsidR="006D0778" w:rsidRPr="006D0778" w:rsidRDefault="006D0778" w:rsidP="006D0778">
            <w:pPr>
              <w:jc w:val="center"/>
              <w:cnfStyle w:val="100000000000" w:firstRow="1" w:lastRow="0" w:firstColumn="0" w:lastColumn="0" w:oddVBand="0" w:evenVBand="0" w:oddHBand="0" w:evenHBand="0" w:firstRowFirstColumn="0" w:firstRowLastColumn="0" w:lastRowFirstColumn="0" w:lastRowLastColumn="0"/>
              <w:rPr>
                <w:rFonts w:eastAsia="Times New Roman" w:cs="Times New Roman"/>
                <w:b w:val="0"/>
                <w:sz w:val="16"/>
                <w:szCs w:val="16"/>
              </w:rPr>
            </w:pPr>
            <w:r w:rsidRPr="006D0778">
              <w:rPr>
                <w:rFonts w:eastAsia="Times New Roman" w:cs="Times New Roman"/>
                <w:b w:val="0"/>
                <w:sz w:val="16"/>
                <w:szCs w:val="16"/>
              </w:rPr>
              <w:t>Структурни</w:t>
            </w:r>
            <w:r w:rsidR="00CF6476">
              <w:rPr>
                <w:rFonts w:eastAsia="Times New Roman" w:cs="Times New Roman"/>
                <w:b w:val="0"/>
                <w:sz w:val="16"/>
                <w:szCs w:val="16"/>
              </w:rPr>
              <w:t xml:space="preserve"> </w:t>
            </w:r>
            <w:r w:rsidRPr="006D0778">
              <w:rPr>
                <w:rFonts w:eastAsia="Times New Roman" w:cs="Times New Roman"/>
                <w:b w:val="0"/>
                <w:sz w:val="16"/>
                <w:szCs w:val="16"/>
              </w:rPr>
              <w:t>фискални биланс</w:t>
            </w:r>
          </w:p>
        </w:tc>
        <w:tc>
          <w:tcPr>
            <w:tcW w:w="0" w:type="auto"/>
            <w:vAlign w:val="center"/>
            <w:hideMark/>
          </w:tcPr>
          <w:p w14:paraId="118FBC6F" w14:textId="77777777" w:rsidR="006D0778" w:rsidRPr="006D0778" w:rsidRDefault="006D0778" w:rsidP="006D0778">
            <w:pPr>
              <w:jc w:val="center"/>
              <w:cnfStyle w:val="100000000000" w:firstRow="1" w:lastRow="0" w:firstColumn="0" w:lastColumn="0" w:oddVBand="0" w:evenVBand="0" w:oddHBand="0" w:evenHBand="0" w:firstRowFirstColumn="0" w:firstRowLastColumn="0" w:lastRowFirstColumn="0" w:lastRowLastColumn="0"/>
              <w:rPr>
                <w:rFonts w:eastAsia="Times New Roman" w:cs="Times New Roman"/>
                <w:b w:val="0"/>
                <w:sz w:val="16"/>
                <w:szCs w:val="16"/>
              </w:rPr>
            </w:pPr>
            <w:r w:rsidRPr="006D0778">
              <w:rPr>
                <w:rFonts w:eastAsia="Times New Roman" w:cs="Times New Roman"/>
                <w:b w:val="0"/>
                <w:sz w:val="16"/>
                <w:szCs w:val="16"/>
              </w:rPr>
              <w:t>Структурни примарни фискални биланс</w:t>
            </w:r>
          </w:p>
        </w:tc>
        <w:tc>
          <w:tcPr>
            <w:tcW w:w="0" w:type="auto"/>
            <w:vAlign w:val="center"/>
            <w:hideMark/>
          </w:tcPr>
          <w:p w14:paraId="523CABB1" w14:textId="77777777" w:rsidR="006D0778" w:rsidRPr="006D0778" w:rsidRDefault="006D0778" w:rsidP="006D0778">
            <w:pPr>
              <w:jc w:val="center"/>
              <w:cnfStyle w:val="100000000000" w:firstRow="1" w:lastRow="0" w:firstColumn="0" w:lastColumn="0" w:oddVBand="0" w:evenVBand="0" w:oddHBand="0" w:evenHBand="0" w:firstRowFirstColumn="0" w:firstRowLastColumn="0" w:lastRowFirstColumn="0" w:lastRowLastColumn="0"/>
              <w:rPr>
                <w:rFonts w:eastAsia="Times New Roman" w:cs="Times New Roman"/>
                <w:b w:val="0"/>
                <w:sz w:val="16"/>
                <w:szCs w:val="16"/>
              </w:rPr>
            </w:pPr>
            <w:r w:rsidRPr="006D0778">
              <w:rPr>
                <w:rFonts w:eastAsia="Times New Roman" w:cs="Times New Roman"/>
                <w:b w:val="0"/>
                <w:sz w:val="16"/>
                <w:szCs w:val="16"/>
              </w:rPr>
              <w:t>Фискални импулс</w:t>
            </w:r>
          </w:p>
        </w:tc>
      </w:tr>
      <w:tr w:rsidR="006D0778" w:rsidRPr="006D0778" w14:paraId="09AFB391" w14:textId="77777777" w:rsidTr="006D0778">
        <w:trPr>
          <w:cnfStyle w:val="000000100000" w:firstRow="0" w:lastRow="0" w:firstColumn="0" w:lastColumn="0" w:oddVBand="0" w:evenVBand="0" w:oddHBand="1" w:evenHBand="0" w:firstRowFirstColumn="0" w:firstRowLastColumn="0" w:lastRowFirstColumn="0" w:lastRowLastColumn="0"/>
          <w:trHeight w:val="20"/>
          <w:jc w:val="center"/>
        </w:trPr>
        <w:tc>
          <w:tcPr>
            <w:cnfStyle w:val="001000000000" w:firstRow="0" w:lastRow="0" w:firstColumn="1" w:lastColumn="0" w:oddVBand="0" w:evenVBand="0" w:oddHBand="0" w:evenHBand="0" w:firstRowFirstColumn="0" w:firstRowLastColumn="0" w:lastRowFirstColumn="0" w:lastRowLastColumn="0"/>
            <w:tcW w:w="709" w:type="dxa"/>
            <w:noWrap/>
            <w:hideMark/>
          </w:tcPr>
          <w:p w14:paraId="40258966" w14:textId="77777777" w:rsidR="006D0778" w:rsidRPr="006D0778" w:rsidRDefault="006D0778" w:rsidP="006D0778">
            <w:pPr>
              <w:jc w:val="left"/>
              <w:rPr>
                <w:rFonts w:eastAsia="Times New Roman" w:cs="Times New Roman"/>
                <w:sz w:val="16"/>
                <w:szCs w:val="16"/>
              </w:rPr>
            </w:pPr>
            <w:r w:rsidRPr="006D0778">
              <w:rPr>
                <w:rFonts w:eastAsia="Times New Roman" w:cs="Times New Roman"/>
                <w:sz w:val="16"/>
                <w:szCs w:val="16"/>
              </w:rPr>
              <w:t>2005</w:t>
            </w:r>
          </w:p>
        </w:tc>
        <w:tc>
          <w:tcPr>
            <w:tcW w:w="919" w:type="dxa"/>
            <w:hideMark/>
          </w:tcPr>
          <w:p w14:paraId="7B14E771"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0,0</w:t>
            </w:r>
          </w:p>
        </w:tc>
        <w:tc>
          <w:tcPr>
            <w:tcW w:w="0" w:type="auto"/>
            <w:hideMark/>
          </w:tcPr>
          <w:p w14:paraId="6BFFCEA3"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1,1</w:t>
            </w:r>
          </w:p>
        </w:tc>
        <w:tc>
          <w:tcPr>
            <w:tcW w:w="0" w:type="auto"/>
            <w:hideMark/>
          </w:tcPr>
          <w:p w14:paraId="4FA73554"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2,0</w:t>
            </w:r>
          </w:p>
        </w:tc>
        <w:tc>
          <w:tcPr>
            <w:tcW w:w="0" w:type="auto"/>
            <w:noWrap/>
            <w:hideMark/>
          </w:tcPr>
          <w:p w14:paraId="5CB5C9EE"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1,1</w:t>
            </w:r>
          </w:p>
        </w:tc>
        <w:tc>
          <w:tcPr>
            <w:tcW w:w="0" w:type="auto"/>
            <w:hideMark/>
          </w:tcPr>
          <w:p w14:paraId="45109750"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2,0</w:t>
            </w:r>
          </w:p>
        </w:tc>
        <w:tc>
          <w:tcPr>
            <w:tcW w:w="0" w:type="auto"/>
            <w:noWrap/>
            <w:hideMark/>
          </w:tcPr>
          <w:p w14:paraId="2889A876"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1,3</w:t>
            </w:r>
          </w:p>
        </w:tc>
        <w:tc>
          <w:tcPr>
            <w:tcW w:w="0" w:type="auto"/>
            <w:noWrap/>
            <w:hideMark/>
          </w:tcPr>
          <w:p w14:paraId="44108CE3"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2,2</w:t>
            </w:r>
          </w:p>
        </w:tc>
        <w:tc>
          <w:tcPr>
            <w:tcW w:w="0" w:type="auto"/>
            <w:noWrap/>
            <w:hideMark/>
          </w:tcPr>
          <w:p w14:paraId="49F9A805"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 </w:t>
            </w:r>
          </w:p>
        </w:tc>
      </w:tr>
      <w:tr w:rsidR="006D0778" w:rsidRPr="006D0778" w14:paraId="02E2CCAE" w14:textId="77777777" w:rsidTr="006D0778">
        <w:trPr>
          <w:trHeight w:val="20"/>
          <w:jc w:val="center"/>
        </w:trPr>
        <w:tc>
          <w:tcPr>
            <w:cnfStyle w:val="001000000000" w:firstRow="0" w:lastRow="0" w:firstColumn="1" w:lastColumn="0" w:oddVBand="0" w:evenVBand="0" w:oddHBand="0" w:evenHBand="0" w:firstRowFirstColumn="0" w:firstRowLastColumn="0" w:lastRowFirstColumn="0" w:lastRowLastColumn="0"/>
            <w:tcW w:w="709" w:type="dxa"/>
            <w:noWrap/>
            <w:hideMark/>
          </w:tcPr>
          <w:p w14:paraId="34887CCC" w14:textId="77777777" w:rsidR="006D0778" w:rsidRPr="006D0778" w:rsidRDefault="006D0778" w:rsidP="006D0778">
            <w:pPr>
              <w:jc w:val="left"/>
              <w:rPr>
                <w:rFonts w:eastAsia="Times New Roman" w:cs="Times New Roman"/>
                <w:sz w:val="16"/>
                <w:szCs w:val="16"/>
              </w:rPr>
            </w:pPr>
            <w:r w:rsidRPr="006D0778">
              <w:rPr>
                <w:rFonts w:eastAsia="Times New Roman" w:cs="Times New Roman"/>
                <w:sz w:val="16"/>
                <w:szCs w:val="16"/>
              </w:rPr>
              <w:t>2006</w:t>
            </w:r>
          </w:p>
        </w:tc>
        <w:tc>
          <w:tcPr>
            <w:tcW w:w="919" w:type="dxa"/>
            <w:hideMark/>
          </w:tcPr>
          <w:p w14:paraId="73285DA5"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-3,3</w:t>
            </w:r>
          </w:p>
        </w:tc>
        <w:tc>
          <w:tcPr>
            <w:tcW w:w="0" w:type="auto"/>
            <w:hideMark/>
          </w:tcPr>
          <w:p w14:paraId="6E9D8457"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-1,4</w:t>
            </w:r>
          </w:p>
        </w:tc>
        <w:tc>
          <w:tcPr>
            <w:tcW w:w="0" w:type="auto"/>
            <w:hideMark/>
          </w:tcPr>
          <w:p w14:paraId="2BEAF21F"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-0,1</w:t>
            </w:r>
          </w:p>
        </w:tc>
        <w:tc>
          <w:tcPr>
            <w:tcW w:w="0" w:type="auto"/>
            <w:noWrap/>
            <w:hideMark/>
          </w:tcPr>
          <w:p w14:paraId="6F57541E"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-0,2</w:t>
            </w:r>
          </w:p>
        </w:tc>
        <w:tc>
          <w:tcPr>
            <w:tcW w:w="0" w:type="auto"/>
            <w:hideMark/>
          </w:tcPr>
          <w:p w14:paraId="04430055"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1,0</w:t>
            </w:r>
          </w:p>
        </w:tc>
        <w:tc>
          <w:tcPr>
            <w:tcW w:w="0" w:type="auto"/>
            <w:hideMark/>
          </w:tcPr>
          <w:p w14:paraId="1970730E"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0,5</w:t>
            </w:r>
          </w:p>
        </w:tc>
        <w:tc>
          <w:tcPr>
            <w:tcW w:w="0" w:type="auto"/>
            <w:noWrap/>
            <w:hideMark/>
          </w:tcPr>
          <w:p w14:paraId="09FAA014"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1,7</w:t>
            </w:r>
          </w:p>
        </w:tc>
        <w:tc>
          <w:tcPr>
            <w:tcW w:w="0" w:type="auto"/>
            <w:noWrap/>
            <w:hideMark/>
          </w:tcPr>
          <w:p w14:paraId="6EDBD762"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0,9</w:t>
            </w:r>
          </w:p>
        </w:tc>
      </w:tr>
      <w:tr w:rsidR="006D0778" w:rsidRPr="006D0778" w14:paraId="638BC29C" w14:textId="77777777" w:rsidTr="006D0778">
        <w:trPr>
          <w:cnfStyle w:val="000000100000" w:firstRow="0" w:lastRow="0" w:firstColumn="0" w:lastColumn="0" w:oddVBand="0" w:evenVBand="0" w:oddHBand="1" w:evenHBand="0" w:firstRowFirstColumn="0" w:firstRowLastColumn="0" w:lastRowFirstColumn="0" w:lastRowLastColumn="0"/>
          <w:trHeight w:val="20"/>
          <w:jc w:val="center"/>
        </w:trPr>
        <w:tc>
          <w:tcPr>
            <w:cnfStyle w:val="001000000000" w:firstRow="0" w:lastRow="0" w:firstColumn="1" w:lastColumn="0" w:oddVBand="0" w:evenVBand="0" w:oddHBand="0" w:evenHBand="0" w:firstRowFirstColumn="0" w:firstRowLastColumn="0" w:lastRowFirstColumn="0" w:lastRowLastColumn="0"/>
            <w:tcW w:w="709" w:type="dxa"/>
            <w:noWrap/>
            <w:hideMark/>
          </w:tcPr>
          <w:p w14:paraId="51D2EF46" w14:textId="77777777" w:rsidR="006D0778" w:rsidRPr="006D0778" w:rsidRDefault="006D0778" w:rsidP="006D0778">
            <w:pPr>
              <w:jc w:val="left"/>
              <w:rPr>
                <w:rFonts w:eastAsia="Times New Roman" w:cs="Times New Roman"/>
                <w:sz w:val="16"/>
                <w:szCs w:val="16"/>
              </w:rPr>
            </w:pPr>
            <w:r w:rsidRPr="006D0778">
              <w:rPr>
                <w:rFonts w:eastAsia="Times New Roman" w:cs="Times New Roman"/>
                <w:sz w:val="16"/>
                <w:szCs w:val="16"/>
              </w:rPr>
              <w:t>2007</w:t>
            </w:r>
          </w:p>
        </w:tc>
        <w:tc>
          <w:tcPr>
            <w:tcW w:w="919" w:type="dxa"/>
            <w:hideMark/>
          </w:tcPr>
          <w:p w14:paraId="243235E3"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1,3</w:t>
            </w:r>
          </w:p>
        </w:tc>
        <w:tc>
          <w:tcPr>
            <w:tcW w:w="0" w:type="auto"/>
            <w:hideMark/>
          </w:tcPr>
          <w:p w14:paraId="354A0DB2"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-1,7</w:t>
            </w:r>
          </w:p>
        </w:tc>
        <w:tc>
          <w:tcPr>
            <w:tcW w:w="0" w:type="auto"/>
            <w:hideMark/>
          </w:tcPr>
          <w:p w14:paraId="74FC4365"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-1,2</w:t>
            </w:r>
          </w:p>
        </w:tc>
        <w:tc>
          <w:tcPr>
            <w:tcW w:w="0" w:type="auto"/>
            <w:noWrap/>
            <w:hideMark/>
          </w:tcPr>
          <w:p w14:paraId="0CB282D0"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-2,2</w:t>
            </w:r>
          </w:p>
        </w:tc>
        <w:tc>
          <w:tcPr>
            <w:tcW w:w="0" w:type="auto"/>
            <w:hideMark/>
          </w:tcPr>
          <w:p w14:paraId="375128A0"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-1,7</w:t>
            </w:r>
          </w:p>
        </w:tc>
        <w:tc>
          <w:tcPr>
            <w:tcW w:w="0" w:type="auto"/>
            <w:hideMark/>
          </w:tcPr>
          <w:p w14:paraId="3F904B68"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-1,9</w:t>
            </w:r>
          </w:p>
        </w:tc>
        <w:tc>
          <w:tcPr>
            <w:tcW w:w="0" w:type="auto"/>
            <w:noWrap/>
            <w:hideMark/>
          </w:tcPr>
          <w:p w14:paraId="1DA9A0FC"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-1,3</w:t>
            </w:r>
          </w:p>
        </w:tc>
        <w:tc>
          <w:tcPr>
            <w:tcW w:w="0" w:type="auto"/>
            <w:noWrap/>
            <w:hideMark/>
          </w:tcPr>
          <w:p w14:paraId="0F91B2F9"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2,7</w:t>
            </w:r>
          </w:p>
        </w:tc>
      </w:tr>
      <w:tr w:rsidR="006D0778" w:rsidRPr="006D0778" w14:paraId="294B7490" w14:textId="77777777" w:rsidTr="006D0778">
        <w:trPr>
          <w:trHeight w:val="20"/>
          <w:jc w:val="center"/>
        </w:trPr>
        <w:tc>
          <w:tcPr>
            <w:cnfStyle w:val="001000000000" w:firstRow="0" w:lastRow="0" w:firstColumn="1" w:lastColumn="0" w:oddVBand="0" w:evenVBand="0" w:oddHBand="0" w:evenHBand="0" w:firstRowFirstColumn="0" w:firstRowLastColumn="0" w:lastRowFirstColumn="0" w:lastRowLastColumn="0"/>
            <w:tcW w:w="709" w:type="dxa"/>
            <w:noWrap/>
            <w:hideMark/>
          </w:tcPr>
          <w:p w14:paraId="03B5D7CE" w14:textId="77777777" w:rsidR="006D0778" w:rsidRPr="006D0778" w:rsidRDefault="006D0778" w:rsidP="006D0778">
            <w:pPr>
              <w:jc w:val="left"/>
              <w:rPr>
                <w:rFonts w:eastAsia="Times New Roman" w:cs="Times New Roman"/>
                <w:sz w:val="16"/>
                <w:szCs w:val="16"/>
              </w:rPr>
            </w:pPr>
            <w:r w:rsidRPr="006D0778">
              <w:rPr>
                <w:rFonts w:eastAsia="Times New Roman" w:cs="Times New Roman"/>
                <w:sz w:val="16"/>
                <w:szCs w:val="16"/>
              </w:rPr>
              <w:t>2008</w:t>
            </w:r>
          </w:p>
        </w:tc>
        <w:tc>
          <w:tcPr>
            <w:tcW w:w="919" w:type="dxa"/>
            <w:hideMark/>
          </w:tcPr>
          <w:p w14:paraId="7224BA59"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4,1</w:t>
            </w:r>
          </w:p>
        </w:tc>
        <w:tc>
          <w:tcPr>
            <w:tcW w:w="0" w:type="auto"/>
            <w:hideMark/>
          </w:tcPr>
          <w:p w14:paraId="060DD13C"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-2,4</w:t>
            </w:r>
          </w:p>
        </w:tc>
        <w:tc>
          <w:tcPr>
            <w:tcW w:w="0" w:type="auto"/>
            <w:hideMark/>
          </w:tcPr>
          <w:p w14:paraId="5B20A9A9"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-1,9</w:t>
            </w:r>
          </w:p>
        </w:tc>
        <w:tc>
          <w:tcPr>
            <w:tcW w:w="0" w:type="auto"/>
            <w:noWrap/>
            <w:hideMark/>
          </w:tcPr>
          <w:p w14:paraId="0F19A173"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-3,9</w:t>
            </w:r>
          </w:p>
        </w:tc>
        <w:tc>
          <w:tcPr>
            <w:tcW w:w="0" w:type="auto"/>
            <w:hideMark/>
          </w:tcPr>
          <w:p w14:paraId="65535F37"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-3,3</w:t>
            </w:r>
          </w:p>
        </w:tc>
        <w:tc>
          <w:tcPr>
            <w:tcW w:w="0" w:type="auto"/>
            <w:hideMark/>
          </w:tcPr>
          <w:p w14:paraId="4A78A1CA"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-3,9</w:t>
            </w:r>
          </w:p>
        </w:tc>
        <w:tc>
          <w:tcPr>
            <w:tcW w:w="0" w:type="auto"/>
            <w:noWrap/>
            <w:hideMark/>
          </w:tcPr>
          <w:p w14:paraId="10E38FF0"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-3,4</w:t>
            </w:r>
          </w:p>
        </w:tc>
        <w:tc>
          <w:tcPr>
            <w:tcW w:w="0" w:type="auto"/>
            <w:noWrap/>
            <w:hideMark/>
          </w:tcPr>
          <w:p w14:paraId="05159D98"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1,7</w:t>
            </w:r>
          </w:p>
        </w:tc>
      </w:tr>
      <w:tr w:rsidR="006D0778" w:rsidRPr="006D0778" w14:paraId="4AD123E1" w14:textId="77777777" w:rsidTr="006D0778">
        <w:trPr>
          <w:cnfStyle w:val="000000100000" w:firstRow="0" w:lastRow="0" w:firstColumn="0" w:lastColumn="0" w:oddVBand="0" w:evenVBand="0" w:oddHBand="1" w:evenHBand="0" w:firstRowFirstColumn="0" w:firstRowLastColumn="0" w:lastRowFirstColumn="0" w:lastRowLastColumn="0"/>
          <w:trHeight w:val="20"/>
          <w:jc w:val="center"/>
        </w:trPr>
        <w:tc>
          <w:tcPr>
            <w:cnfStyle w:val="001000000000" w:firstRow="0" w:lastRow="0" w:firstColumn="1" w:lastColumn="0" w:oddVBand="0" w:evenVBand="0" w:oddHBand="0" w:evenHBand="0" w:firstRowFirstColumn="0" w:firstRowLastColumn="0" w:lastRowFirstColumn="0" w:lastRowLastColumn="0"/>
            <w:tcW w:w="709" w:type="dxa"/>
            <w:noWrap/>
            <w:hideMark/>
          </w:tcPr>
          <w:p w14:paraId="4EC36F76" w14:textId="77777777" w:rsidR="006D0778" w:rsidRPr="006D0778" w:rsidRDefault="006D0778" w:rsidP="006D0778">
            <w:pPr>
              <w:jc w:val="left"/>
              <w:rPr>
                <w:rFonts w:eastAsia="Times New Roman" w:cs="Times New Roman"/>
                <w:sz w:val="16"/>
                <w:szCs w:val="16"/>
              </w:rPr>
            </w:pPr>
            <w:r w:rsidRPr="006D0778">
              <w:rPr>
                <w:rFonts w:eastAsia="Times New Roman" w:cs="Times New Roman"/>
                <w:sz w:val="16"/>
                <w:szCs w:val="16"/>
              </w:rPr>
              <w:t>2009</w:t>
            </w:r>
          </w:p>
        </w:tc>
        <w:tc>
          <w:tcPr>
            <w:tcW w:w="919" w:type="dxa"/>
            <w:hideMark/>
          </w:tcPr>
          <w:p w14:paraId="3A97CFB8"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-0,5</w:t>
            </w:r>
          </w:p>
        </w:tc>
        <w:tc>
          <w:tcPr>
            <w:tcW w:w="0" w:type="auto"/>
            <w:hideMark/>
          </w:tcPr>
          <w:p w14:paraId="6D08951E"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-4,0</w:t>
            </w:r>
          </w:p>
        </w:tc>
        <w:tc>
          <w:tcPr>
            <w:tcW w:w="0" w:type="auto"/>
            <w:hideMark/>
          </w:tcPr>
          <w:p w14:paraId="7D4D807A"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-3,4</w:t>
            </w:r>
          </w:p>
        </w:tc>
        <w:tc>
          <w:tcPr>
            <w:tcW w:w="0" w:type="auto"/>
            <w:noWrap/>
            <w:hideMark/>
          </w:tcPr>
          <w:p w14:paraId="2146CDC5"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-3,8</w:t>
            </w:r>
          </w:p>
        </w:tc>
        <w:tc>
          <w:tcPr>
            <w:tcW w:w="0" w:type="auto"/>
            <w:hideMark/>
          </w:tcPr>
          <w:p w14:paraId="3450C560"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-3,2</w:t>
            </w:r>
          </w:p>
        </w:tc>
        <w:tc>
          <w:tcPr>
            <w:tcW w:w="0" w:type="auto"/>
            <w:hideMark/>
          </w:tcPr>
          <w:p w14:paraId="19B0C04E"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-3,9</w:t>
            </w:r>
          </w:p>
        </w:tc>
        <w:tc>
          <w:tcPr>
            <w:tcW w:w="0" w:type="auto"/>
            <w:noWrap/>
            <w:hideMark/>
          </w:tcPr>
          <w:p w14:paraId="2CCE2E4E"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-3,3</w:t>
            </w:r>
          </w:p>
        </w:tc>
        <w:tc>
          <w:tcPr>
            <w:tcW w:w="0" w:type="auto"/>
            <w:noWrap/>
            <w:hideMark/>
          </w:tcPr>
          <w:p w14:paraId="7CD32220"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-0,1</w:t>
            </w:r>
          </w:p>
        </w:tc>
      </w:tr>
      <w:tr w:rsidR="006D0778" w:rsidRPr="006D0778" w14:paraId="3DD8CD1B" w14:textId="77777777" w:rsidTr="006D0778">
        <w:trPr>
          <w:trHeight w:val="20"/>
          <w:jc w:val="center"/>
        </w:trPr>
        <w:tc>
          <w:tcPr>
            <w:cnfStyle w:val="001000000000" w:firstRow="0" w:lastRow="0" w:firstColumn="1" w:lastColumn="0" w:oddVBand="0" w:evenVBand="0" w:oddHBand="0" w:evenHBand="0" w:firstRowFirstColumn="0" w:firstRowLastColumn="0" w:lastRowFirstColumn="0" w:lastRowLastColumn="0"/>
            <w:tcW w:w="709" w:type="dxa"/>
            <w:noWrap/>
            <w:hideMark/>
          </w:tcPr>
          <w:p w14:paraId="545A4B20" w14:textId="77777777" w:rsidR="006D0778" w:rsidRPr="006D0778" w:rsidRDefault="006D0778" w:rsidP="006D0778">
            <w:pPr>
              <w:jc w:val="left"/>
              <w:rPr>
                <w:rFonts w:eastAsia="Times New Roman" w:cs="Times New Roman"/>
                <w:sz w:val="16"/>
                <w:szCs w:val="16"/>
              </w:rPr>
            </w:pPr>
            <w:r w:rsidRPr="006D0778">
              <w:rPr>
                <w:rFonts w:eastAsia="Times New Roman" w:cs="Times New Roman"/>
                <w:sz w:val="16"/>
                <w:szCs w:val="16"/>
              </w:rPr>
              <w:t>2010</w:t>
            </w:r>
          </w:p>
        </w:tc>
        <w:tc>
          <w:tcPr>
            <w:tcW w:w="919" w:type="dxa"/>
            <w:hideMark/>
          </w:tcPr>
          <w:p w14:paraId="2700E30B"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0,4</w:t>
            </w:r>
          </w:p>
        </w:tc>
        <w:tc>
          <w:tcPr>
            <w:tcW w:w="0" w:type="auto"/>
            <w:hideMark/>
          </w:tcPr>
          <w:p w14:paraId="6812DD5B"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-4,2</w:t>
            </w:r>
          </w:p>
        </w:tc>
        <w:tc>
          <w:tcPr>
            <w:tcW w:w="0" w:type="auto"/>
            <w:hideMark/>
          </w:tcPr>
          <w:p w14:paraId="36C2ED63"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-3,2</w:t>
            </w:r>
          </w:p>
        </w:tc>
        <w:tc>
          <w:tcPr>
            <w:tcW w:w="0" w:type="auto"/>
            <w:noWrap/>
            <w:hideMark/>
          </w:tcPr>
          <w:p w14:paraId="6F19B612"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-4,3</w:t>
            </w:r>
          </w:p>
        </w:tc>
        <w:tc>
          <w:tcPr>
            <w:tcW w:w="0" w:type="auto"/>
            <w:hideMark/>
          </w:tcPr>
          <w:p w14:paraId="486AB8D7"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-3,4</w:t>
            </w:r>
          </w:p>
        </w:tc>
        <w:tc>
          <w:tcPr>
            <w:tcW w:w="0" w:type="auto"/>
            <w:hideMark/>
          </w:tcPr>
          <w:p w14:paraId="4141E3F3"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-4,4</w:t>
            </w:r>
          </w:p>
        </w:tc>
        <w:tc>
          <w:tcPr>
            <w:tcW w:w="0" w:type="auto"/>
            <w:noWrap/>
            <w:hideMark/>
          </w:tcPr>
          <w:p w14:paraId="17D2C4EF"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-3,5</w:t>
            </w:r>
          </w:p>
        </w:tc>
        <w:tc>
          <w:tcPr>
            <w:tcW w:w="0" w:type="auto"/>
            <w:noWrap/>
            <w:hideMark/>
          </w:tcPr>
          <w:p w14:paraId="0BD9CEA2"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0,2</w:t>
            </w:r>
          </w:p>
        </w:tc>
      </w:tr>
      <w:tr w:rsidR="006D0778" w:rsidRPr="006D0778" w14:paraId="30908607" w14:textId="77777777" w:rsidTr="006D0778">
        <w:trPr>
          <w:cnfStyle w:val="000000100000" w:firstRow="0" w:lastRow="0" w:firstColumn="0" w:lastColumn="0" w:oddVBand="0" w:evenVBand="0" w:oddHBand="1" w:evenHBand="0" w:firstRowFirstColumn="0" w:firstRowLastColumn="0" w:lastRowFirstColumn="0" w:lastRowLastColumn="0"/>
          <w:trHeight w:val="20"/>
          <w:jc w:val="center"/>
        </w:trPr>
        <w:tc>
          <w:tcPr>
            <w:cnfStyle w:val="001000000000" w:firstRow="0" w:lastRow="0" w:firstColumn="1" w:lastColumn="0" w:oddVBand="0" w:evenVBand="0" w:oddHBand="0" w:evenHBand="0" w:firstRowFirstColumn="0" w:firstRowLastColumn="0" w:lastRowFirstColumn="0" w:lastRowLastColumn="0"/>
            <w:tcW w:w="709" w:type="dxa"/>
            <w:noWrap/>
            <w:hideMark/>
          </w:tcPr>
          <w:p w14:paraId="41415DC0" w14:textId="77777777" w:rsidR="006D0778" w:rsidRPr="006D0778" w:rsidRDefault="006D0778" w:rsidP="006D0778">
            <w:pPr>
              <w:jc w:val="left"/>
              <w:rPr>
                <w:rFonts w:eastAsia="Times New Roman" w:cs="Times New Roman"/>
                <w:sz w:val="16"/>
                <w:szCs w:val="16"/>
              </w:rPr>
            </w:pPr>
            <w:r w:rsidRPr="006D0778">
              <w:rPr>
                <w:rFonts w:eastAsia="Times New Roman" w:cs="Times New Roman"/>
                <w:sz w:val="16"/>
                <w:szCs w:val="16"/>
              </w:rPr>
              <w:t>2011</w:t>
            </w:r>
          </w:p>
        </w:tc>
        <w:tc>
          <w:tcPr>
            <w:tcW w:w="919" w:type="dxa"/>
            <w:hideMark/>
          </w:tcPr>
          <w:p w14:paraId="03B65988"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0,3</w:t>
            </w:r>
          </w:p>
        </w:tc>
        <w:tc>
          <w:tcPr>
            <w:tcW w:w="0" w:type="auto"/>
            <w:hideMark/>
          </w:tcPr>
          <w:p w14:paraId="05957487"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-4,3</w:t>
            </w:r>
          </w:p>
        </w:tc>
        <w:tc>
          <w:tcPr>
            <w:tcW w:w="0" w:type="auto"/>
            <w:hideMark/>
          </w:tcPr>
          <w:p w14:paraId="51A40269"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-3,2</w:t>
            </w:r>
          </w:p>
        </w:tc>
        <w:tc>
          <w:tcPr>
            <w:tcW w:w="0" w:type="auto"/>
            <w:noWrap/>
            <w:hideMark/>
          </w:tcPr>
          <w:p w14:paraId="1BFD45CC"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-4,5</w:t>
            </w:r>
          </w:p>
        </w:tc>
        <w:tc>
          <w:tcPr>
            <w:tcW w:w="0" w:type="auto"/>
            <w:hideMark/>
          </w:tcPr>
          <w:p w14:paraId="5E6B59CE"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-3,4</w:t>
            </w:r>
          </w:p>
        </w:tc>
        <w:tc>
          <w:tcPr>
            <w:tcW w:w="0" w:type="auto"/>
            <w:hideMark/>
          </w:tcPr>
          <w:p w14:paraId="5761249A"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-4,7</w:t>
            </w:r>
          </w:p>
        </w:tc>
        <w:tc>
          <w:tcPr>
            <w:tcW w:w="0" w:type="auto"/>
            <w:noWrap/>
            <w:hideMark/>
          </w:tcPr>
          <w:p w14:paraId="44C60FF2"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-3,6</w:t>
            </w:r>
          </w:p>
        </w:tc>
        <w:tc>
          <w:tcPr>
            <w:tcW w:w="0" w:type="auto"/>
            <w:noWrap/>
            <w:hideMark/>
          </w:tcPr>
          <w:p w14:paraId="7D5E953F"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0,0</w:t>
            </w:r>
          </w:p>
        </w:tc>
      </w:tr>
      <w:tr w:rsidR="006D0778" w:rsidRPr="006D0778" w14:paraId="47D3418F" w14:textId="77777777" w:rsidTr="006D0778">
        <w:trPr>
          <w:trHeight w:val="20"/>
          <w:jc w:val="center"/>
        </w:trPr>
        <w:tc>
          <w:tcPr>
            <w:cnfStyle w:val="001000000000" w:firstRow="0" w:lastRow="0" w:firstColumn="1" w:lastColumn="0" w:oddVBand="0" w:evenVBand="0" w:oddHBand="0" w:evenHBand="0" w:firstRowFirstColumn="0" w:firstRowLastColumn="0" w:lastRowFirstColumn="0" w:lastRowLastColumn="0"/>
            <w:tcW w:w="709" w:type="dxa"/>
            <w:noWrap/>
            <w:hideMark/>
          </w:tcPr>
          <w:p w14:paraId="33728300" w14:textId="77777777" w:rsidR="006D0778" w:rsidRPr="006D0778" w:rsidRDefault="006D0778" w:rsidP="006D0778">
            <w:pPr>
              <w:jc w:val="left"/>
              <w:rPr>
                <w:rFonts w:eastAsia="Times New Roman" w:cs="Times New Roman"/>
                <w:sz w:val="16"/>
                <w:szCs w:val="16"/>
              </w:rPr>
            </w:pPr>
            <w:r w:rsidRPr="006D0778">
              <w:rPr>
                <w:rFonts w:eastAsia="Times New Roman" w:cs="Times New Roman"/>
                <w:sz w:val="16"/>
                <w:szCs w:val="16"/>
              </w:rPr>
              <w:lastRenderedPageBreak/>
              <w:t>2012</w:t>
            </w:r>
          </w:p>
        </w:tc>
        <w:tc>
          <w:tcPr>
            <w:tcW w:w="919" w:type="dxa"/>
            <w:hideMark/>
          </w:tcPr>
          <w:p w14:paraId="4B186347"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0,0</w:t>
            </w:r>
          </w:p>
        </w:tc>
        <w:tc>
          <w:tcPr>
            <w:tcW w:w="0" w:type="auto"/>
            <w:hideMark/>
          </w:tcPr>
          <w:p w14:paraId="01A57130"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-6,2</w:t>
            </w:r>
          </w:p>
        </w:tc>
        <w:tc>
          <w:tcPr>
            <w:tcW w:w="0" w:type="auto"/>
            <w:hideMark/>
          </w:tcPr>
          <w:p w14:paraId="42F40279"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-4,5</w:t>
            </w:r>
          </w:p>
        </w:tc>
        <w:tc>
          <w:tcPr>
            <w:tcW w:w="0" w:type="auto"/>
            <w:noWrap/>
            <w:hideMark/>
          </w:tcPr>
          <w:p w14:paraId="260FB31A"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-6,2</w:t>
            </w:r>
          </w:p>
        </w:tc>
        <w:tc>
          <w:tcPr>
            <w:tcW w:w="0" w:type="auto"/>
            <w:hideMark/>
          </w:tcPr>
          <w:p w14:paraId="4356B4E7"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-4,5</w:t>
            </w:r>
          </w:p>
        </w:tc>
        <w:tc>
          <w:tcPr>
            <w:tcW w:w="0" w:type="auto"/>
            <w:hideMark/>
          </w:tcPr>
          <w:p w14:paraId="7066CE31"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-6,1</w:t>
            </w:r>
          </w:p>
        </w:tc>
        <w:tc>
          <w:tcPr>
            <w:tcW w:w="0" w:type="auto"/>
            <w:noWrap/>
            <w:hideMark/>
          </w:tcPr>
          <w:p w14:paraId="33012A8F"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-4,5</w:t>
            </w:r>
          </w:p>
        </w:tc>
        <w:tc>
          <w:tcPr>
            <w:tcW w:w="0" w:type="auto"/>
            <w:noWrap/>
            <w:hideMark/>
          </w:tcPr>
          <w:p w14:paraId="4ECA740F"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1,2</w:t>
            </w:r>
          </w:p>
        </w:tc>
      </w:tr>
      <w:tr w:rsidR="006D0778" w:rsidRPr="006D0778" w14:paraId="607454E8" w14:textId="77777777" w:rsidTr="006D0778">
        <w:trPr>
          <w:cnfStyle w:val="000000100000" w:firstRow="0" w:lastRow="0" w:firstColumn="0" w:lastColumn="0" w:oddVBand="0" w:evenVBand="0" w:oddHBand="1" w:evenHBand="0" w:firstRowFirstColumn="0" w:firstRowLastColumn="0" w:lastRowFirstColumn="0" w:lastRowLastColumn="0"/>
          <w:trHeight w:val="20"/>
          <w:jc w:val="center"/>
        </w:trPr>
        <w:tc>
          <w:tcPr>
            <w:cnfStyle w:val="001000000000" w:firstRow="0" w:lastRow="0" w:firstColumn="1" w:lastColumn="0" w:oddVBand="0" w:evenVBand="0" w:oddHBand="0" w:evenHBand="0" w:firstRowFirstColumn="0" w:firstRowLastColumn="0" w:lastRowFirstColumn="0" w:lastRowLastColumn="0"/>
            <w:tcW w:w="709" w:type="dxa"/>
            <w:noWrap/>
            <w:hideMark/>
          </w:tcPr>
          <w:p w14:paraId="0E86EA30" w14:textId="77777777" w:rsidR="006D0778" w:rsidRPr="006D0778" w:rsidRDefault="006D0778" w:rsidP="006D0778">
            <w:pPr>
              <w:jc w:val="left"/>
              <w:rPr>
                <w:rFonts w:eastAsia="Times New Roman" w:cs="Times New Roman"/>
                <w:sz w:val="16"/>
                <w:szCs w:val="16"/>
              </w:rPr>
            </w:pPr>
            <w:r w:rsidRPr="006D0778">
              <w:rPr>
                <w:rFonts w:eastAsia="Times New Roman" w:cs="Times New Roman"/>
                <w:sz w:val="16"/>
                <w:szCs w:val="16"/>
              </w:rPr>
              <w:t>2013</w:t>
            </w:r>
          </w:p>
        </w:tc>
        <w:tc>
          <w:tcPr>
            <w:tcW w:w="919" w:type="dxa"/>
            <w:hideMark/>
          </w:tcPr>
          <w:p w14:paraId="68D2E1BE"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0,4</w:t>
            </w:r>
          </w:p>
        </w:tc>
        <w:tc>
          <w:tcPr>
            <w:tcW w:w="0" w:type="auto"/>
            <w:hideMark/>
          </w:tcPr>
          <w:p w14:paraId="7D2B199A"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-4,9</w:t>
            </w:r>
          </w:p>
        </w:tc>
        <w:tc>
          <w:tcPr>
            <w:tcW w:w="0" w:type="auto"/>
            <w:hideMark/>
          </w:tcPr>
          <w:p w14:paraId="79821224"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-2,8</w:t>
            </w:r>
          </w:p>
        </w:tc>
        <w:tc>
          <w:tcPr>
            <w:tcW w:w="0" w:type="auto"/>
            <w:noWrap/>
            <w:hideMark/>
          </w:tcPr>
          <w:p w14:paraId="0DFEF02F"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-5,1</w:t>
            </w:r>
          </w:p>
        </w:tc>
        <w:tc>
          <w:tcPr>
            <w:tcW w:w="0" w:type="auto"/>
            <w:hideMark/>
          </w:tcPr>
          <w:p w14:paraId="0850ED5B"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-3,0</w:t>
            </w:r>
          </w:p>
        </w:tc>
        <w:tc>
          <w:tcPr>
            <w:tcW w:w="0" w:type="auto"/>
            <w:hideMark/>
          </w:tcPr>
          <w:p w14:paraId="23AE6AF7"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-4,8</w:t>
            </w:r>
          </w:p>
        </w:tc>
        <w:tc>
          <w:tcPr>
            <w:tcW w:w="0" w:type="auto"/>
            <w:noWrap/>
            <w:hideMark/>
          </w:tcPr>
          <w:p w14:paraId="754A5454"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-2,7</w:t>
            </w:r>
          </w:p>
        </w:tc>
        <w:tc>
          <w:tcPr>
            <w:tcW w:w="0" w:type="auto"/>
            <w:noWrap/>
            <w:hideMark/>
          </w:tcPr>
          <w:p w14:paraId="3F92091C"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-1,5</w:t>
            </w:r>
          </w:p>
        </w:tc>
      </w:tr>
      <w:tr w:rsidR="006D0778" w:rsidRPr="006D0778" w14:paraId="17B62121" w14:textId="77777777" w:rsidTr="006D0778">
        <w:trPr>
          <w:trHeight w:val="20"/>
          <w:jc w:val="center"/>
        </w:trPr>
        <w:tc>
          <w:tcPr>
            <w:cnfStyle w:val="001000000000" w:firstRow="0" w:lastRow="0" w:firstColumn="1" w:lastColumn="0" w:oddVBand="0" w:evenVBand="0" w:oddHBand="0" w:evenHBand="0" w:firstRowFirstColumn="0" w:firstRowLastColumn="0" w:lastRowFirstColumn="0" w:lastRowLastColumn="0"/>
            <w:tcW w:w="709" w:type="dxa"/>
            <w:noWrap/>
            <w:hideMark/>
          </w:tcPr>
          <w:p w14:paraId="69EA2B09" w14:textId="77777777" w:rsidR="006D0778" w:rsidRPr="006D0778" w:rsidRDefault="006D0778" w:rsidP="006D0778">
            <w:pPr>
              <w:jc w:val="left"/>
              <w:rPr>
                <w:rFonts w:eastAsia="Times New Roman" w:cs="Times New Roman"/>
                <w:sz w:val="16"/>
                <w:szCs w:val="16"/>
              </w:rPr>
            </w:pPr>
            <w:r w:rsidRPr="006D0778">
              <w:rPr>
                <w:rFonts w:eastAsia="Times New Roman" w:cs="Times New Roman"/>
                <w:sz w:val="16"/>
                <w:szCs w:val="16"/>
              </w:rPr>
              <w:t>2014</w:t>
            </w:r>
          </w:p>
        </w:tc>
        <w:tc>
          <w:tcPr>
            <w:tcW w:w="919" w:type="dxa"/>
            <w:hideMark/>
          </w:tcPr>
          <w:p w14:paraId="5781E18B"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-1,7</w:t>
            </w:r>
          </w:p>
        </w:tc>
        <w:tc>
          <w:tcPr>
            <w:tcW w:w="0" w:type="auto"/>
            <w:hideMark/>
          </w:tcPr>
          <w:p w14:paraId="2CB67334"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-5,9</w:t>
            </w:r>
          </w:p>
        </w:tc>
        <w:tc>
          <w:tcPr>
            <w:tcW w:w="0" w:type="auto"/>
            <w:hideMark/>
          </w:tcPr>
          <w:p w14:paraId="6E6E6655"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-3,4</w:t>
            </w:r>
          </w:p>
        </w:tc>
        <w:tc>
          <w:tcPr>
            <w:tcW w:w="0" w:type="auto"/>
            <w:noWrap/>
            <w:hideMark/>
          </w:tcPr>
          <w:p w14:paraId="1C58BFEB"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-5,3</w:t>
            </w:r>
          </w:p>
        </w:tc>
        <w:tc>
          <w:tcPr>
            <w:tcW w:w="0" w:type="auto"/>
            <w:hideMark/>
          </w:tcPr>
          <w:p w14:paraId="13C769B9"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-2,8</w:t>
            </w:r>
          </w:p>
        </w:tc>
        <w:tc>
          <w:tcPr>
            <w:tcW w:w="0" w:type="auto"/>
            <w:hideMark/>
          </w:tcPr>
          <w:p w14:paraId="642F9F65"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-4,5</w:t>
            </w:r>
          </w:p>
        </w:tc>
        <w:tc>
          <w:tcPr>
            <w:tcW w:w="0" w:type="auto"/>
            <w:noWrap/>
            <w:hideMark/>
          </w:tcPr>
          <w:p w14:paraId="1202C095"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-2,0</w:t>
            </w:r>
          </w:p>
        </w:tc>
        <w:tc>
          <w:tcPr>
            <w:tcW w:w="0" w:type="auto"/>
            <w:noWrap/>
            <w:hideMark/>
          </w:tcPr>
          <w:p w14:paraId="0EA2D445"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-0,2</w:t>
            </w:r>
          </w:p>
        </w:tc>
      </w:tr>
      <w:tr w:rsidR="006D0778" w:rsidRPr="006D0778" w14:paraId="5F636C85" w14:textId="77777777" w:rsidTr="006D0778">
        <w:trPr>
          <w:cnfStyle w:val="000000100000" w:firstRow="0" w:lastRow="0" w:firstColumn="0" w:lastColumn="0" w:oddVBand="0" w:evenVBand="0" w:oddHBand="1" w:evenHBand="0" w:firstRowFirstColumn="0" w:firstRowLastColumn="0" w:lastRowFirstColumn="0" w:lastRowLastColumn="0"/>
          <w:trHeight w:val="20"/>
          <w:jc w:val="center"/>
        </w:trPr>
        <w:tc>
          <w:tcPr>
            <w:cnfStyle w:val="001000000000" w:firstRow="0" w:lastRow="0" w:firstColumn="1" w:lastColumn="0" w:oddVBand="0" w:evenVBand="0" w:oddHBand="0" w:evenHBand="0" w:firstRowFirstColumn="0" w:firstRowLastColumn="0" w:lastRowFirstColumn="0" w:lastRowLastColumn="0"/>
            <w:tcW w:w="709" w:type="dxa"/>
            <w:noWrap/>
            <w:hideMark/>
          </w:tcPr>
          <w:p w14:paraId="41219C18" w14:textId="77777777" w:rsidR="006D0778" w:rsidRPr="006D0778" w:rsidRDefault="006D0778" w:rsidP="006D0778">
            <w:pPr>
              <w:jc w:val="left"/>
              <w:rPr>
                <w:rFonts w:eastAsia="Times New Roman" w:cs="Times New Roman"/>
                <w:sz w:val="16"/>
                <w:szCs w:val="16"/>
              </w:rPr>
            </w:pPr>
            <w:r w:rsidRPr="006D0778">
              <w:rPr>
                <w:rFonts w:eastAsia="Times New Roman" w:cs="Times New Roman"/>
                <w:sz w:val="16"/>
                <w:szCs w:val="16"/>
              </w:rPr>
              <w:t>2015</w:t>
            </w:r>
          </w:p>
        </w:tc>
        <w:tc>
          <w:tcPr>
            <w:tcW w:w="919" w:type="dxa"/>
            <w:hideMark/>
          </w:tcPr>
          <w:p w14:paraId="416E2BE5"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-1,4</w:t>
            </w:r>
          </w:p>
        </w:tc>
        <w:tc>
          <w:tcPr>
            <w:tcW w:w="0" w:type="auto"/>
            <w:hideMark/>
          </w:tcPr>
          <w:p w14:paraId="3A96CE9A"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-3,3</w:t>
            </w:r>
          </w:p>
        </w:tc>
        <w:tc>
          <w:tcPr>
            <w:tcW w:w="0" w:type="auto"/>
            <w:hideMark/>
          </w:tcPr>
          <w:p w14:paraId="4680BEB0"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-0,5</w:t>
            </w:r>
          </w:p>
        </w:tc>
        <w:tc>
          <w:tcPr>
            <w:tcW w:w="0" w:type="auto"/>
            <w:noWrap/>
            <w:hideMark/>
          </w:tcPr>
          <w:p w14:paraId="5420507C"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-2,8</w:t>
            </w:r>
          </w:p>
        </w:tc>
        <w:tc>
          <w:tcPr>
            <w:tcW w:w="0" w:type="auto"/>
            <w:hideMark/>
          </w:tcPr>
          <w:p w14:paraId="76BC8A1F"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0,1</w:t>
            </w:r>
          </w:p>
        </w:tc>
        <w:tc>
          <w:tcPr>
            <w:tcW w:w="0" w:type="auto"/>
            <w:hideMark/>
          </w:tcPr>
          <w:p w14:paraId="3A0BC8BD"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-2,0</w:t>
            </w:r>
          </w:p>
        </w:tc>
        <w:tc>
          <w:tcPr>
            <w:tcW w:w="0" w:type="auto"/>
            <w:noWrap/>
            <w:hideMark/>
          </w:tcPr>
          <w:p w14:paraId="7120CFB3"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0,9</w:t>
            </w:r>
          </w:p>
        </w:tc>
        <w:tc>
          <w:tcPr>
            <w:tcW w:w="0" w:type="auto"/>
            <w:noWrap/>
            <w:hideMark/>
          </w:tcPr>
          <w:p w14:paraId="12CD0C74"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-2,9</w:t>
            </w:r>
          </w:p>
        </w:tc>
      </w:tr>
      <w:tr w:rsidR="006D0778" w:rsidRPr="006D0778" w14:paraId="5F723A5F" w14:textId="77777777" w:rsidTr="006D0778">
        <w:trPr>
          <w:trHeight w:val="20"/>
          <w:jc w:val="center"/>
        </w:trPr>
        <w:tc>
          <w:tcPr>
            <w:cnfStyle w:val="001000000000" w:firstRow="0" w:lastRow="0" w:firstColumn="1" w:lastColumn="0" w:oddVBand="0" w:evenVBand="0" w:oddHBand="0" w:evenHBand="0" w:firstRowFirstColumn="0" w:firstRowLastColumn="0" w:lastRowFirstColumn="0" w:lastRowLastColumn="0"/>
            <w:tcW w:w="709" w:type="dxa"/>
            <w:noWrap/>
            <w:hideMark/>
          </w:tcPr>
          <w:p w14:paraId="044714DE" w14:textId="77777777" w:rsidR="006D0778" w:rsidRPr="006D0778" w:rsidRDefault="006D0778" w:rsidP="006D0778">
            <w:pPr>
              <w:jc w:val="left"/>
              <w:rPr>
                <w:rFonts w:eastAsia="Times New Roman" w:cs="Times New Roman"/>
                <w:sz w:val="16"/>
                <w:szCs w:val="16"/>
              </w:rPr>
            </w:pPr>
            <w:r w:rsidRPr="006D0778">
              <w:rPr>
                <w:rFonts w:eastAsia="Times New Roman" w:cs="Times New Roman"/>
                <w:sz w:val="16"/>
                <w:szCs w:val="16"/>
              </w:rPr>
              <w:t>2016</w:t>
            </w:r>
          </w:p>
        </w:tc>
        <w:tc>
          <w:tcPr>
            <w:tcW w:w="919" w:type="dxa"/>
            <w:noWrap/>
            <w:hideMark/>
          </w:tcPr>
          <w:p w14:paraId="35F8475D"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-0,4</w:t>
            </w:r>
          </w:p>
        </w:tc>
        <w:tc>
          <w:tcPr>
            <w:tcW w:w="0" w:type="auto"/>
            <w:noWrap/>
            <w:hideMark/>
          </w:tcPr>
          <w:p w14:paraId="10D695E7"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-1,1</w:t>
            </w:r>
          </w:p>
        </w:tc>
        <w:tc>
          <w:tcPr>
            <w:tcW w:w="0" w:type="auto"/>
            <w:noWrap/>
            <w:hideMark/>
          </w:tcPr>
          <w:p w14:paraId="13416D9A"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1,6</w:t>
            </w:r>
          </w:p>
        </w:tc>
        <w:tc>
          <w:tcPr>
            <w:tcW w:w="0" w:type="auto"/>
            <w:noWrap/>
            <w:hideMark/>
          </w:tcPr>
          <w:p w14:paraId="501666A4"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-1,0</w:t>
            </w:r>
          </w:p>
        </w:tc>
        <w:tc>
          <w:tcPr>
            <w:tcW w:w="0" w:type="auto"/>
            <w:hideMark/>
          </w:tcPr>
          <w:p w14:paraId="066C762D"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1,8</w:t>
            </w:r>
          </w:p>
        </w:tc>
        <w:tc>
          <w:tcPr>
            <w:tcW w:w="0" w:type="auto"/>
            <w:hideMark/>
          </w:tcPr>
          <w:p w14:paraId="09FE5299"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-0,9</w:t>
            </w:r>
          </w:p>
        </w:tc>
        <w:tc>
          <w:tcPr>
            <w:tcW w:w="0" w:type="auto"/>
            <w:noWrap/>
            <w:hideMark/>
          </w:tcPr>
          <w:p w14:paraId="7CB37E89"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1,8</w:t>
            </w:r>
          </w:p>
        </w:tc>
        <w:tc>
          <w:tcPr>
            <w:tcW w:w="0" w:type="auto"/>
            <w:noWrap/>
            <w:hideMark/>
          </w:tcPr>
          <w:p w14:paraId="0D0A4E80"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-1,7</w:t>
            </w:r>
          </w:p>
        </w:tc>
      </w:tr>
      <w:tr w:rsidR="006D0778" w:rsidRPr="006D0778" w14:paraId="4679AE92" w14:textId="77777777" w:rsidTr="006D0778">
        <w:trPr>
          <w:cnfStyle w:val="000000100000" w:firstRow="0" w:lastRow="0" w:firstColumn="0" w:lastColumn="0" w:oddVBand="0" w:evenVBand="0" w:oddHBand="1" w:evenHBand="0" w:firstRowFirstColumn="0" w:firstRowLastColumn="0" w:lastRowFirstColumn="0" w:lastRowLastColumn="0"/>
          <w:trHeight w:val="20"/>
          <w:jc w:val="center"/>
        </w:trPr>
        <w:tc>
          <w:tcPr>
            <w:cnfStyle w:val="001000000000" w:firstRow="0" w:lastRow="0" w:firstColumn="1" w:lastColumn="0" w:oddVBand="0" w:evenVBand="0" w:oddHBand="0" w:evenHBand="0" w:firstRowFirstColumn="0" w:firstRowLastColumn="0" w:lastRowFirstColumn="0" w:lastRowLastColumn="0"/>
            <w:tcW w:w="709" w:type="dxa"/>
            <w:noWrap/>
            <w:hideMark/>
          </w:tcPr>
          <w:p w14:paraId="3C363F5B" w14:textId="77777777" w:rsidR="006D0778" w:rsidRPr="006D0778" w:rsidRDefault="006D0778" w:rsidP="006D0778">
            <w:pPr>
              <w:jc w:val="left"/>
              <w:rPr>
                <w:rFonts w:eastAsia="Times New Roman" w:cs="Times New Roman"/>
                <w:sz w:val="16"/>
                <w:szCs w:val="16"/>
              </w:rPr>
            </w:pPr>
            <w:r w:rsidRPr="006D0778">
              <w:rPr>
                <w:rFonts w:eastAsia="Times New Roman" w:cs="Times New Roman"/>
                <w:sz w:val="16"/>
                <w:szCs w:val="16"/>
              </w:rPr>
              <w:t>2017</w:t>
            </w:r>
          </w:p>
        </w:tc>
        <w:tc>
          <w:tcPr>
            <w:tcW w:w="919" w:type="dxa"/>
            <w:hideMark/>
          </w:tcPr>
          <w:p w14:paraId="08294EAB"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-0,6</w:t>
            </w:r>
          </w:p>
        </w:tc>
        <w:tc>
          <w:tcPr>
            <w:tcW w:w="0" w:type="auto"/>
            <w:hideMark/>
          </w:tcPr>
          <w:p w14:paraId="33BBA9F9"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1,1</w:t>
            </w:r>
          </w:p>
        </w:tc>
        <w:tc>
          <w:tcPr>
            <w:tcW w:w="0" w:type="auto"/>
            <w:hideMark/>
          </w:tcPr>
          <w:p w14:paraId="4174839C"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3,5</w:t>
            </w:r>
          </w:p>
        </w:tc>
        <w:tc>
          <w:tcPr>
            <w:tcW w:w="0" w:type="auto"/>
            <w:noWrap/>
            <w:hideMark/>
          </w:tcPr>
          <w:p w14:paraId="2DE9BC75"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1,3</w:t>
            </w:r>
          </w:p>
        </w:tc>
        <w:tc>
          <w:tcPr>
            <w:tcW w:w="0" w:type="auto"/>
            <w:hideMark/>
          </w:tcPr>
          <w:p w14:paraId="7AEFA499"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3,7</w:t>
            </w:r>
          </w:p>
        </w:tc>
        <w:tc>
          <w:tcPr>
            <w:tcW w:w="0" w:type="auto"/>
            <w:hideMark/>
          </w:tcPr>
          <w:p w14:paraId="568A8874"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1,1</w:t>
            </w:r>
          </w:p>
        </w:tc>
        <w:tc>
          <w:tcPr>
            <w:tcW w:w="0" w:type="auto"/>
            <w:noWrap/>
            <w:hideMark/>
          </w:tcPr>
          <w:p w14:paraId="1BA1A22F"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3,6</w:t>
            </w:r>
          </w:p>
        </w:tc>
        <w:tc>
          <w:tcPr>
            <w:tcW w:w="0" w:type="auto"/>
            <w:noWrap/>
            <w:hideMark/>
          </w:tcPr>
          <w:p w14:paraId="22D7A8F6"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-1,9</w:t>
            </w:r>
          </w:p>
        </w:tc>
      </w:tr>
      <w:tr w:rsidR="006D0778" w:rsidRPr="006D0778" w14:paraId="4102D736" w14:textId="77777777" w:rsidTr="006D0778">
        <w:trPr>
          <w:trHeight w:val="20"/>
          <w:jc w:val="center"/>
        </w:trPr>
        <w:tc>
          <w:tcPr>
            <w:cnfStyle w:val="001000000000" w:firstRow="0" w:lastRow="0" w:firstColumn="1" w:lastColumn="0" w:oddVBand="0" w:evenVBand="0" w:oddHBand="0" w:evenHBand="0" w:firstRowFirstColumn="0" w:firstRowLastColumn="0" w:lastRowFirstColumn="0" w:lastRowLastColumn="0"/>
            <w:tcW w:w="709" w:type="dxa"/>
            <w:noWrap/>
            <w:hideMark/>
          </w:tcPr>
          <w:p w14:paraId="452B02A3" w14:textId="77777777" w:rsidR="006D0778" w:rsidRPr="006D0778" w:rsidRDefault="006D0778" w:rsidP="006D0778">
            <w:pPr>
              <w:jc w:val="left"/>
              <w:rPr>
                <w:rFonts w:eastAsia="Times New Roman" w:cs="Times New Roman"/>
                <w:sz w:val="16"/>
                <w:szCs w:val="16"/>
              </w:rPr>
            </w:pPr>
            <w:r w:rsidRPr="006D0778">
              <w:rPr>
                <w:rFonts w:eastAsia="Times New Roman" w:cs="Times New Roman"/>
                <w:sz w:val="16"/>
                <w:szCs w:val="16"/>
              </w:rPr>
              <w:t>2018</w:t>
            </w:r>
          </w:p>
        </w:tc>
        <w:tc>
          <w:tcPr>
            <w:tcW w:w="919" w:type="dxa"/>
            <w:hideMark/>
          </w:tcPr>
          <w:p w14:paraId="1E10FAC3"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0,8</w:t>
            </w:r>
          </w:p>
        </w:tc>
        <w:tc>
          <w:tcPr>
            <w:tcW w:w="0" w:type="auto"/>
            <w:hideMark/>
          </w:tcPr>
          <w:p w14:paraId="0C70D2A0"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0,6</w:t>
            </w:r>
          </w:p>
        </w:tc>
        <w:tc>
          <w:tcPr>
            <w:tcW w:w="0" w:type="auto"/>
            <w:hideMark/>
          </w:tcPr>
          <w:p w14:paraId="5F4CF80C"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2,6</w:t>
            </w:r>
          </w:p>
        </w:tc>
        <w:tc>
          <w:tcPr>
            <w:tcW w:w="0" w:type="auto"/>
            <w:noWrap/>
            <w:hideMark/>
          </w:tcPr>
          <w:p w14:paraId="26D4DFD8"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0,3</w:t>
            </w:r>
          </w:p>
        </w:tc>
        <w:tc>
          <w:tcPr>
            <w:tcW w:w="0" w:type="auto"/>
            <w:hideMark/>
          </w:tcPr>
          <w:p w14:paraId="4F9C2222"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2,3</w:t>
            </w:r>
          </w:p>
        </w:tc>
        <w:tc>
          <w:tcPr>
            <w:tcW w:w="0" w:type="auto"/>
            <w:hideMark/>
          </w:tcPr>
          <w:p w14:paraId="33D642D3"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0,2</w:t>
            </w:r>
          </w:p>
        </w:tc>
        <w:tc>
          <w:tcPr>
            <w:tcW w:w="0" w:type="auto"/>
            <w:noWrap/>
            <w:hideMark/>
          </w:tcPr>
          <w:p w14:paraId="3DCE75A4"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2,2</w:t>
            </w:r>
          </w:p>
        </w:tc>
        <w:tc>
          <w:tcPr>
            <w:tcW w:w="0" w:type="auto"/>
            <w:noWrap/>
            <w:hideMark/>
          </w:tcPr>
          <w:p w14:paraId="3483D804"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1,4</w:t>
            </w:r>
          </w:p>
        </w:tc>
      </w:tr>
      <w:tr w:rsidR="006D0778" w:rsidRPr="006D0778" w14:paraId="13F4CFF5" w14:textId="77777777" w:rsidTr="006D0778">
        <w:trPr>
          <w:cnfStyle w:val="000000100000" w:firstRow="0" w:lastRow="0" w:firstColumn="0" w:lastColumn="0" w:oddVBand="0" w:evenVBand="0" w:oddHBand="1" w:evenHBand="0" w:firstRowFirstColumn="0" w:firstRowLastColumn="0" w:lastRowFirstColumn="0" w:lastRowLastColumn="0"/>
          <w:trHeight w:val="20"/>
          <w:jc w:val="center"/>
        </w:trPr>
        <w:tc>
          <w:tcPr>
            <w:cnfStyle w:val="001000000000" w:firstRow="0" w:lastRow="0" w:firstColumn="1" w:lastColumn="0" w:oddVBand="0" w:evenVBand="0" w:oddHBand="0" w:evenHBand="0" w:firstRowFirstColumn="0" w:firstRowLastColumn="0" w:lastRowFirstColumn="0" w:lastRowLastColumn="0"/>
            <w:tcW w:w="709" w:type="dxa"/>
            <w:noWrap/>
            <w:hideMark/>
          </w:tcPr>
          <w:p w14:paraId="25071094" w14:textId="77777777" w:rsidR="006D0778" w:rsidRPr="006D0778" w:rsidRDefault="006D0778" w:rsidP="006D0778">
            <w:pPr>
              <w:jc w:val="left"/>
              <w:rPr>
                <w:rFonts w:eastAsia="Times New Roman" w:cs="Times New Roman"/>
                <w:sz w:val="16"/>
                <w:szCs w:val="16"/>
              </w:rPr>
            </w:pPr>
            <w:r w:rsidRPr="006D0778">
              <w:rPr>
                <w:rFonts w:eastAsia="Times New Roman" w:cs="Times New Roman"/>
                <w:sz w:val="16"/>
                <w:szCs w:val="16"/>
              </w:rPr>
              <w:t>2019</w:t>
            </w:r>
          </w:p>
        </w:tc>
        <w:tc>
          <w:tcPr>
            <w:tcW w:w="919" w:type="dxa"/>
            <w:hideMark/>
          </w:tcPr>
          <w:p w14:paraId="1B13CF11"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2,1</w:t>
            </w:r>
          </w:p>
        </w:tc>
        <w:tc>
          <w:tcPr>
            <w:tcW w:w="0" w:type="auto"/>
            <w:hideMark/>
          </w:tcPr>
          <w:p w14:paraId="61FB75B9"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-0,2</w:t>
            </w:r>
          </w:p>
        </w:tc>
        <w:tc>
          <w:tcPr>
            <w:tcW w:w="0" w:type="auto"/>
            <w:hideMark/>
          </w:tcPr>
          <w:p w14:paraId="06E01D0B"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1,7</w:t>
            </w:r>
          </w:p>
        </w:tc>
        <w:tc>
          <w:tcPr>
            <w:tcW w:w="0" w:type="auto"/>
            <w:noWrap/>
            <w:hideMark/>
          </w:tcPr>
          <w:p w14:paraId="5EC6D283"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-0,9</w:t>
            </w:r>
          </w:p>
        </w:tc>
        <w:tc>
          <w:tcPr>
            <w:tcW w:w="0" w:type="auto"/>
            <w:hideMark/>
          </w:tcPr>
          <w:p w14:paraId="0C86C92E"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1,0</w:t>
            </w:r>
          </w:p>
        </w:tc>
        <w:tc>
          <w:tcPr>
            <w:tcW w:w="0" w:type="auto"/>
            <w:hideMark/>
          </w:tcPr>
          <w:p w14:paraId="29E0982B"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-1,1</w:t>
            </w:r>
          </w:p>
        </w:tc>
        <w:tc>
          <w:tcPr>
            <w:tcW w:w="0" w:type="auto"/>
            <w:noWrap/>
            <w:hideMark/>
          </w:tcPr>
          <w:p w14:paraId="283A74C7"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0,8</w:t>
            </w:r>
          </w:p>
        </w:tc>
        <w:tc>
          <w:tcPr>
            <w:tcW w:w="0" w:type="auto"/>
            <w:noWrap/>
            <w:hideMark/>
          </w:tcPr>
          <w:p w14:paraId="659EB0E3"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1,4</w:t>
            </w:r>
          </w:p>
        </w:tc>
      </w:tr>
      <w:tr w:rsidR="006D0778" w:rsidRPr="006D0778" w14:paraId="414645C3" w14:textId="77777777" w:rsidTr="006D0778">
        <w:trPr>
          <w:trHeight w:val="20"/>
          <w:jc w:val="center"/>
        </w:trPr>
        <w:tc>
          <w:tcPr>
            <w:cnfStyle w:val="001000000000" w:firstRow="0" w:lastRow="0" w:firstColumn="1" w:lastColumn="0" w:oddVBand="0" w:evenVBand="0" w:oddHBand="0" w:evenHBand="0" w:firstRowFirstColumn="0" w:firstRowLastColumn="0" w:lastRowFirstColumn="0" w:lastRowLastColumn="0"/>
            <w:tcW w:w="709" w:type="dxa"/>
            <w:noWrap/>
            <w:hideMark/>
          </w:tcPr>
          <w:p w14:paraId="31DA952A" w14:textId="77777777" w:rsidR="006D0778" w:rsidRPr="006D0778" w:rsidRDefault="006D0778" w:rsidP="006D0778">
            <w:pPr>
              <w:jc w:val="left"/>
              <w:rPr>
                <w:rFonts w:eastAsia="Times New Roman" w:cs="Times New Roman"/>
                <w:sz w:val="16"/>
                <w:szCs w:val="16"/>
              </w:rPr>
            </w:pPr>
            <w:r w:rsidRPr="006D0778">
              <w:rPr>
                <w:rFonts w:eastAsia="Times New Roman" w:cs="Times New Roman"/>
                <w:sz w:val="16"/>
                <w:szCs w:val="16"/>
              </w:rPr>
              <w:t>2020</w:t>
            </w:r>
          </w:p>
        </w:tc>
        <w:tc>
          <w:tcPr>
            <w:tcW w:w="919" w:type="dxa"/>
            <w:hideMark/>
          </w:tcPr>
          <w:p w14:paraId="299937B6"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-2,4</w:t>
            </w:r>
          </w:p>
        </w:tc>
        <w:tc>
          <w:tcPr>
            <w:tcW w:w="0" w:type="auto"/>
            <w:hideMark/>
          </w:tcPr>
          <w:p w14:paraId="75FB1795"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-7,7</w:t>
            </w:r>
          </w:p>
        </w:tc>
        <w:tc>
          <w:tcPr>
            <w:tcW w:w="0" w:type="auto"/>
            <w:hideMark/>
          </w:tcPr>
          <w:p w14:paraId="3CC4A07F"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-5,8</w:t>
            </w:r>
          </w:p>
        </w:tc>
        <w:tc>
          <w:tcPr>
            <w:tcW w:w="0" w:type="auto"/>
            <w:noWrap/>
            <w:hideMark/>
          </w:tcPr>
          <w:p w14:paraId="5E4DFB3B"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-6,8</w:t>
            </w:r>
          </w:p>
        </w:tc>
        <w:tc>
          <w:tcPr>
            <w:tcW w:w="0" w:type="auto"/>
            <w:hideMark/>
          </w:tcPr>
          <w:p w14:paraId="70ABF121"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-4,9</w:t>
            </w:r>
          </w:p>
        </w:tc>
        <w:tc>
          <w:tcPr>
            <w:tcW w:w="0" w:type="auto"/>
            <w:hideMark/>
          </w:tcPr>
          <w:p w14:paraId="0F4E7202"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-0,1</w:t>
            </w:r>
          </w:p>
        </w:tc>
        <w:tc>
          <w:tcPr>
            <w:tcW w:w="0" w:type="auto"/>
            <w:noWrap/>
            <w:hideMark/>
          </w:tcPr>
          <w:p w14:paraId="4F78634F"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1,8</w:t>
            </w:r>
          </w:p>
        </w:tc>
        <w:tc>
          <w:tcPr>
            <w:tcW w:w="0" w:type="auto"/>
            <w:noWrap/>
            <w:hideMark/>
          </w:tcPr>
          <w:p w14:paraId="5886AA76"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5,9</w:t>
            </w:r>
          </w:p>
        </w:tc>
      </w:tr>
      <w:tr w:rsidR="006D0778" w:rsidRPr="006D0778" w14:paraId="702F85C3" w14:textId="77777777" w:rsidTr="006D0778">
        <w:trPr>
          <w:cnfStyle w:val="000000100000" w:firstRow="0" w:lastRow="0" w:firstColumn="0" w:lastColumn="0" w:oddVBand="0" w:evenVBand="0" w:oddHBand="1" w:evenHBand="0" w:firstRowFirstColumn="0" w:firstRowLastColumn="0" w:lastRowFirstColumn="0" w:lastRowLastColumn="0"/>
          <w:trHeight w:val="20"/>
          <w:jc w:val="center"/>
        </w:trPr>
        <w:tc>
          <w:tcPr>
            <w:cnfStyle w:val="001000000000" w:firstRow="0" w:lastRow="0" w:firstColumn="1" w:lastColumn="0" w:oddVBand="0" w:evenVBand="0" w:oddHBand="0" w:evenHBand="0" w:firstRowFirstColumn="0" w:firstRowLastColumn="0" w:lastRowFirstColumn="0" w:lastRowLastColumn="0"/>
            <w:tcW w:w="709" w:type="dxa"/>
            <w:noWrap/>
            <w:hideMark/>
          </w:tcPr>
          <w:p w14:paraId="3FEF1BF6" w14:textId="77777777" w:rsidR="006D0778" w:rsidRPr="006D0778" w:rsidRDefault="006D0778" w:rsidP="006D0778">
            <w:pPr>
              <w:jc w:val="left"/>
              <w:rPr>
                <w:rFonts w:eastAsia="Times New Roman" w:cs="Times New Roman"/>
                <w:sz w:val="16"/>
                <w:szCs w:val="16"/>
              </w:rPr>
            </w:pPr>
            <w:r w:rsidRPr="006D0778">
              <w:rPr>
                <w:rFonts w:eastAsia="Times New Roman" w:cs="Times New Roman"/>
                <w:sz w:val="16"/>
                <w:szCs w:val="16"/>
              </w:rPr>
              <w:t>2021</w:t>
            </w:r>
          </w:p>
        </w:tc>
        <w:tc>
          <w:tcPr>
            <w:tcW w:w="919" w:type="dxa"/>
            <w:hideMark/>
          </w:tcPr>
          <w:p w14:paraId="53108934"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1,4</w:t>
            </w:r>
          </w:p>
        </w:tc>
        <w:tc>
          <w:tcPr>
            <w:tcW w:w="0" w:type="auto"/>
            <w:hideMark/>
          </w:tcPr>
          <w:p w14:paraId="3C6C6BC1"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-3,9</w:t>
            </w:r>
          </w:p>
        </w:tc>
        <w:tc>
          <w:tcPr>
            <w:tcW w:w="0" w:type="auto"/>
            <w:hideMark/>
          </w:tcPr>
          <w:p w14:paraId="266E991E"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-2,3</w:t>
            </w:r>
          </w:p>
        </w:tc>
        <w:tc>
          <w:tcPr>
            <w:tcW w:w="0" w:type="auto"/>
            <w:noWrap/>
            <w:hideMark/>
          </w:tcPr>
          <w:p w14:paraId="7BF4CABE"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-4,5</w:t>
            </w:r>
          </w:p>
        </w:tc>
        <w:tc>
          <w:tcPr>
            <w:tcW w:w="0" w:type="auto"/>
            <w:hideMark/>
          </w:tcPr>
          <w:p w14:paraId="7912D9B9"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-2,8</w:t>
            </w:r>
          </w:p>
        </w:tc>
        <w:tc>
          <w:tcPr>
            <w:tcW w:w="0" w:type="auto"/>
            <w:hideMark/>
          </w:tcPr>
          <w:p w14:paraId="63379467"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-0,6</w:t>
            </w:r>
          </w:p>
        </w:tc>
        <w:tc>
          <w:tcPr>
            <w:tcW w:w="0" w:type="auto"/>
            <w:noWrap/>
            <w:hideMark/>
          </w:tcPr>
          <w:p w14:paraId="6645198B"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1,1</w:t>
            </w:r>
          </w:p>
        </w:tc>
        <w:tc>
          <w:tcPr>
            <w:tcW w:w="0" w:type="auto"/>
            <w:noWrap/>
            <w:hideMark/>
          </w:tcPr>
          <w:p w14:paraId="03F1D971"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-2,1</w:t>
            </w:r>
          </w:p>
        </w:tc>
      </w:tr>
      <w:tr w:rsidR="006D0778" w:rsidRPr="006D0778" w14:paraId="7FD4855F" w14:textId="77777777" w:rsidTr="006D0778">
        <w:trPr>
          <w:trHeight w:val="20"/>
          <w:jc w:val="center"/>
        </w:trPr>
        <w:tc>
          <w:tcPr>
            <w:cnfStyle w:val="001000000000" w:firstRow="0" w:lastRow="0" w:firstColumn="1" w:lastColumn="0" w:oddVBand="0" w:evenVBand="0" w:oddHBand="0" w:evenHBand="0" w:firstRowFirstColumn="0" w:firstRowLastColumn="0" w:lastRowFirstColumn="0" w:lastRowLastColumn="0"/>
            <w:tcW w:w="709" w:type="dxa"/>
            <w:noWrap/>
            <w:hideMark/>
          </w:tcPr>
          <w:p w14:paraId="6A2B6F24" w14:textId="77777777" w:rsidR="006D0778" w:rsidRPr="006D0778" w:rsidRDefault="006D0778" w:rsidP="006D0778">
            <w:pPr>
              <w:jc w:val="left"/>
              <w:rPr>
                <w:rFonts w:eastAsia="Times New Roman" w:cs="Times New Roman"/>
                <w:sz w:val="16"/>
                <w:szCs w:val="16"/>
              </w:rPr>
            </w:pPr>
            <w:r w:rsidRPr="006D0778">
              <w:rPr>
                <w:rFonts w:eastAsia="Times New Roman" w:cs="Times New Roman"/>
                <w:sz w:val="16"/>
                <w:szCs w:val="16"/>
              </w:rPr>
              <w:t>2022</w:t>
            </w:r>
          </w:p>
        </w:tc>
        <w:tc>
          <w:tcPr>
            <w:tcW w:w="919" w:type="dxa"/>
            <w:hideMark/>
          </w:tcPr>
          <w:p w14:paraId="1F53A819"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0,2</w:t>
            </w:r>
          </w:p>
        </w:tc>
        <w:tc>
          <w:tcPr>
            <w:tcW w:w="0" w:type="auto"/>
            <w:hideMark/>
          </w:tcPr>
          <w:p w14:paraId="67648FC3"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-3,0</w:t>
            </w:r>
          </w:p>
        </w:tc>
        <w:tc>
          <w:tcPr>
            <w:tcW w:w="0" w:type="auto"/>
            <w:hideMark/>
          </w:tcPr>
          <w:p w14:paraId="17EC0D06"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-1,6</w:t>
            </w:r>
          </w:p>
        </w:tc>
        <w:tc>
          <w:tcPr>
            <w:tcW w:w="0" w:type="auto"/>
            <w:noWrap/>
            <w:hideMark/>
          </w:tcPr>
          <w:p w14:paraId="55BC6935"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-3,1</w:t>
            </w:r>
          </w:p>
        </w:tc>
        <w:tc>
          <w:tcPr>
            <w:tcW w:w="0" w:type="auto"/>
            <w:hideMark/>
          </w:tcPr>
          <w:p w14:paraId="381D01C7"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-1,6</w:t>
            </w:r>
          </w:p>
        </w:tc>
        <w:tc>
          <w:tcPr>
            <w:tcW w:w="0" w:type="auto"/>
            <w:hideMark/>
          </w:tcPr>
          <w:p w14:paraId="4BD9FBDF"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0,1</w:t>
            </w:r>
          </w:p>
        </w:tc>
        <w:tc>
          <w:tcPr>
            <w:tcW w:w="0" w:type="auto"/>
            <w:noWrap/>
            <w:hideMark/>
          </w:tcPr>
          <w:p w14:paraId="04A065EB"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1,6</w:t>
            </w:r>
          </w:p>
        </w:tc>
        <w:tc>
          <w:tcPr>
            <w:tcW w:w="0" w:type="auto"/>
            <w:noWrap/>
            <w:hideMark/>
          </w:tcPr>
          <w:p w14:paraId="18729BED"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-1,2</w:t>
            </w:r>
          </w:p>
        </w:tc>
      </w:tr>
      <w:tr w:rsidR="006D0778" w:rsidRPr="006D0778" w14:paraId="7EE804D7" w14:textId="77777777" w:rsidTr="006D0778">
        <w:trPr>
          <w:cnfStyle w:val="000000100000" w:firstRow="0" w:lastRow="0" w:firstColumn="0" w:lastColumn="0" w:oddVBand="0" w:evenVBand="0" w:oddHBand="1" w:evenHBand="0" w:firstRowFirstColumn="0" w:firstRowLastColumn="0" w:lastRowFirstColumn="0" w:lastRowLastColumn="0"/>
          <w:trHeight w:val="20"/>
          <w:jc w:val="center"/>
        </w:trPr>
        <w:tc>
          <w:tcPr>
            <w:cnfStyle w:val="001000000000" w:firstRow="0" w:lastRow="0" w:firstColumn="1" w:lastColumn="0" w:oddVBand="0" w:evenVBand="0" w:oddHBand="0" w:evenHBand="0" w:firstRowFirstColumn="0" w:firstRowLastColumn="0" w:lastRowFirstColumn="0" w:lastRowLastColumn="0"/>
            <w:tcW w:w="709" w:type="dxa"/>
            <w:noWrap/>
            <w:hideMark/>
          </w:tcPr>
          <w:p w14:paraId="170D8925" w14:textId="77777777" w:rsidR="006D0778" w:rsidRPr="006D0778" w:rsidRDefault="006D0778" w:rsidP="006D0778">
            <w:pPr>
              <w:jc w:val="left"/>
              <w:rPr>
                <w:rFonts w:eastAsia="Times New Roman" w:cs="Times New Roman"/>
                <w:sz w:val="16"/>
                <w:szCs w:val="16"/>
              </w:rPr>
            </w:pPr>
            <w:r w:rsidRPr="006D0778">
              <w:rPr>
                <w:rFonts w:eastAsia="Times New Roman" w:cs="Times New Roman"/>
                <w:sz w:val="16"/>
                <w:szCs w:val="16"/>
              </w:rPr>
              <w:t>2023</w:t>
            </w:r>
          </w:p>
        </w:tc>
        <w:tc>
          <w:tcPr>
            <w:tcW w:w="919" w:type="dxa"/>
            <w:hideMark/>
          </w:tcPr>
          <w:p w14:paraId="7D531F30"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0,1</w:t>
            </w:r>
          </w:p>
        </w:tc>
        <w:tc>
          <w:tcPr>
            <w:tcW w:w="0" w:type="auto"/>
            <w:hideMark/>
          </w:tcPr>
          <w:p w14:paraId="78E070F7"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-2,1</w:t>
            </w:r>
          </w:p>
        </w:tc>
        <w:tc>
          <w:tcPr>
            <w:tcW w:w="0" w:type="auto"/>
            <w:hideMark/>
          </w:tcPr>
          <w:p w14:paraId="555AAFBC"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-0,5</w:t>
            </w:r>
          </w:p>
        </w:tc>
        <w:tc>
          <w:tcPr>
            <w:tcW w:w="0" w:type="auto"/>
            <w:noWrap/>
            <w:hideMark/>
          </w:tcPr>
          <w:p w14:paraId="1314B0D1"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-2,1</w:t>
            </w:r>
          </w:p>
        </w:tc>
        <w:tc>
          <w:tcPr>
            <w:tcW w:w="0" w:type="auto"/>
            <w:hideMark/>
          </w:tcPr>
          <w:p w14:paraId="1BCFFC86"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-0,5</w:t>
            </w:r>
          </w:p>
        </w:tc>
        <w:tc>
          <w:tcPr>
            <w:tcW w:w="0" w:type="auto"/>
            <w:hideMark/>
          </w:tcPr>
          <w:p w14:paraId="151755CF"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-1,4</w:t>
            </w:r>
          </w:p>
        </w:tc>
        <w:tc>
          <w:tcPr>
            <w:tcW w:w="0" w:type="auto"/>
            <w:noWrap/>
            <w:hideMark/>
          </w:tcPr>
          <w:p w14:paraId="3B43915C"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0,2</w:t>
            </w:r>
          </w:p>
        </w:tc>
        <w:tc>
          <w:tcPr>
            <w:tcW w:w="0" w:type="auto"/>
            <w:noWrap/>
            <w:hideMark/>
          </w:tcPr>
          <w:p w14:paraId="2A2C41E0"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-1,2</w:t>
            </w:r>
          </w:p>
        </w:tc>
      </w:tr>
      <w:tr w:rsidR="006D0778" w:rsidRPr="006D0778" w14:paraId="0F991EEB" w14:textId="77777777" w:rsidTr="006D0778">
        <w:trPr>
          <w:trHeight w:val="20"/>
          <w:jc w:val="center"/>
        </w:trPr>
        <w:tc>
          <w:tcPr>
            <w:cnfStyle w:val="001000000000" w:firstRow="0" w:lastRow="0" w:firstColumn="1" w:lastColumn="0" w:oddVBand="0" w:evenVBand="0" w:oddHBand="0" w:evenHBand="0" w:firstRowFirstColumn="0" w:firstRowLastColumn="0" w:lastRowFirstColumn="0" w:lastRowLastColumn="0"/>
            <w:tcW w:w="709" w:type="dxa"/>
            <w:noWrap/>
            <w:hideMark/>
          </w:tcPr>
          <w:p w14:paraId="260E9D79" w14:textId="77777777" w:rsidR="006D0778" w:rsidRPr="006D0778" w:rsidRDefault="006D0778" w:rsidP="006D0778">
            <w:pPr>
              <w:jc w:val="left"/>
              <w:rPr>
                <w:rFonts w:eastAsia="Times New Roman" w:cs="Times New Roman"/>
                <w:sz w:val="16"/>
                <w:szCs w:val="16"/>
              </w:rPr>
            </w:pPr>
            <w:r w:rsidRPr="006D0778">
              <w:rPr>
                <w:rFonts w:eastAsia="Times New Roman" w:cs="Times New Roman"/>
                <w:sz w:val="16"/>
                <w:szCs w:val="16"/>
              </w:rPr>
              <w:t>2024</w:t>
            </w:r>
          </w:p>
        </w:tc>
        <w:tc>
          <w:tcPr>
            <w:tcW w:w="919" w:type="dxa"/>
            <w:hideMark/>
          </w:tcPr>
          <w:p w14:paraId="19BBFE0E"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-0,2</w:t>
            </w:r>
          </w:p>
        </w:tc>
        <w:tc>
          <w:tcPr>
            <w:tcW w:w="0" w:type="auto"/>
            <w:hideMark/>
          </w:tcPr>
          <w:p w14:paraId="5C0E236B"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-2,7</w:t>
            </w:r>
          </w:p>
        </w:tc>
        <w:tc>
          <w:tcPr>
            <w:tcW w:w="0" w:type="auto"/>
            <w:hideMark/>
          </w:tcPr>
          <w:p w14:paraId="2571B2E3"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-0,9</w:t>
            </w:r>
          </w:p>
        </w:tc>
        <w:tc>
          <w:tcPr>
            <w:tcW w:w="0" w:type="auto"/>
            <w:noWrap/>
            <w:hideMark/>
          </w:tcPr>
          <w:p w14:paraId="15E88157"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-2,6</w:t>
            </w:r>
          </w:p>
        </w:tc>
        <w:tc>
          <w:tcPr>
            <w:tcW w:w="0" w:type="auto"/>
            <w:hideMark/>
          </w:tcPr>
          <w:p w14:paraId="13B6960A"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-0,8</w:t>
            </w:r>
          </w:p>
        </w:tc>
        <w:tc>
          <w:tcPr>
            <w:tcW w:w="0" w:type="auto"/>
            <w:hideMark/>
          </w:tcPr>
          <w:p w14:paraId="5EA6B048"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-2,2</w:t>
            </w:r>
          </w:p>
        </w:tc>
        <w:tc>
          <w:tcPr>
            <w:tcW w:w="0" w:type="auto"/>
            <w:noWrap/>
            <w:hideMark/>
          </w:tcPr>
          <w:p w14:paraId="3BC5B244"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-0,4</w:t>
            </w:r>
          </w:p>
        </w:tc>
        <w:tc>
          <w:tcPr>
            <w:tcW w:w="0" w:type="auto"/>
            <w:noWrap/>
            <w:hideMark/>
          </w:tcPr>
          <w:p w14:paraId="2A54BB10"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0,3</w:t>
            </w:r>
          </w:p>
        </w:tc>
      </w:tr>
      <w:tr w:rsidR="006D0778" w:rsidRPr="006D0778" w14:paraId="65590CB2" w14:textId="77777777" w:rsidTr="006D0778">
        <w:trPr>
          <w:cnfStyle w:val="000000100000" w:firstRow="0" w:lastRow="0" w:firstColumn="0" w:lastColumn="0" w:oddVBand="0" w:evenVBand="0" w:oddHBand="1" w:evenHBand="0" w:firstRowFirstColumn="0" w:firstRowLastColumn="0" w:lastRowFirstColumn="0" w:lastRowLastColumn="0"/>
          <w:trHeight w:val="20"/>
          <w:jc w:val="center"/>
        </w:trPr>
        <w:tc>
          <w:tcPr>
            <w:cnfStyle w:val="001000000000" w:firstRow="0" w:lastRow="0" w:firstColumn="1" w:lastColumn="0" w:oddVBand="0" w:evenVBand="0" w:oddHBand="0" w:evenHBand="0" w:firstRowFirstColumn="0" w:firstRowLastColumn="0" w:lastRowFirstColumn="0" w:lastRowLastColumn="0"/>
            <w:tcW w:w="709" w:type="dxa"/>
            <w:noWrap/>
            <w:hideMark/>
          </w:tcPr>
          <w:p w14:paraId="0043E981" w14:textId="77777777" w:rsidR="006D0778" w:rsidRPr="006D0778" w:rsidRDefault="006D0778" w:rsidP="006D0778">
            <w:pPr>
              <w:jc w:val="left"/>
              <w:rPr>
                <w:rFonts w:eastAsia="Times New Roman" w:cs="Times New Roman"/>
                <w:sz w:val="16"/>
                <w:szCs w:val="16"/>
              </w:rPr>
            </w:pPr>
            <w:r w:rsidRPr="006D0778">
              <w:rPr>
                <w:rFonts w:eastAsia="Times New Roman" w:cs="Times New Roman"/>
                <w:sz w:val="16"/>
                <w:szCs w:val="16"/>
              </w:rPr>
              <w:t>2025</w:t>
            </w:r>
          </w:p>
        </w:tc>
        <w:tc>
          <w:tcPr>
            <w:tcW w:w="919" w:type="dxa"/>
            <w:hideMark/>
          </w:tcPr>
          <w:p w14:paraId="48619BF5"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0,0</w:t>
            </w:r>
          </w:p>
        </w:tc>
        <w:tc>
          <w:tcPr>
            <w:tcW w:w="0" w:type="auto"/>
            <w:hideMark/>
          </w:tcPr>
          <w:p w14:paraId="63A8D248"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-3,0</w:t>
            </w:r>
          </w:p>
        </w:tc>
        <w:tc>
          <w:tcPr>
            <w:tcW w:w="0" w:type="auto"/>
            <w:hideMark/>
          </w:tcPr>
          <w:p w14:paraId="5E97F8EF"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-1,0</w:t>
            </w:r>
          </w:p>
        </w:tc>
        <w:tc>
          <w:tcPr>
            <w:tcW w:w="0" w:type="auto"/>
            <w:noWrap/>
            <w:hideMark/>
          </w:tcPr>
          <w:p w14:paraId="0735CE6E"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-3,0</w:t>
            </w:r>
          </w:p>
        </w:tc>
        <w:tc>
          <w:tcPr>
            <w:tcW w:w="0" w:type="auto"/>
            <w:hideMark/>
          </w:tcPr>
          <w:p w14:paraId="363D1120"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-1,0</w:t>
            </w:r>
          </w:p>
        </w:tc>
        <w:tc>
          <w:tcPr>
            <w:tcW w:w="0" w:type="auto"/>
            <w:hideMark/>
          </w:tcPr>
          <w:p w14:paraId="5FC6D72F"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-2,3</w:t>
            </w:r>
          </w:p>
        </w:tc>
        <w:tc>
          <w:tcPr>
            <w:tcW w:w="0" w:type="auto"/>
            <w:noWrap/>
            <w:hideMark/>
          </w:tcPr>
          <w:p w14:paraId="6A3A08C1"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-0,3</w:t>
            </w:r>
          </w:p>
        </w:tc>
        <w:tc>
          <w:tcPr>
            <w:tcW w:w="0" w:type="auto"/>
            <w:noWrap/>
            <w:hideMark/>
          </w:tcPr>
          <w:p w14:paraId="4F6EB66B"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0,2</w:t>
            </w:r>
          </w:p>
        </w:tc>
      </w:tr>
      <w:tr w:rsidR="006D0778" w:rsidRPr="006D0778" w14:paraId="734548AB" w14:textId="77777777" w:rsidTr="006D0778">
        <w:trPr>
          <w:trHeight w:val="20"/>
          <w:jc w:val="center"/>
        </w:trPr>
        <w:tc>
          <w:tcPr>
            <w:cnfStyle w:val="001000000000" w:firstRow="0" w:lastRow="0" w:firstColumn="1" w:lastColumn="0" w:oddVBand="0" w:evenVBand="0" w:oddHBand="0" w:evenHBand="0" w:firstRowFirstColumn="0" w:firstRowLastColumn="0" w:lastRowFirstColumn="0" w:lastRowLastColumn="0"/>
            <w:tcW w:w="709" w:type="dxa"/>
            <w:noWrap/>
            <w:hideMark/>
          </w:tcPr>
          <w:p w14:paraId="24490319" w14:textId="77777777" w:rsidR="006D0778" w:rsidRPr="006D0778" w:rsidRDefault="006D0778" w:rsidP="006D0778">
            <w:pPr>
              <w:jc w:val="left"/>
              <w:rPr>
                <w:rFonts w:eastAsia="Times New Roman" w:cs="Times New Roman"/>
                <w:sz w:val="16"/>
                <w:szCs w:val="16"/>
              </w:rPr>
            </w:pPr>
            <w:r w:rsidRPr="006D0778">
              <w:rPr>
                <w:rFonts w:eastAsia="Times New Roman" w:cs="Times New Roman"/>
                <w:sz w:val="16"/>
                <w:szCs w:val="16"/>
              </w:rPr>
              <w:t>2026</w:t>
            </w:r>
          </w:p>
        </w:tc>
        <w:tc>
          <w:tcPr>
            <w:tcW w:w="919" w:type="dxa"/>
            <w:hideMark/>
          </w:tcPr>
          <w:p w14:paraId="2008A848"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0,0</w:t>
            </w:r>
          </w:p>
        </w:tc>
        <w:tc>
          <w:tcPr>
            <w:tcW w:w="0" w:type="auto"/>
            <w:hideMark/>
          </w:tcPr>
          <w:p w14:paraId="072C8F9A"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-3,0</w:t>
            </w:r>
          </w:p>
        </w:tc>
        <w:tc>
          <w:tcPr>
            <w:tcW w:w="0" w:type="auto"/>
            <w:hideMark/>
          </w:tcPr>
          <w:p w14:paraId="538DB852"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-1,0</w:t>
            </w:r>
          </w:p>
        </w:tc>
        <w:tc>
          <w:tcPr>
            <w:tcW w:w="0" w:type="auto"/>
            <w:noWrap/>
            <w:hideMark/>
          </w:tcPr>
          <w:p w14:paraId="7EE51686"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-3,0</w:t>
            </w:r>
          </w:p>
        </w:tc>
        <w:tc>
          <w:tcPr>
            <w:tcW w:w="0" w:type="auto"/>
            <w:hideMark/>
          </w:tcPr>
          <w:p w14:paraId="359E12BC"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-1,0</w:t>
            </w:r>
          </w:p>
        </w:tc>
        <w:tc>
          <w:tcPr>
            <w:tcW w:w="0" w:type="auto"/>
            <w:hideMark/>
          </w:tcPr>
          <w:p w14:paraId="0C417A1C"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-1,7</w:t>
            </w:r>
          </w:p>
        </w:tc>
        <w:tc>
          <w:tcPr>
            <w:tcW w:w="0" w:type="auto"/>
            <w:noWrap/>
            <w:hideMark/>
          </w:tcPr>
          <w:p w14:paraId="46F64669"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0,3</w:t>
            </w:r>
          </w:p>
        </w:tc>
        <w:tc>
          <w:tcPr>
            <w:tcW w:w="0" w:type="auto"/>
            <w:noWrap/>
            <w:hideMark/>
          </w:tcPr>
          <w:p w14:paraId="70F7F37F" w14:textId="77777777" w:rsidR="006D0778" w:rsidRPr="006D0778" w:rsidRDefault="006D0778" w:rsidP="006D0778">
            <w:pPr>
              <w:jc w:val="righ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0,0</w:t>
            </w:r>
          </w:p>
        </w:tc>
      </w:tr>
      <w:tr w:rsidR="006D0778" w:rsidRPr="006D0778" w14:paraId="42A93AA1" w14:textId="77777777" w:rsidTr="006D0778">
        <w:trPr>
          <w:cnfStyle w:val="000000100000" w:firstRow="0" w:lastRow="0" w:firstColumn="0" w:lastColumn="0" w:oddVBand="0" w:evenVBand="0" w:oddHBand="1" w:evenHBand="0" w:firstRowFirstColumn="0" w:firstRowLastColumn="0" w:lastRowFirstColumn="0" w:lastRowLastColumn="0"/>
          <w:trHeight w:val="20"/>
          <w:jc w:val="center"/>
        </w:trPr>
        <w:tc>
          <w:tcPr>
            <w:cnfStyle w:val="001000000000" w:firstRow="0" w:lastRow="0" w:firstColumn="1" w:lastColumn="0" w:oddVBand="0" w:evenVBand="0" w:oddHBand="0" w:evenHBand="0" w:firstRowFirstColumn="0" w:firstRowLastColumn="0" w:lastRowFirstColumn="0" w:lastRowLastColumn="0"/>
            <w:tcW w:w="709" w:type="dxa"/>
            <w:noWrap/>
            <w:hideMark/>
          </w:tcPr>
          <w:p w14:paraId="4401B9F0" w14:textId="77777777" w:rsidR="006D0778" w:rsidRPr="006D0778" w:rsidRDefault="006D0778" w:rsidP="006D0778">
            <w:pPr>
              <w:jc w:val="left"/>
              <w:rPr>
                <w:rFonts w:eastAsia="Times New Roman" w:cs="Times New Roman"/>
                <w:sz w:val="16"/>
                <w:szCs w:val="16"/>
              </w:rPr>
            </w:pPr>
            <w:r w:rsidRPr="006D0778">
              <w:rPr>
                <w:rFonts w:eastAsia="Times New Roman" w:cs="Times New Roman"/>
                <w:sz w:val="16"/>
                <w:szCs w:val="16"/>
              </w:rPr>
              <w:t>2027</w:t>
            </w:r>
          </w:p>
        </w:tc>
        <w:tc>
          <w:tcPr>
            <w:tcW w:w="919" w:type="dxa"/>
            <w:hideMark/>
          </w:tcPr>
          <w:p w14:paraId="114702BC"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0,7</w:t>
            </w:r>
          </w:p>
        </w:tc>
        <w:tc>
          <w:tcPr>
            <w:tcW w:w="0" w:type="auto"/>
            <w:hideMark/>
          </w:tcPr>
          <w:p w14:paraId="6C4091E7"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-3,0</w:t>
            </w:r>
          </w:p>
        </w:tc>
        <w:tc>
          <w:tcPr>
            <w:tcW w:w="0" w:type="auto"/>
            <w:hideMark/>
          </w:tcPr>
          <w:p w14:paraId="042A402F"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-1,1</w:t>
            </w:r>
          </w:p>
        </w:tc>
        <w:tc>
          <w:tcPr>
            <w:tcW w:w="0" w:type="auto"/>
            <w:hideMark/>
          </w:tcPr>
          <w:p w14:paraId="63ED08E3"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-3,2</w:t>
            </w:r>
          </w:p>
        </w:tc>
        <w:tc>
          <w:tcPr>
            <w:tcW w:w="0" w:type="auto"/>
            <w:hideMark/>
          </w:tcPr>
          <w:p w14:paraId="177AE70D"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-1,3</w:t>
            </w:r>
          </w:p>
        </w:tc>
        <w:tc>
          <w:tcPr>
            <w:tcW w:w="0" w:type="auto"/>
            <w:hideMark/>
          </w:tcPr>
          <w:p w14:paraId="60FE977E"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-1,7</w:t>
            </w:r>
          </w:p>
        </w:tc>
        <w:tc>
          <w:tcPr>
            <w:tcW w:w="0" w:type="auto"/>
            <w:hideMark/>
          </w:tcPr>
          <w:p w14:paraId="22069857"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0,2</w:t>
            </w:r>
          </w:p>
        </w:tc>
        <w:tc>
          <w:tcPr>
            <w:tcW w:w="0" w:type="auto"/>
            <w:noWrap/>
            <w:hideMark/>
          </w:tcPr>
          <w:p w14:paraId="720EF3BB" w14:textId="77777777" w:rsidR="006D0778" w:rsidRPr="006D0778" w:rsidRDefault="006D0778" w:rsidP="006D0778">
            <w:pPr>
              <w:jc w:val="right"/>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6D0778">
              <w:rPr>
                <w:rFonts w:eastAsia="Times New Roman" w:cs="Times New Roman"/>
                <w:sz w:val="16"/>
                <w:szCs w:val="16"/>
              </w:rPr>
              <w:t>0,3</w:t>
            </w:r>
          </w:p>
        </w:tc>
      </w:tr>
    </w:tbl>
    <w:p w14:paraId="713B0954" w14:textId="77777777" w:rsidR="006D0778" w:rsidRPr="006D0778" w:rsidRDefault="006D0778" w:rsidP="006D0778">
      <w:pPr>
        <w:shd w:val="clear" w:color="auto" w:fill="FFFFFF" w:themeFill="background1"/>
        <w:spacing w:after="0" w:line="276" w:lineRule="auto"/>
        <w:rPr>
          <w:rFonts w:eastAsia="MS PGothic" w:cs="Times New Roman"/>
          <w:sz w:val="16"/>
          <w:szCs w:val="16"/>
          <w:lang w:val="sr-Cyrl-RS" w:eastAsia="ja-JP"/>
        </w:rPr>
      </w:pPr>
      <w:r w:rsidRPr="006D0778">
        <w:rPr>
          <w:rFonts w:eastAsia="MS PGothic" w:cs="Times New Roman"/>
          <w:bCs/>
          <w:sz w:val="16"/>
          <w:szCs w:val="16"/>
          <w:lang w:val="sr-Cyrl-RS" w:eastAsia="ja-JP"/>
        </w:rPr>
        <w:t xml:space="preserve">* </w:t>
      </w:r>
      <w:r w:rsidRPr="006D0778">
        <w:rPr>
          <w:rFonts w:eastAsia="MS PGothic" w:cs="Times New Roman"/>
          <w:sz w:val="16"/>
          <w:szCs w:val="16"/>
          <w:lang w:val="sr-Cyrl-RS" w:eastAsia="ja-JP"/>
        </w:rPr>
        <w:t>За период 202</w:t>
      </w:r>
      <w:r w:rsidRPr="006D0778">
        <w:rPr>
          <w:rFonts w:eastAsia="MS PGothic" w:cs="Times New Roman"/>
          <w:sz w:val="16"/>
          <w:szCs w:val="16"/>
          <w:lang w:val="sr-Latn-RS" w:eastAsia="ja-JP"/>
        </w:rPr>
        <w:t>4</w:t>
      </w:r>
      <w:r w:rsidRPr="006D0778">
        <w:rPr>
          <w:rFonts w:eastAsia="MS PGothic" w:cs="Times New Roman"/>
          <w:sz w:val="16"/>
          <w:szCs w:val="16"/>
          <w:lang w:val="sr-Cyrl-RS" w:eastAsia="ja-JP"/>
        </w:rPr>
        <w:t>–2027. године приказане су пројектоване вредности.</w:t>
      </w:r>
    </w:p>
    <w:p w14:paraId="00E1C95D" w14:textId="77777777" w:rsidR="006D0778" w:rsidRPr="006D0778" w:rsidRDefault="006D0778" w:rsidP="006D0778">
      <w:pPr>
        <w:shd w:val="clear" w:color="auto" w:fill="FFFFFF" w:themeFill="background1"/>
        <w:spacing w:after="0" w:line="276" w:lineRule="auto"/>
        <w:rPr>
          <w:rFonts w:eastAsia="MS PGothic" w:cs="Times New Roman"/>
          <w:bCs/>
          <w:sz w:val="16"/>
          <w:szCs w:val="16"/>
          <w:lang w:val="sr-Cyrl-CS" w:eastAsia="ja-JP"/>
        </w:rPr>
      </w:pPr>
      <w:r w:rsidRPr="006D0778">
        <w:rPr>
          <w:rFonts w:eastAsia="MS PGothic" w:cs="Times New Roman"/>
          <w:bCs/>
          <w:sz w:val="16"/>
          <w:szCs w:val="16"/>
          <w:lang w:val="sr-Cyrl-RS" w:eastAsia="ja-JP"/>
        </w:rPr>
        <w:t xml:space="preserve">** </w:t>
      </w:r>
      <w:r w:rsidRPr="006D0778">
        <w:rPr>
          <w:rFonts w:eastAsia="MS PGothic" w:cs="Times New Roman"/>
          <w:bCs/>
          <w:sz w:val="16"/>
          <w:szCs w:val="16"/>
          <w:lang w:val="sr-Cyrl-CS" w:eastAsia="ja-JP"/>
        </w:rPr>
        <w:t>Структурни биланси добијени су искључивањем процењених једнократних прихода и расхода. За период од 2024. до 2027. године једнокра</w:t>
      </w:r>
      <w:r w:rsidRPr="006D0778">
        <w:rPr>
          <w:rFonts w:eastAsia="MS PGothic" w:cs="Times New Roman"/>
          <w:bCs/>
          <w:sz w:val="16"/>
          <w:szCs w:val="16"/>
          <w:lang w:val="sr-Cyrl-RS" w:eastAsia="ja-JP"/>
        </w:rPr>
        <w:t>т</w:t>
      </w:r>
      <w:r w:rsidRPr="006D0778">
        <w:rPr>
          <w:rFonts w:eastAsia="MS PGothic" w:cs="Times New Roman"/>
          <w:bCs/>
          <w:sz w:val="16"/>
          <w:szCs w:val="16"/>
          <w:lang w:val="sr-Cyrl-CS" w:eastAsia="ja-JP"/>
        </w:rPr>
        <w:t xml:space="preserve">ним расходима су третирани и део капиталних расхода за потребе изложбе EXPO 2027, као и део расхода за војну опрему. </w:t>
      </w:r>
    </w:p>
    <w:p w14:paraId="70F6B359" w14:textId="77777777" w:rsidR="006D0778" w:rsidRPr="006D0778" w:rsidRDefault="006D0778" w:rsidP="006D0778">
      <w:pPr>
        <w:spacing w:line="276" w:lineRule="auto"/>
        <w:rPr>
          <w:rFonts w:eastAsia="Calibri" w:cs="Times New Roman"/>
          <w:sz w:val="16"/>
          <w:szCs w:val="16"/>
          <w:lang w:val="sr-Cyrl-RS"/>
        </w:rPr>
      </w:pPr>
      <w:r w:rsidRPr="006D0778">
        <w:rPr>
          <w:rFonts w:eastAsia="Calibri" w:cs="Times New Roman"/>
          <w:sz w:val="16"/>
          <w:szCs w:val="16"/>
          <w:lang w:val="sr-Cyrl-RS"/>
        </w:rPr>
        <w:t>Извор: Министарство финансија</w:t>
      </w:r>
    </w:p>
    <w:p w14:paraId="434B50DF" w14:textId="77777777" w:rsidR="006D0778" w:rsidRPr="006D0778" w:rsidRDefault="006D0778" w:rsidP="006D0778">
      <w:pPr>
        <w:spacing w:after="0"/>
        <w:rPr>
          <w:rFonts w:cs="Times New Roman"/>
          <w:szCs w:val="24"/>
          <w:lang w:val="sr-Cyrl-RS" w:eastAsia="sr-Cyrl-RS"/>
        </w:rPr>
      </w:pPr>
      <w:r w:rsidRPr="006D0778">
        <w:rPr>
          <w:rFonts w:cs="Times New Roman"/>
          <w:szCs w:val="24"/>
          <w:lang w:val="sr-Cyrl-RS"/>
        </w:rPr>
        <w:t>Графикон 11. Производни јаз, циклично прилаг. и структурни фиск. биланс у периоду 2005–2027. год, % БДП*</w:t>
      </w:r>
    </w:p>
    <w:p w14:paraId="3B6A63D6" w14:textId="77777777" w:rsidR="006D0778" w:rsidRPr="006D0778" w:rsidRDefault="006D0778" w:rsidP="006D0778">
      <w:pPr>
        <w:spacing w:after="0"/>
        <w:rPr>
          <w:rFonts w:eastAsia="MS PGothic" w:cs="Times New Roman"/>
          <w:sz w:val="16"/>
          <w:szCs w:val="16"/>
          <w:lang w:val="sr-Cyrl-RS" w:eastAsia="ja-JP"/>
        </w:rPr>
      </w:pPr>
      <w:r w:rsidRPr="006D0778">
        <w:rPr>
          <w:noProof/>
        </w:rPr>
        <w:drawing>
          <wp:inline distT="0" distB="0" distL="0" distR="0" wp14:anchorId="7BCDF21D" wp14:editId="26CE4FA1">
            <wp:extent cx="5753100" cy="2514600"/>
            <wp:effectExtent l="0" t="0" r="0" b="0"/>
            <wp:docPr id="20" name="Chart 20"/>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r w:rsidRPr="006D0778">
        <w:rPr>
          <w:rFonts w:eastAsia="MS PGothic" w:cs="Times New Roman"/>
          <w:sz w:val="16"/>
          <w:szCs w:val="16"/>
          <w:lang w:val="sr-Cyrl-RS" w:eastAsia="ja-JP"/>
        </w:rPr>
        <w:t>*За период 2023–2027. године приказане су пројектоване вредности</w:t>
      </w:r>
    </w:p>
    <w:p w14:paraId="7B84E700" w14:textId="77777777" w:rsidR="006D0778" w:rsidRPr="006D0778" w:rsidRDefault="006D0778" w:rsidP="006D0778">
      <w:pPr>
        <w:rPr>
          <w:lang w:val="sr-Cyrl-RS"/>
        </w:rPr>
      </w:pPr>
    </w:p>
    <w:p w14:paraId="349ED82C" w14:textId="77777777" w:rsidR="006D0778" w:rsidRPr="006D0778" w:rsidRDefault="006D0778" w:rsidP="006D0778">
      <w:pPr>
        <w:spacing w:after="0"/>
        <w:rPr>
          <w:rFonts w:cs="Times New Roman"/>
          <w:szCs w:val="24"/>
          <w:lang w:val="sr-Cyrl-RS"/>
        </w:rPr>
      </w:pPr>
    </w:p>
    <w:p w14:paraId="4CD7DC7C" w14:textId="77777777" w:rsidR="006D0778" w:rsidRPr="006D0778" w:rsidRDefault="006D0778" w:rsidP="006D0778">
      <w:pPr>
        <w:spacing w:after="0"/>
        <w:rPr>
          <w:rFonts w:cs="Times New Roman"/>
          <w:szCs w:val="24"/>
          <w:lang w:val="sr-Cyrl-RS"/>
        </w:rPr>
      </w:pPr>
    </w:p>
    <w:p w14:paraId="10326C59" w14:textId="77777777" w:rsidR="006D0778" w:rsidRPr="006D0778" w:rsidRDefault="006D0778" w:rsidP="006D0778">
      <w:pPr>
        <w:spacing w:after="0"/>
        <w:rPr>
          <w:rFonts w:cs="Times New Roman"/>
          <w:szCs w:val="24"/>
          <w:lang w:val="sr-Cyrl-RS"/>
        </w:rPr>
      </w:pPr>
    </w:p>
    <w:p w14:paraId="79734A00" w14:textId="77777777" w:rsidR="006D0778" w:rsidRPr="006D0778" w:rsidRDefault="006D0778" w:rsidP="006D0778">
      <w:pPr>
        <w:spacing w:after="0"/>
        <w:rPr>
          <w:rFonts w:cs="Times New Roman"/>
          <w:szCs w:val="24"/>
          <w:lang w:val="sr-Cyrl-RS"/>
        </w:rPr>
      </w:pPr>
    </w:p>
    <w:p w14:paraId="56EAE0A1" w14:textId="77777777" w:rsidR="006D0778" w:rsidRPr="006D0778" w:rsidRDefault="006D0778" w:rsidP="006D0778">
      <w:pPr>
        <w:spacing w:after="0"/>
        <w:rPr>
          <w:rFonts w:cs="Times New Roman"/>
          <w:szCs w:val="24"/>
          <w:lang w:val="sr-Cyrl-RS"/>
        </w:rPr>
      </w:pPr>
    </w:p>
    <w:p w14:paraId="0BB8596F" w14:textId="77777777" w:rsidR="006D0778" w:rsidRPr="006D0778" w:rsidRDefault="006D0778" w:rsidP="006D0778">
      <w:pPr>
        <w:keepNext/>
        <w:spacing w:after="0"/>
        <w:rPr>
          <w:rFonts w:cs="Times New Roman"/>
          <w:szCs w:val="24"/>
          <w:lang w:val="sr-Cyrl-RS"/>
        </w:rPr>
      </w:pPr>
      <w:r w:rsidRPr="006D0778">
        <w:rPr>
          <w:rFonts w:cs="Times New Roman"/>
          <w:szCs w:val="24"/>
          <w:lang w:val="sr-Cyrl-RS"/>
        </w:rPr>
        <w:lastRenderedPageBreak/>
        <w:t>Графикон 12. Карактер и ефекти фискалне политике у периоду 2006–2027. године, % БДП*</w:t>
      </w:r>
    </w:p>
    <w:p w14:paraId="3A4B9BBD" w14:textId="77777777" w:rsidR="006D0778" w:rsidRPr="006D0778" w:rsidRDefault="006D0778" w:rsidP="006D0778">
      <w:pPr>
        <w:keepNext/>
        <w:spacing w:after="0"/>
        <w:rPr>
          <w:rFonts w:cs="Times New Roman"/>
          <w:szCs w:val="24"/>
          <w:lang w:val="sr-Cyrl-RS" w:eastAsia="sr-Cyrl-RS"/>
        </w:rPr>
      </w:pPr>
    </w:p>
    <w:p w14:paraId="01A28625" w14:textId="77777777" w:rsidR="006D0778" w:rsidRPr="006D0778" w:rsidRDefault="006D0778" w:rsidP="006D0778">
      <w:pPr>
        <w:spacing w:after="0"/>
        <w:rPr>
          <w:rFonts w:cs="Times New Roman"/>
          <w:bCs/>
          <w:szCs w:val="24"/>
          <w:lang w:val="sr-Cyrl-RS"/>
        </w:rPr>
      </w:pPr>
    </w:p>
    <w:p w14:paraId="5300DCCF" w14:textId="77777777" w:rsidR="006D0778" w:rsidRPr="006D0778" w:rsidRDefault="006D0778" w:rsidP="006D0778">
      <w:pPr>
        <w:rPr>
          <w:sz w:val="16"/>
          <w:lang w:val="sr-Cyrl-RS" w:eastAsia="ja-JP"/>
        </w:rPr>
      </w:pPr>
      <w:r w:rsidRPr="006D0778">
        <w:rPr>
          <w:noProof/>
        </w:rPr>
        <w:drawing>
          <wp:inline distT="0" distB="0" distL="0" distR="0" wp14:anchorId="53D18829" wp14:editId="28618156">
            <wp:extent cx="5705475" cy="2390775"/>
            <wp:effectExtent l="0" t="0" r="0" b="0"/>
            <wp:docPr id="21" name="Chart 21"/>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r w:rsidRPr="006D0778">
        <w:rPr>
          <w:sz w:val="16"/>
          <w:lang w:val="sr-Cyrl-RS" w:eastAsia="ja-JP"/>
        </w:rPr>
        <w:t>*За период 2023–2027. године приказане су пројектоване вредности.</w:t>
      </w:r>
    </w:p>
    <w:p w14:paraId="6323C0D9" w14:textId="65210B0E" w:rsidR="006D0778" w:rsidRPr="006D0778" w:rsidRDefault="006D0778" w:rsidP="006D0778">
      <w:pPr>
        <w:rPr>
          <w:rFonts w:cs="Times New Roman"/>
          <w:lang w:eastAsia="ja-JP"/>
        </w:rPr>
      </w:pPr>
      <w:r w:rsidRPr="006D0778">
        <w:rPr>
          <w:rFonts w:eastAsia="Calibri" w:cs="Times New Roman"/>
          <w:bCs/>
          <w:szCs w:val="20"/>
        </w:rPr>
        <w:t>Структурна фискална позиција земље није нарушена у периоду између 2020. и 2022. године, због тога што су спроведене мере помоћи привреди и становништву из домена фискалне политике биле временски ограниченог карактера.</w:t>
      </w:r>
      <w:r w:rsidRPr="006D0778">
        <w:rPr>
          <w:rFonts w:eastAsia="Calibri" w:cs="Times New Roman"/>
          <w:szCs w:val="20"/>
        </w:rPr>
        <w:t xml:space="preserve"> Осим тога, енергетска криза условила је значајне интервенције државе у домену обезбеђивања енергетс</w:t>
      </w:r>
      <w:r w:rsidR="00DB1F40">
        <w:rPr>
          <w:rFonts w:eastAsia="Calibri" w:cs="Times New Roman"/>
          <w:szCs w:val="20"/>
        </w:rPr>
        <w:t xml:space="preserve">ке стабилности у 2022. години. </w:t>
      </w:r>
      <w:r w:rsidR="00DB1F40">
        <w:rPr>
          <w:rFonts w:eastAsia="Calibri" w:cs="Times New Roman"/>
          <w:szCs w:val="20"/>
          <w:lang w:val="sr-Cyrl-RS"/>
        </w:rPr>
        <w:t>З</w:t>
      </w:r>
      <w:r w:rsidRPr="006D0778">
        <w:rPr>
          <w:rFonts w:eastAsia="Calibri" w:cs="Times New Roman"/>
          <w:szCs w:val="20"/>
        </w:rPr>
        <w:t>а ове потребе, утрошено је 2,7% БДП. Током 2022</w:t>
      </w:r>
      <w:r w:rsidR="00DB1F40">
        <w:rPr>
          <w:rFonts w:eastAsia="Calibri" w:cs="Times New Roman"/>
          <w:szCs w:val="20"/>
        </w:rPr>
        <w:t>. годинe реализована је и помоћ</w:t>
      </w:r>
      <w:r w:rsidRPr="006D0778">
        <w:rPr>
          <w:rFonts w:eastAsia="Calibri" w:cs="Times New Roman"/>
          <w:szCs w:val="20"/>
        </w:rPr>
        <w:t xml:space="preserve"> становништву у висини од 0,9% БДП. Осим повећаних издатака за енергенте, помоћ становништву и привреди, обезбеђена је и смањењем акциза на </w:t>
      </w:r>
      <w:r w:rsidRPr="006D0778">
        <w:rPr>
          <w:rFonts w:cs="Times New Roman"/>
          <w:lang w:eastAsia="ja-JP"/>
        </w:rPr>
        <w:t>нафтне деривате.</w:t>
      </w:r>
    </w:p>
    <w:p w14:paraId="6DAA2D5B" w14:textId="23A3A8BA" w:rsidR="006D0778" w:rsidRPr="006D0778" w:rsidRDefault="006D0778" w:rsidP="006D0778">
      <w:pPr>
        <w:rPr>
          <w:lang w:eastAsia="ja-JP"/>
        </w:rPr>
      </w:pPr>
      <w:r w:rsidRPr="006D0778">
        <w:rPr>
          <w:bCs/>
          <w:lang w:eastAsia="ja-JP"/>
        </w:rPr>
        <w:t>Током 2023. године</w:t>
      </w:r>
      <w:r w:rsidRPr="006D0778">
        <w:rPr>
          <w:lang w:eastAsia="ja-JP"/>
        </w:rPr>
        <w:t>, промена у структурној позицији сектора државе делом је условљена изменом формуле за усклађивање пензија у складу са посебним фискалним правилима као и ванредним повећањем пензија у 2022. и 2023. години. Посебно фискално правило уводи директну везу између начина усклађивања пензија и учешћа овог облика расхода у БДП. Овакво системско решење обезбеђује да примања и стандард пензионера у већој мери рефлектују економску снагу земље, без угрожавања одрживости јавних финансија. Остатак благог погоршања структурне фискалне позиције</w:t>
      </w:r>
      <w:r w:rsidR="00DB1F40">
        <w:rPr>
          <w:lang w:val="sr-Cyrl-RS" w:eastAsia="ja-JP"/>
        </w:rPr>
        <w:t>,</w:t>
      </w:r>
      <w:r w:rsidRPr="006D0778">
        <w:rPr>
          <w:lang w:eastAsia="ja-JP"/>
        </w:rPr>
        <w:t xml:space="preserve"> последица је и раста учешћа расхода за камате у БДП. Увећани трошкови задуживања, као последица мера за сузбијање инфлаторних тенденција на домаћем и међународном тржишту, свакако ће и у наредном периоду имати негативан ефекат сличног интензитета.</w:t>
      </w:r>
    </w:p>
    <w:p w14:paraId="349AE4CF" w14:textId="69748B42" w:rsidR="006D0778" w:rsidRPr="006D0778" w:rsidRDefault="006D0778" w:rsidP="006D0778">
      <w:pPr>
        <w:rPr>
          <w:lang w:eastAsia="ja-JP"/>
        </w:rPr>
      </w:pPr>
      <w:r w:rsidRPr="006D0778">
        <w:rPr>
          <w:lang w:eastAsia="ja-JP"/>
        </w:rPr>
        <w:t>Ванредно повећање пензија крајем 2023. године, као и значајно повећање родитељског додатка у 2024. години, има пренети ефекат на кретање струк</w:t>
      </w:r>
      <w:r w:rsidRPr="006D0778">
        <w:rPr>
          <w:lang w:val="sr-Cyrl-RS" w:eastAsia="ja-JP"/>
        </w:rPr>
        <w:t>т</w:t>
      </w:r>
      <w:r w:rsidRPr="006D0778">
        <w:rPr>
          <w:lang w:eastAsia="ja-JP"/>
        </w:rPr>
        <w:t>урног резултата и током наредног периода.</w:t>
      </w:r>
      <w:r w:rsidR="00CF6476">
        <w:rPr>
          <w:lang w:eastAsia="ja-JP"/>
        </w:rPr>
        <w:t xml:space="preserve"> </w:t>
      </w:r>
      <w:r w:rsidRPr="006D0778">
        <w:rPr>
          <w:lang w:eastAsia="ja-JP"/>
        </w:rPr>
        <w:t>Међутим, овим фискалним оквиром, одређен</w:t>
      </w:r>
      <w:r w:rsidRPr="006D0778">
        <w:rPr>
          <w:lang w:val="sr-Cyrl-RS" w:eastAsia="ja-JP"/>
        </w:rPr>
        <w:t>о</w:t>
      </w:r>
      <w:r w:rsidRPr="006D0778">
        <w:rPr>
          <w:lang w:eastAsia="ja-JP"/>
        </w:rPr>
        <w:t xml:space="preserve"> је кретање и горња граница структурног фискалног резултата, са основним циљем да се обезбеди одржив ниво и опадајућа путања јавног дуга. У периоду од 2023. и 2025. године раст расхода за камате у одређеној мери такође повећава ниво структурног дефицита. Након тога, постепеним смањењем учешћа камата у БДП, отвара се простор за повећање других продуктивних облика расхода.</w:t>
      </w:r>
    </w:p>
    <w:p w14:paraId="3548B0A4" w14:textId="77777777" w:rsidR="006D0778" w:rsidRPr="006D0778" w:rsidRDefault="006D0778" w:rsidP="006D0778">
      <w:pPr>
        <w:spacing w:after="0"/>
        <w:rPr>
          <w:rFonts w:cs="Times New Roman"/>
          <w:szCs w:val="24"/>
          <w:lang w:val="sr-Cyrl-RS" w:eastAsia="ja-JP"/>
        </w:rPr>
      </w:pPr>
      <w:r w:rsidRPr="006D0778">
        <w:rPr>
          <w:lang w:eastAsia="ja-JP"/>
        </w:rPr>
        <w:t xml:space="preserve">Како је фискални импулс дефинисан као разлика два узастопна циклично прилагођена (примарна) резултата, оцењује се да је фискална политика током 2020. године била изразито експанзивно-контрациклична, усмерена на ублажавање негативног економског циклуса. Услед нешто мањег обима пакета мера економске подршке у 2021. години, </w:t>
      </w:r>
      <w:r w:rsidRPr="006D0778">
        <w:rPr>
          <w:lang w:eastAsia="ja-JP"/>
        </w:rPr>
        <w:lastRenderedPageBreak/>
        <w:t>фискална политика је рестриктивнија него претходне године, а по карактеру такође контрациклична. За период од 2022. до 2023. године, оцењено је да је фискална политика благо рестриктивна, и поред значајних издвајања за ублажавање енергетске кризе. Делом је то и последица раста расхода за камате који се искључују из обрачуна примарног резултата. У периоду од 2025. до 2027. године, а у складу са планираним фискалним оквиром, оцењена фискална политика је благо експанзивна. Основни разлог за то лежи у реализацији снажног инвестиционог циклуса за потребе манифестације EXPO 2027, али и осталих значајних инфраструктурних пројеката који ће, и у периоду након њихове реализације, утицати на повећање стопе привредног раста.</w:t>
      </w:r>
    </w:p>
    <w:p w14:paraId="40AD5C72" w14:textId="77777777" w:rsidR="006D0778" w:rsidRPr="006D0778" w:rsidRDefault="006D0778" w:rsidP="006D0778">
      <w:pPr>
        <w:spacing w:after="0"/>
        <w:rPr>
          <w:rFonts w:cs="Times New Roman"/>
          <w:szCs w:val="24"/>
          <w:lang w:val="sr-Cyrl-RS"/>
        </w:rPr>
      </w:pPr>
    </w:p>
    <w:p w14:paraId="55C04539" w14:textId="77777777" w:rsidR="006D0778" w:rsidRPr="006D0778" w:rsidRDefault="006D0778" w:rsidP="006D0778">
      <w:pPr>
        <w:spacing w:after="0"/>
        <w:rPr>
          <w:rFonts w:cs="Times New Roman"/>
          <w:vanish/>
          <w:spacing w:val="-2"/>
          <w:szCs w:val="24"/>
          <w:lang w:val="sr-Cyrl-RS" w:eastAsia="sr-Cyrl-RS"/>
        </w:rPr>
      </w:pPr>
      <w:r w:rsidRPr="006D0778">
        <w:rPr>
          <w:rFonts w:cs="Times New Roman"/>
          <w:spacing w:val="-2"/>
          <w:szCs w:val="24"/>
          <w:lang w:val="sr-Cyrl-RS"/>
        </w:rPr>
        <w:t>Графикон 13. Карактер и ефекти фискалне политике у периоду 2006–2024. године, % БДП</w:t>
      </w:r>
    </w:p>
    <w:p w14:paraId="4C2C844E" w14:textId="77777777" w:rsidR="006D0778" w:rsidRPr="006D0778" w:rsidRDefault="006D0778" w:rsidP="006D0778">
      <w:pPr>
        <w:spacing w:after="160" w:line="259" w:lineRule="auto"/>
        <w:jc w:val="center"/>
        <w:rPr>
          <w:rFonts w:eastAsia="Calibri" w:cs="Times New Roman"/>
          <w:szCs w:val="24"/>
          <w:highlight w:val="yellow"/>
          <w:lang w:val="sr-Cyrl-RS"/>
        </w:rPr>
      </w:pPr>
      <w:bookmarkStart w:id="13" w:name="_Toc530635111"/>
    </w:p>
    <w:p w14:paraId="62DC940D" w14:textId="77777777" w:rsidR="006D0778" w:rsidRPr="006D0778" w:rsidRDefault="006D0778" w:rsidP="006D0778">
      <w:pPr>
        <w:spacing w:after="160" w:line="259" w:lineRule="auto"/>
        <w:jc w:val="center"/>
        <w:rPr>
          <w:rFonts w:eastAsia="Calibri" w:cs="Times New Roman"/>
          <w:szCs w:val="24"/>
          <w:highlight w:val="yellow"/>
          <w:lang w:val="sr-Cyrl-RS"/>
        </w:rPr>
      </w:pPr>
      <w:r w:rsidRPr="006D0778">
        <w:rPr>
          <w:noProof/>
        </w:rPr>
        <w:drawing>
          <wp:inline distT="0" distB="0" distL="0" distR="0" wp14:anchorId="3FAB7E0F" wp14:editId="310FD9AB">
            <wp:extent cx="5638800" cy="3448050"/>
            <wp:effectExtent l="0" t="0" r="0" b="0"/>
            <wp:docPr id="22" name="Chart 22"/>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14:paraId="17F48C6A" w14:textId="77777777" w:rsidR="000E5C13" w:rsidRDefault="000E5C13" w:rsidP="006D0778">
      <w:pPr>
        <w:keepNext/>
        <w:keepLines/>
        <w:spacing w:before="40" w:after="160"/>
        <w:outlineLvl w:val="1"/>
        <w:rPr>
          <w:rFonts w:eastAsia="Calibri" w:cs="Times New Roman"/>
          <w:szCs w:val="24"/>
          <w:lang w:val="sr-Cyrl-RS"/>
        </w:rPr>
      </w:pPr>
    </w:p>
    <w:p w14:paraId="4328B042" w14:textId="5B02DD67" w:rsidR="006D0778" w:rsidRPr="006D0778" w:rsidRDefault="006D0778" w:rsidP="006D0778">
      <w:pPr>
        <w:keepNext/>
        <w:keepLines/>
        <w:spacing w:before="40" w:after="160"/>
        <w:outlineLvl w:val="1"/>
        <w:rPr>
          <w:rFonts w:eastAsia="Calibri" w:cs="Times New Roman"/>
          <w:szCs w:val="24"/>
          <w:lang w:val="sr-Cyrl-RS"/>
        </w:rPr>
      </w:pPr>
      <w:r w:rsidRPr="006D0778">
        <w:rPr>
          <w:rFonts w:eastAsia="Calibri" w:cs="Times New Roman"/>
          <w:szCs w:val="24"/>
          <w:lang w:val="sr-Cyrl-RS"/>
        </w:rPr>
        <w:t xml:space="preserve">5. </w:t>
      </w:r>
      <w:bookmarkEnd w:id="13"/>
      <w:r w:rsidRPr="006D0778">
        <w:rPr>
          <w:rFonts w:eastAsia="Calibri" w:cs="Times New Roman"/>
          <w:szCs w:val="24"/>
          <w:lang w:val="sr-Cyrl-RS"/>
        </w:rPr>
        <w:t>УПРАВЉАЊЕ ЈАВНИМ ДУГОМ</w:t>
      </w:r>
    </w:p>
    <w:p w14:paraId="0AFE9F48" w14:textId="77777777" w:rsidR="006D0778" w:rsidRPr="006D0778" w:rsidRDefault="006D0778" w:rsidP="002B1F9D">
      <w:pPr>
        <w:rPr>
          <w:rFonts w:cs="Times New Roman"/>
          <w:szCs w:val="24"/>
          <w:lang w:val="sr-Cyrl-RS" w:eastAsia="ja-JP"/>
        </w:rPr>
      </w:pPr>
      <w:r w:rsidRPr="006D0778">
        <w:rPr>
          <w:rFonts w:cs="Times New Roman"/>
          <w:szCs w:val="24"/>
          <w:lang w:val="sr-Cyrl-RS" w:eastAsia="ja-JP"/>
        </w:rPr>
        <w:t>У складу са међународном праксом и према Закону о јавном дугу („Службени гласник РС”, бр. 61/05, 107/09, 78/11, 68/15, 95/18, 91/19 и 149/20), Стратегија управљања јавним дугом за наредни средњорочни период треба да буде подржана и конзистентна са општим Владиним средњорочним макроекономским оквиром и саставни је део Фискалне стратегије. Стратегија управљања јавним дугом заснива се на принципима који дефинишу потребу за транспарентним и предвидивим процесом задуживања, уз перманентан развој тржишта државних хартија од вредности и прихватљив ниво изложености финансијским ризицима.</w:t>
      </w:r>
    </w:p>
    <w:p w14:paraId="653155AF" w14:textId="76A4F85D" w:rsidR="006D0778" w:rsidRPr="006D0778" w:rsidRDefault="006D0778" w:rsidP="002B1F9D">
      <w:pPr>
        <w:rPr>
          <w:rFonts w:cs="Times New Roman"/>
          <w:szCs w:val="24"/>
          <w:lang w:val="sr-Cyrl-RS" w:eastAsia="ja-JP"/>
        </w:rPr>
      </w:pPr>
      <w:r w:rsidRPr="006D0778">
        <w:rPr>
          <w:rFonts w:cs="Times New Roman"/>
          <w:szCs w:val="24"/>
          <w:lang w:val="sr-Cyrl-RS" w:eastAsia="ja-JP"/>
        </w:rPr>
        <w:t>На крају септембра 202</w:t>
      </w:r>
      <w:r w:rsidRPr="006D0778">
        <w:rPr>
          <w:rFonts w:cs="Times New Roman"/>
          <w:szCs w:val="24"/>
          <w:lang w:val="sr-Latn-RS" w:eastAsia="ja-JP"/>
        </w:rPr>
        <w:t>4</w:t>
      </w:r>
      <w:r w:rsidRPr="006D0778">
        <w:rPr>
          <w:rFonts w:cs="Times New Roman"/>
          <w:szCs w:val="24"/>
          <w:lang w:val="sr-Cyrl-RS" w:eastAsia="ja-JP"/>
        </w:rPr>
        <w:t>. године стање дуга сектора државе износило је 4.496,5 млрд динара, односно 46,8</w:t>
      </w:r>
      <w:r w:rsidRPr="006D0778">
        <w:rPr>
          <w:rFonts w:cs="Times New Roman"/>
          <w:szCs w:val="24"/>
          <w:lang w:val="sr-Latn-RS" w:eastAsia="ja-JP"/>
        </w:rPr>
        <w:t xml:space="preserve">% </w:t>
      </w:r>
      <w:r w:rsidRPr="006D0778">
        <w:rPr>
          <w:rFonts w:cs="Times New Roman"/>
          <w:szCs w:val="24"/>
          <w:lang w:val="sr-Cyrl-RS" w:eastAsia="ja-JP"/>
        </w:rPr>
        <w:t>БДП. Од тога се на јавни дуг Републике Србије односило 4.467,0</w:t>
      </w:r>
      <w:r w:rsidRPr="006D0778">
        <w:rPr>
          <w:rFonts w:cs="Times New Roman"/>
          <w:szCs w:val="24"/>
          <w:lang w:val="sr-Latn-RS" w:eastAsia="ja-JP"/>
        </w:rPr>
        <w:t xml:space="preserve"> </w:t>
      </w:r>
      <w:r w:rsidRPr="006D0778">
        <w:rPr>
          <w:rFonts w:cs="Times New Roman"/>
          <w:szCs w:val="24"/>
          <w:lang w:val="sr-Cyrl-RS" w:eastAsia="ja-JP"/>
        </w:rPr>
        <w:t>млрд динара, док се 29,3</w:t>
      </w:r>
      <w:r w:rsidRPr="006D0778">
        <w:rPr>
          <w:rFonts w:cs="Times New Roman"/>
          <w:szCs w:val="24"/>
          <w:lang w:val="sr-Latn-RS" w:eastAsia="ja-JP"/>
        </w:rPr>
        <w:t xml:space="preserve"> </w:t>
      </w:r>
      <w:r w:rsidRPr="006D0778">
        <w:rPr>
          <w:rFonts w:cs="Times New Roman"/>
          <w:szCs w:val="24"/>
          <w:lang w:val="sr-Cyrl-RS" w:eastAsia="ja-JP"/>
        </w:rPr>
        <w:t>млрд динара односило на негарантовани дуг ЈЛС и 0,2</w:t>
      </w:r>
      <w:r w:rsidRPr="006D0778">
        <w:rPr>
          <w:rFonts w:cs="Times New Roman"/>
          <w:szCs w:val="24"/>
          <w:lang w:val="sr-Latn-RS" w:eastAsia="ja-JP"/>
        </w:rPr>
        <w:t xml:space="preserve"> </w:t>
      </w:r>
      <w:r w:rsidRPr="006D0778">
        <w:rPr>
          <w:rFonts w:cs="Times New Roman"/>
          <w:szCs w:val="24"/>
          <w:lang w:val="sr-Cyrl-RS" w:eastAsia="ja-JP"/>
        </w:rPr>
        <w:t>млрд динара на негарантовани дуг ЈП „Путеви Србијеˮ и Коридора Србије д.о.о. Београд. Директан јавни дуг Републике Србије износио је 4.256,7</w:t>
      </w:r>
      <w:r w:rsidRPr="006D0778">
        <w:rPr>
          <w:rFonts w:cs="Times New Roman"/>
          <w:szCs w:val="24"/>
          <w:lang w:val="sr-Latn-RS" w:eastAsia="ja-JP"/>
        </w:rPr>
        <w:t xml:space="preserve"> </w:t>
      </w:r>
      <w:r w:rsidRPr="006D0778">
        <w:rPr>
          <w:rFonts w:cs="Times New Roman"/>
          <w:szCs w:val="24"/>
          <w:lang w:val="sr-Cyrl-RS" w:eastAsia="ja-JP"/>
        </w:rPr>
        <w:t xml:space="preserve">млрд динара, док је индиректни јавни дуг Републике Србије износио 210,3 млрд динара. Унутрашњи јавни дуг Републике </w:t>
      </w:r>
      <w:r w:rsidRPr="006D0778">
        <w:rPr>
          <w:rFonts w:cs="Times New Roman"/>
          <w:szCs w:val="24"/>
          <w:lang w:val="sr-Cyrl-RS" w:eastAsia="ja-JP"/>
        </w:rPr>
        <w:lastRenderedPageBreak/>
        <w:t>Србије је износио 1.285,1</w:t>
      </w:r>
      <w:r w:rsidRPr="006D0778">
        <w:rPr>
          <w:rFonts w:cs="Times New Roman"/>
          <w:szCs w:val="24"/>
          <w:lang w:val="sr-Latn-RS" w:eastAsia="ja-JP"/>
        </w:rPr>
        <w:t xml:space="preserve"> </w:t>
      </w:r>
      <w:r w:rsidRPr="006D0778">
        <w:rPr>
          <w:rFonts w:cs="Times New Roman"/>
          <w:szCs w:val="24"/>
          <w:lang w:val="sr-Cyrl-RS" w:eastAsia="ja-JP"/>
        </w:rPr>
        <w:t>млрд динара, а спољни јавни дуг Републике Србије износио је 3.181,9 млрд динара. Према подацима од 30. септeмбра 202</w:t>
      </w:r>
      <w:r w:rsidRPr="006D0778">
        <w:rPr>
          <w:rFonts w:cs="Times New Roman"/>
          <w:szCs w:val="24"/>
          <w:lang w:val="sr-Latn-RS" w:eastAsia="ja-JP"/>
        </w:rPr>
        <w:t>4</w:t>
      </w:r>
      <w:r w:rsidR="00DB1F40">
        <w:rPr>
          <w:rFonts w:cs="Times New Roman"/>
          <w:szCs w:val="24"/>
          <w:lang w:val="sr-Cyrl-RS" w:eastAsia="ja-JP"/>
        </w:rPr>
        <w:t>. године, у валутној структури</w:t>
      </w:r>
      <w:r w:rsidRPr="006D0778">
        <w:rPr>
          <w:rFonts w:cs="Times New Roman"/>
          <w:szCs w:val="24"/>
          <w:lang w:val="sr-Cyrl-RS" w:eastAsia="ja-JP"/>
        </w:rPr>
        <w:t xml:space="preserve"> дуга сектора државе и даље највеће учешће има дуг деноминован у еврима у износу од 58,</w:t>
      </w:r>
      <w:r w:rsidRPr="006D0778">
        <w:rPr>
          <w:rFonts w:cs="Times New Roman"/>
          <w:szCs w:val="24"/>
          <w:lang w:val="sr-Latn-RS" w:eastAsia="ja-JP"/>
        </w:rPr>
        <w:t>6</w:t>
      </w:r>
      <w:r w:rsidRPr="006D0778">
        <w:rPr>
          <w:rFonts w:cs="Times New Roman"/>
          <w:szCs w:val="24"/>
          <w:lang w:val="sr-Cyrl-RS" w:eastAsia="ja-JP"/>
        </w:rPr>
        <w:t>% укупног дуга сектора државе. Затим су највише заступљени динар са 2</w:t>
      </w:r>
      <w:r w:rsidRPr="006D0778">
        <w:rPr>
          <w:rFonts w:cs="Times New Roman"/>
          <w:szCs w:val="24"/>
          <w:lang w:val="sr-Latn-RS" w:eastAsia="ja-JP"/>
        </w:rPr>
        <w:t>1</w:t>
      </w:r>
      <w:r w:rsidRPr="006D0778">
        <w:rPr>
          <w:rFonts w:cs="Times New Roman"/>
          <w:szCs w:val="24"/>
          <w:lang w:val="sr-Cyrl-RS" w:eastAsia="ja-JP"/>
        </w:rPr>
        <w:t>,</w:t>
      </w:r>
      <w:r w:rsidRPr="006D0778">
        <w:rPr>
          <w:rFonts w:cs="Times New Roman"/>
          <w:szCs w:val="24"/>
          <w:lang w:val="sr-Latn-RS" w:eastAsia="ja-JP"/>
        </w:rPr>
        <w:t>9</w:t>
      </w:r>
      <w:r w:rsidRPr="006D0778">
        <w:rPr>
          <w:rFonts w:cs="Times New Roman"/>
          <w:szCs w:val="24"/>
          <w:lang w:val="sr-Cyrl-RS" w:eastAsia="ja-JP"/>
        </w:rPr>
        <w:t xml:space="preserve"> % и амерички долар са 1</w:t>
      </w:r>
      <w:r w:rsidRPr="006D0778">
        <w:rPr>
          <w:rFonts w:cs="Times New Roman"/>
          <w:szCs w:val="24"/>
          <w:lang w:val="sr-Latn-RS" w:eastAsia="ja-JP"/>
        </w:rPr>
        <w:t>2</w:t>
      </w:r>
      <w:r w:rsidRPr="006D0778">
        <w:rPr>
          <w:rFonts w:cs="Times New Roman"/>
          <w:szCs w:val="24"/>
          <w:lang w:val="sr-Cyrl-RS" w:eastAsia="ja-JP"/>
        </w:rPr>
        <w:t>,</w:t>
      </w:r>
      <w:r w:rsidRPr="006D0778">
        <w:rPr>
          <w:rFonts w:cs="Times New Roman"/>
          <w:szCs w:val="24"/>
          <w:lang w:val="sr-Latn-RS" w:eastAsia="ja-JP"/>
        </w:rPr>
        <w:t>8</w:t>
      </w:r>
      <w:r w:rsidRPr="006D0778">
        <w:rPr>
          <w:rFonts w:cs="Times New Roman"/>
          <w:szCs w:val="24"/>
          <w:lang w:val="sr-Cyrl-RS" w:eastAsia="ja-JP"/>
        </w:rPr>
        <w:t>%. Остатак дуга је деноминован у специјалним правима вучења 6,</w:t>
      </w:r>
      <w:r w:rsidRPr="006D0778">
        <w:rPr>
          <w:rFonts w:cs="Times New Roman"/>
          <w:szCs w:val="24"/>
          <w:lang w:val="sr-Latn-RS" w:eastAsia="ja-JP"/>
        </w:rPr>
        <w:t>2</w:t>
      </w:r>
      <w:r w:rsidRPr="006D0778">
        <w:rPr>
          <w:rFonts w:cs="Times New Roman"/>
          <w:szCs w:val="24"/>
          <w:lang w:val="sr-Cyrl-RS" w:eastAsia="ja-JP"/>
        </w:rPr>
        <w:t>% и осталим валутама 0,</w:t>
      </w:r>
      <w:r w:rsidRPr="006D0778">
        <w:rPr>
          <w:rFonts w:cs="Times New Roman"/>
          <w:szCs w:val="24"/>
          <w:lang w:val="sr-Latn-RS" w:eastAsia="ja-JP"/>
        </w:rPr>
        <w:t>4</w:t>
      </w:r>
      <w:r w:rsidRPr="006D0778">
        <w:rPr>
          <w:rFonts w:cs="Times New Roman"/>
          <w:szCs w:val="24"/>
          <w:lang w:val="sr-Cyrl-RS" w:eastAsia="ja-JP"/>
        </w:rPr>
        <w:t>%. На дан 30. септeмбра 202</w:t>
      </w:r>
      <w:r w:rsidRPr="006D0778">
        <w:rPr>
          <w:rFonts w:cs="Times New Roman"/>
          <w:szCs w:val="24"/>
          <w:lang w:val="sr-Latn-RS" w:eastAsia="ja-JP"/>
        </w:rPr>
        <w:t>4</w:t>
      </w:r>
      <w:r w:rsidRPr="006D0778">
        <w:rPr>
          <w:rFonts w:cs="Times New Roman"/>
          <w:szCs w:val="24"/>
          <w:lang w:val="sr-Cyrl-RS" w:eastAsia="ja-JP"/>
        </w:rPr>
        <w:t>. године највећи део дуга сектора државе је са фиксном каматном стопом 72,</w:t>
      </w:r>
      <w:r w:rsidRPr="006D0778">
        <w:rPr>
          <w:rFonts w:cs="Times New Roman"/>
          <w:szCs w:val="24"/>
          <w:lang w:val="sr-Latn-RS" w:eastAsia="ja-JP"/>
        </w:rPr>
        <w:t>3</w:t>
      </w:r>
      <w:r w:rsidRPr="006D0778">
        <w:rPr>
          <w:rFonts w:cs="Times New Roman"/>
          <w:szCs w:val="24"/>
          <w:lang w:val="sr-Cyrl-RS" w:eastAsia="ja-JP"/>
        </w:rPr>
        <w:t>%, док се на дуг са варијабилном каматном стопом односило 27,</w:t>
      </w:r>
      <w:r w:rsidRPr="006D0778">
        <w:rPr>
          <w:rFonts w:cs="Times New Roman"/>
          <w:szCs w:val="24"/>
          <w:lang w:val="sr-Latn-RS" w:eastAsia="ja-JP"/>
        </w:rPr>
        <w:t>7</w:t>
      </w:r>
      <w:r w:rsidRPr="006D0778">
        <w:rPr>
          <w:rFonts w:cs="Times New Roman"/>
          <w:szCs w:val="24"/>
          <w:lang w:val="sr-Cyrl-RS" w:eastAsia="ja-JP"/>
        </w:rPr>
        <w:t xml:space="preserve">% укупног дуга. Међу варијабилним каматним стопама највише су заступљени Euribor </w:t>
      </w:r>
      <w:r w:rsidRPr="006D0778">
        <w:rPr>
          <w:rFonts w:cs="Times New Roman"/>
          <w:szCs w:val="24"/>
          <w:lang w:val="sr-Latn-RS" w:eastAsia="ja-JP"/>
        </w:rPr>
        <w:t>69</w:t>
      </w:r>
      <w:r w:rsidRPr="006D0778">
        <w:rPr>
          <w:rFonts w:cs="Times New Roman"/>
          <w:szCs w:val="24"/>
          <w:lang w:val="sr-Cyrl-RS" w:eastAsia="ja-JP"/>
        </w:rPr>
        <w:t>,</w:t>
      </w:r>
      <w:r w:rsidRPr="006D0778">
        <w:rPr>
          <w:rFonts w:cs="Times New Roman"/>
          <w:szCs w:val="24"/>
          <w:lang w:val="sr-Latn-RS" w:eastAsia="ja-JP"/>
        </w:rPr>
        <w:t>7</w:t>
      </w:r>
      <w:r w:rsidRPr="006D0778">
        <w:rPr>
          <w:rFonts w:cs="Times New Roman"/>
          <w:szCs w:val="24"/>
          <w:lang w:val="sr-Cyrl-RS" w:eastAsia="ja-JP"/>
        </w:rPr>
        <w:t>%, затим каматна стопа за специјална права вучења 2</w:t>
      </w:r>
      <w:r w:rsidRPr="006D0778">
        <w:rPr>
          <w:rFonts w:cs="Times New Roman"/>
          <w:szCs w:val="24"/>
          <w:lang w:val="sr-Latn-RS" w:eastAsia="ja-JP"/>
        </w:rPr>
        <w:t>2</w:t>
      </w:r>
      <w:r w:rsidRPr="006D0778">
        <w:rPr>
          <w:rFonts w:cs="Times New Roman"/>
          <w:szCs w:val="24"/>
          <w:lang w:val="sr-Cyrl-RS" w:eastAsia="ja-JP"/>
        </w:rPr>
        <w:t>,</w:t>
      </w:r>
      <w:r w:rsidRPr="006D0778">
        <w:rPr>
          <w:rFonts w:cs="Times New Roman"/>
          <w:szCs w:val="24"/>
          <w:lang w:val="sr-Latn-RS" w:eastAsia="ja-JP"/>
        </w:rPr>
        <w:t>4</w:t>
      </w:r>
      <w:r w:rsidRPr="006D0778">
        <w:rPr>
          <w:rFonts w:cs="Times New Roman"/>
          <w:szCs w:val="24"/>
          <w:lang w:val="sr-Cyrl-RS" w:eastAsia="ja-JP"/>
        </w:rPr>
        <w:t xml:space="preserve">%, Belibor </w:t>
      </w:r>
      <w:r w:rsidRPr="006D0778">
        <w:rPr>
          <w:rFonts w:cs="Times New Roman"/>
          <w:szCs w:val="24"/>
          <w:lang w:val="sr-Latn-RS" w:eastAsia="ja-JP"/>
        </w:rPr>
        <w:t>7</w:t>
      </w:r>
      <w:r w:rsidRPr="006D0778">
        <w:rPr>
          <w:rFonts w:cs="Times New Roman"/>
          <w:szCs w:val="24"/>
          <w:lang w:val="sr-Cyrl-RS" w:eastAsia="ja-JP"/>
        </w:rPr>
        <w:t>,</w:t>
      </w:r>
      <w:r w:rsidRPr="006D0778">
        <w:rPr>
          <w:rFonts w:cs="Times New Roman"/>
          <w:szCs w:val="24"/>
          <w:lang w:val="sr-Latn-RS" w:eastAsia="ja-JP"/>
        </w:rPr>
        <w:t>7</w:t>
      </w:r>
      <w:r w:rsidRPr="006D0778">
        <w:rPr>
          <w:rFonts w:cs="Times New Roman"/>
          <w:szCs w:val="24"/>
          <w:lang w:val="sr-Cyrl-RS" w:eastAsia="ja-JP"/>
        </w:rPr>
        <w:t>%, док је учешће обавеза са осталим каматним стопама 0,</w:t>
      </w:r>
      <w:r w:rsidRPr="006D0778">
        <w:rPr>
          <w:rFonts w:cs="Times New Roman"/>
          <w:szCs w:val="24"/>
          <w:lang w:val="sr-Latn-RS" w:eastAsia="ja-JP"/>
        </w:rPr>
        <w:t>2</w:t>
      </w:r>
      <w:r w:rsidRPr="006D0778">
        <w:rPr>
          <w:rFonts w:cs="Times New Roman"/>
          <w:szCs w:val="24"/>
          <w:lang w:val="sr-Cyrl-RS" w:eastAsia="ja-JP"/>
        </w:rPr>
        <w:t>%.</w:t>
      </w:r>
    </w:p>
    <w:p w14:paraId="30B1142F" w14:textId="77777777" w:rsidR="006D0778" w:rsidRPr="006D0778" w:rsidRDefault="006D0778" w:rsidP="002B1F9D">
      <w:pPr>
        <w:rPr>
          <w:rFonts w:cs="Times New Roman"/>
          <w:szCs w:val="24"/>
          <w:lang w:val="sr-Cyrl-RS" w:eastAsia="ja-JP"/>
        </w:rPr>
      </w:pPr>
      <w:r w:rsidRPr="006D0778">
        <w:rPr>
          <w:rFonts w:cs="Times New Roman"/>
          <w:szCs w:val="24"/>
          <w:lang w:val="sr-Cyrl-RS" w:eastAsia="ja-JP"/>
        </w:rPr>
        <w:t>Имајући у виду пројектовани резултат буџета Републике Србије за период 202</w:t>
      </w:r>
      <w:r w:rsidRPr="006D0778">
        <w:rPr>
          <w:rFonts w:cs="Times New Roman"/>
          <w:szCs w:val="24"/>
          <w:lang w:val="sr-Latn-RS" w:eastAsia="ja-JP"/>
        </w:rPr>
        <w:t>5</w:t>
      </w:r>
      <w:r w:rsidRPr="006D0778">
        <w:rPr>
          <w:rFonts w:cs="Times New Roman"/>
          <w:szCs w:val="24"/>
          <w:lang w:val="sr-Cyrl-RS" w:eastAsia="ja-JP"/>
        </w:rPr>
        <w:t>–202</w:t>
      </w:r>
      <w:r w:rsidRPr="006D0778">
        <w:rPr>
          <w:rFonts w:cs="Times New Roman"/>
          <w:szCs w:val="24"/>
          <w:lang w:val="sr-Latn-RS" w:eastAsia="ja-JP"/>
        </w:rPr>
        <w:t>7</w:t>
      </w:r>
      <w:r w:rsidRPr="006D0778">
        <w:rPr>
          <w:rFonts w:cs="Times New Roman"/>
          <w:szCs w:val="24"/>
          <w:lang w:val="sr-Cyrl-RS" w:eastAsia="ja-JP"/>
        </w:rPr>
        <w:t>. године, укључујући и обим повлачења кредитних средстава за пројектно финансирање од буџетских корисника, ефекте промене девизног курса динара према евру и америчком долару, у основном макроекономском сценарију, јавни дуг Репбулике Србије требало би да буде на нивоу од 46,0%</w:t>
      </w:r>
      <w:r w:rsidRPr="006D0778">
        <w:rPr>
          <w:rFonts w:cs="Times New Roman"/>
          <w:szCs w:val="24"/>
          <w:lang w:val="sr-Latn-RS" w:eastAsia="ja-JP"/>
        </w:rPr>
        <w:t xml:space="preserve"> </w:t>
      </w:r>
      <w:r w:rsidRPr="006D0778">
        <w:rPr>
          <w:rFonts w:cs="Times New Roman"/>
          <w:szCs w:val="24"/>
          <w:lang w:val="sr-Cyrl-RS" w:eastAsia="ja-JP"/>
        </w:rPr>
        <w:t>БДП на крају 202</w:t>
      </w:r>
      <w:r w:rsidRPr="006D0778">
        <w:rPr>
          <w:rFonts w:cs="Times New Roman"/>
          <w:szCs w:val="24"/>
          <w:lang w:val="sr-Latn-RS" w:eastAsia="ja-JP"/>
        </w:rPr>
        <w:t>7</w:t>
      </w:r>
      <w:r w:rsidRPr="006D0778">
        <w:rPr>
          <w:rFonts w:cs="Times New Roman"/>
          <w:szCs w:val="24"/>
          <w:lang w:val="sr-Cyrl-RS" w:eastAsia="ja-JP"/>
        </w:rPr>
        <w:t>. године.</w:t>
      </w:r>
    </w:p>
    <w:p w14:paraId="14602159" w14:textId="77777777" w:rsidR="006D0778" w:rsidRPr="006D0778" w:rsidRDefault="006D0778" w:rsidP="006D0778">
      <w:pPr>
        <w:keepLines/>
        <w:spacing w:after="160" w:line="259" w:lineRule="auto"/>
        <w:rPr>
          <w:rFonts w:cs="Times New Roman"/>
          <w:szCs w:val="24"/>
          <w:lang w:val="ru-RU" w:eastAsia="ja-JP"/>
        </w:rPr>
      </w:pPr>
      <w:r w:rsidRPr="006D0778">
        <w:rPr>
          <w:rFonts w:cs="Times New Roman"/>
          <w:szCs w:val="24"/>
          <w:lang w:val="ru-RU" w:eastAsia="ja-JP"/>
        </w:rPr>
        <w:t>Табела 11. Основна пројекција стања дуга сектора државе до 2027. године</w:t>
      </w:r>
    </w:p>
    <w:tbl>
      <w:tblPr>
        <w:tblW w:w="5000" w:type="pct"/>
        <w:tblLook w:val="0620" w:firstRow="1" w:lastRow="0" w:firstColumn="0" w:lastColumn="0" w:noHBand="1" w:noVBand="1"/>
      </w:tblPr>
      <w:tblGrid>
        <w:gridCol w:w="4918"/>
        <w:gridCol w:w="1027"/>
        <w:gridCol w:w="1027"/>
        <w:gridCol w:w="1027"/>
        <w:gridCol w:w="1027"/>
      </w:tblGrid>
      <w:tr w:rsidR="006D0778" w:rsidRPr="006D0778" w14:paraId="74D7577E" w14:textId="77777777" w:rsidTr="00D2109C">
        <w:trPr>
          <w:trHeight w:val="20"/>
          <w:tblHeader/>
        </w:trPr>
        <w:tc>
          <w:tcPr>
            <w:tcW w:w="2724" w:type="pct"/>
            <w:tcBorders>
              <w:top w:val="single" w:sz="4" w:space="0" w:color="002060"/>
              <w:bottom w:val="single" w:sz="8" w:space="0" w:color="FFFFFF" w:themeColor="background1"/>
            </w:tcBorders>
            <w:noWrap/>
            <w:hideMark/>
          </w:tcPr>
          <w:p w14:paraId="46EC17BE" w14:textId="77777777" w:rsidR="006D0778" w:rsidRPr="006D0778" w:rsidRDefault="006D0778" w:rsidP="006D0778">
            <w:pPr>
              <w:keepLines/>
              <w:spacing w:after="160" w:line="259" w:lineRule="auto"/>
              <w:rPr>
                <w:b/>
                <w:bCs/>
                <w:sz w:val="22"/>
                <w:lang w:val="ru-RU" w:eastAsia="ja-JP"/>
              </w:rPr>
            </w:pPr>
          </w:p>
        </w:tc>
        <w:tc>
          <w:tcPr>
            <w:tcW w:w="569" w:type="pct"/>
            <w:tcBorders>
              <w:top w:val="single" w:sz="4" w:space="0" w:color="002060"/>
              <w:bottom w:val="single" w:sz="4" w:space="0" w:color="002060"/>
            </w:tcBorders>
            <w:noWrap/>
            <w:hideMark/>
          </w:tcPr>
          <w:p w14:paraId="6A57A7A4" w14:textId="77777777" w:rsidR="006D0778" w:rsidRPr="006D0778" w:rsidRDefault="006D0778" w:rsidP="006D0778">
            <w:pPr>
              <w:keepLines/>
              <w:spacing w:after="160" w:line="259" w:lineRule="auto"/>
              <w:rPr>
                <w:b/>
                <w:bCs/>
                <w:sz w:val="22"/>
                <w:lang w:val="en-GB" w:eastAsia="ja-JP"/>
              </w:rPr>
            </w:pPr>
            <w:r w:rsidRPr="006D0778">
              <w:rPr>
                <w:b/>
                <w:bCs/>
                <w:sz w:val="22"/>
                <w:lang w:val="en-GB" w:eastAsia="ja-JP"/>
              </w:rPr>
              <w:t>2024 п</w:t>
            </w:r>
          </w:p>
        </w:tc>
        <w:tc>
          <w:tcPr>
            <w:tcW w:w="569" w:type="pct"/>
            <w:tcBorders>
              <w:top w:val="single" w:sz="4" w:space="0" w:color="002060"/>
              <w:bottom w:val="single" w:sz="4" w:space="0" w:color="002060"/>
            </w:tcBorders>
            <w:noWrap/>
            <w:hideMark/>
          </w:tcPr>
          <w:p w14:paraId="3FC733B1" w14:textId="77777777" w:rsidR="006D0778" w:rsidRPr="006D0778" w:rsidRDefault="006D0778" w:rsidP="006D0778">
            <w:pPr>
              <w:keepLines/>
              <w:spacing w:after="160" w:line="259" w:lineRule="auto"/>
              <w:rPr>
                <w:b/>
                <w:bCs/>
                <w:sz w:val="22"/>
                <w:lang w:val="en-GB" w:eastAsia="ja-JP"/>
              </w:rPr>
            </w:pPr>
            <w:r w:rsidRPr="006D0778">
              <w:rPr>
                <w:b/>
                <w:bCs/>
                <w:sz w:val="22"/>
                <w:lang w:val="en-GB" w:eastAsia="ja-JP"/>
              </w:rPr>
              <w:t>2025 п</w:t>
            </w:r>
          </w:p>
        </w:tc>
        <w:tc>
          <w:tcPr>
            <w:tcW w:w="569" w:type="pct"/>
            <w:tcBorders>
              <w:top w:val="single" w:sz="4" w:space="0" w:color="002060"/>
              <w:bottom w:val="single" w:sz="4" w:space="0" w:color="002060"/>
            </w:tcBorders>
            <w:noWrap/>
            <w:hideMark/>
          </w:tcPr>
          <w:p w14:paraId="5816E378" w14:textId="77777777" w:rsidR="006D0778" w:rsidRPr="006D0778" w:rsidRDefault="006D0778" w:rsidP="006D0778">
            <w:pPr>
              <w:keepLines/>
              <w:spacing w:after="160" w:line="259" w:lineRule="auto"/>
              <w:rPr>
                <w:b/>
                <w:bCs/>
                <w:sz w:val="22"/>
                <w:lang w:val="en-GB" w:eastAsia="ja-JP"/>
              </w:rPr>
            </w:pPr>
            <w:r w:rsidRPr="006D0778">
              <w:rPr>
                <w:b/>
                <w:bCs/>
                <w:sz w:val="22"/>
                <w:lang w:val="en-GB" w:eastAsia="ja-JP"/>
              </w:rPr>
              <w:t>2026 п</w:t>
            </w:r>
          </w:p>
        </w:tc>
        <w:tc>
          <w:tcPr>
            <w:tcW w:w="569" w:type="pct"/>
            <w:tcBorders>
              <w:top w:val="single" w:sz="4" w:space="0" w:color="002060"/>
              <w:bottom w:val="single" w:sz="4" w:space="0" w:color="002060"/>
            </w:tcBorders>
            <w:noWrap/>
            <w:hideMark/>
          </w:tcPr>
          <w:p w14:paraId="01214817" w14:textId="77777777" w:rsidR="006D0778" w:rsidRPr="006D0778" w:rsidRDefault="006D0778" w:rsidP="006D0778">
            <w:pPr>
              <w:keepLines/>
              <w:spacing w:after="160" w:line="259" w:lineRule="auto"/>
              <w:rPr>
                <w:b/>
                <w:bCs/>
                <w:sz w:val="22"/>
                <w:lang w:val="en-GB" w:eastAsia="ja-JP"/>
              </w:rPr>
            </w:pPr>
            <w:r w:rsidRPr="006D0778">
              <w:rPr>
                <w:b/>
                <w:bCs/>
                <w:sz w:val="22"/>
                <w:lang w:val="en-GB" w:eastAsia="ja-JP"/>
              </w:rPr>
              <w:t>2027 п</w:t>
            </w:r>
          </w:p>
        </w:tc>
      </w:tr>
      <w:tr w:rsidR="006D0778" w:rsidRPr="006D0778" w14:paraId="3896EC2B" w14:textId="77777777" w:rsidTr="00D2109C">
        <w:trPr>
          <w:trHeight w:val="20"/>
        </w:trPr>
        <w:tc>
          <w:tcPr>
            <w:tcW w:w="2724" w:type="pct"/>
            <w:tcBorders>
              <w:top w:val="nil"/>
              <w:bottom w:val="nil"/>
            </w:tcBorders>
            <w:shd w:val="clear" w:color="auto" w:fill="auto"/>
            <w:noWrap/>
            <w:hideMark/>
          </w:tcPr>
          <w:p w14:paraId="0444855F" w14:textId="77777777" w:rsidR="006D0778" w:rsidRPr="006D0778" w:rsidRDefault="006D0778" w:rsidP="006D0778">
            <w:pPr>
              <w:keepLines/>
              <w:spacing w:after="160" w:line="259" w:lineRule="auto"/>
              <w:rPr>
                <w:bCs/>
                <w:sz w:val="22"/>
                <w:lang w:val="ru-RU" w:eastAsia="ja-JP"/>
              </w:rPr>
            </w:pPr>
            <w:r w:rsidRPr="006D0778">
              <w:rPr>
                <w:bCs/>
                <w:sz w:val="22"/>
                <w:lang w:val="ru-RU" w:eastAsia="ja-JP"/>
              </w:rPr>
              <w:t>Јавни дуг (централни ниво власти), млрд РСД</w:t>
            </w:r>
          </w:p>
        </w:tc>
        <w:tc>
          <w:tcPr>
            <w:tcW w:w="569" w:type="pct"/>
            <w:tcBorders>
              <w:top w:val="single" w:sz="4" w:space="0" w:color="002060"/>
              <w:bottom w:val="nil"/>
            </w:tcBorders>
            <w:shd w:val="clear" w:color="auto" w:fill="auto"/>
            <w:noWrap/>
            <w:hideMark/>
          </w:tcPr>
          <w:p w14:paraId="53BD519F" w14:textId="77777777" w:rsidR="006D0778" w:rsidRPr="006D0778" w:rsidRDefault="006D0778" w:rsidP="006D0778">
            <w:pPr>
              <w:keepLines/>
              <w:spacing w:after="160" w:line="259" w:lineRule="auto"/>
              <w:rPr>
                <w:bCs/>
                <w:sz w:val="22"/>
                <w:lang w:val="en-GB" w:eastAsia="ja-JP"/>
              </w:rPr>
            </w:pPr>
            <w:r w:rsidRPr="006D0778">
              <w:rPr>
                <w:bCs/>
                <w:sz w:val="22"/>
                <w:lang w:val="en-GB" w:eastAsia="ja-JP"/>
              </w:rPr>
              <w:t>4.558,3</w:t>
            </w:r>
          </w:p>
        </w:tc>
        <w:tc>
          <w:tcPr>
            <w:tcW w:w="569" w:type="pct"/>
            <w:tcBorders>
              <w:top w:val="single" w:sz="4" w:space="0" w:color="002060"/>
              <w:bottom w:val="nil"/>
            </w:tcBorders>
            <w:shd w:val="clear" w:color="auto" w:fill="auto"/>
            <w:noWrap/>
            <w:hideMark/>
          </w:tcPr>
          <w:p w14:paraId="20F11EE0" w14:textId="77777777" w:rsidR="006D0778" w:rsidRPr="006D0778" w:rsidRDefault="006D0778" w:rsidP="006D0778">
            <w:pPr>
              <w:keepLines/>
              <w:spacing w:after="160" w:line="259" w:lineRule="auto"/>
              <w:rPr>
                <w:bCs/>
                <w:sz w:val="22"/>
                <w:lang w:val="en-GB" w:eastAsia="ja-JP"/>
              </w:rPr>
            </w:pPr>
            <w:r w:rsidRPr="006D0778">
              <w:rPr>
                <w:bCs/>
                <w:sz w:val="22"/>
                <w:lang w:val="en-GB" w:eastAsia="ja-JP"/>
              </w:rPr>
              <w:t>4.854,3</w:t>
            </w:r>
          </w:p>
        </w:tc>
        <w:tc>
          <w:tcPr>
            <w:tcW w:w="569" w:type="pct"/>
            <w:tcBorders>
              <w:top w:val="single" w:sz="4" w:space="0" w:color="002060"/>
              <w:bottom w:val="nil"/>
            </w:tcBorders>
            <w:shd w:val="clear" w:color="auto" w:fill="auto"/>
            <w:noWrap/>
            <w:hideMark/>
          </w:tcPr>
          <w:p w14:paraId="5D3A303E" w14:textId="77777777" w:rsidR="006D0778" w:rsidRPr="006D0778" w:rsidRDefault="006D0778" w:rsidP="006D0778">
            <w:pPr>
              <w:keepLines/>
              <w:spacing w:after="160" w:line="259" w:lineRule="auto"/>
              <w:rPr>
                <w:bCs/>
                <w:sz w:val="22"/>
                <w:lang w:val="en-GB" w:eastAsia="ja-JP"/>
              </w:rPr>
            </w:pPr>
            <w:r w:rsidRPr="006D0778">
              <w:rPr>
                <w:bCs/>
                <w:sz w:val="22"/>
                <w:lang w:val="en-GB" w:eastAsia="ja-JP"/>
              </w:rPr>
              <w:t>5.151,3</w:t>
            </w:r>
          </w:p>
        </w:tc>
        <w:tc>
          <w:tcPr>
            <w:tcW w:w="569" w:type="pct"/>
            <w:tcBorders>
              <w:top w:val="single" w:sz="4" w:space="0" w:color="002060"/>
              <w:bottom w:val="nil"/>
            </w:tcBorders>
            <w:shd w:val="clear" w:color="auto" w:fill="auto"/>
            <w:noWrap/>
            <w:hideMark/>
          </w:tcPr>
          <w:p w14:paraId="1C59B58F" w14:textId="77777777" w:rsidR="006D0778" w:rsidRPr="006D0778" w:rsidRDefault="006D0778" w:rsidP="006D0778">
            <w:pPr>
              <w:keepLines/>
              <w:spacing w:after="160" w:line="259" w:lineRule="auto"/>
              <w:rPr>
                <w:bCs/>
                <w:sz w:val="22"/>
                <w:lang w:val="en-GB" w:eastAsia="ja-JP"/>
              </w:rPr>
            </w:pPr>
            <w:r w:rsidRPr="006D0778">
              <w:rPr>
                <w:bCs/>
                <w:sz w:val="22"/>
                <w:lang w:val="en-GB" w:eastAsia="ja-JP"/>
              </w:rPr>
              <w:t>5.521,5</w:t>
            </w:r>
          </w:p>
        </w:tc>
      </w:tr>
      <w:tr w:rsidR="006D0778" w:rsidRPr="006D0778" w14:paraId="49B248F8" w14:textId="77777777" w:rsidTr="00D2109C">
        <w:trPr>
          <w:trHeight w:val="20"/>
        </w:trPr>
        <w:tc>
          <w:tcPr>
            <w:tcW w:w="2724" w:type="pct"/>
            <w:tcBorders>
              <w:top w:val="nil"/>
              <w:left w:val="nil"/>
              <w:bottom w:val="nil"/>
              <w:right w:val="nil"/>
            </w:tcBorders>
            <w:hideMark/>
          </w:tcPr>
          <w:p w14:paraId="10EEF076" w14:textId="77777777" w:rsidR="006D0778" w:rsidRPr="006D0778" w:rsidRDefault="006D0778" w:rsidP="006D0778">
            <w:pPr>
              <w:keepLines/>
              <w:spacing w:after="160" w:line="259" w:lineRule="auto"/>
              <w:rPr>
                <w:bCs/>
                <w:sz w:val="22"/>
                <w:lang w:val="ru-RU" w:eastAsia="ja-JP"/>
              </w:rPr>
            </w:pPr>
            <w:r w:rsidRPr="006D0778">
              <w:rPr>
                <w:bCs/>
                <w:sz w:val="22"/>
                <w:lang w:val="ru-RU" w:eastAsia="ja-JP"/>
              </w:rPr>
              <w:t>Дуг централне државе, у % БДП</w:t>
            </w:r>
          </w:p>
        </w:tc>
        <w:tc>
          <w:tcPr>
            <w:tcW w:w="569" w:type="pct"/>
            <w:tcBorders>
              <w:top w:val="nil"/>
              <w:left w:val="nil"/>
              <w:bottom w:val="nil"/>
              <w:right w:val="nil"/>
            </w:tcBorders>
            <w:noWrap/>
            <w:hideMark/>
          </w:tcPr>
          <w:p w14:paraId="398B933E" w14:textId="77777777" w:rsidR="006D0778" w:rsidRPr="006D0778" w:rsidRDefault="006D0778" w:rsidP="006D0778">
            <w:pPr>
              <w:keepLines/>
              <w:spacing w:after="160" w:line="259" w:lineRule="auto"/>
              <w:rPr>
                <w:bCs/>
                <w:sz w:val="22"/>
                <w:lang w:val="en-GB" w:eastAsia="ja-JP"/>
              </w:rPr>
            </w:pPr>
            <w:r w:rsidRPr="006D0778">
              <w:rPr>
                <w:bCs/>
                <w:sz w:val="22"/>
                <w:lang w:val="en-GB" w:eastAsia="ja-JP"/>
              </w:rPr>
              <w:t>47,5%</w:t>
            </w:r>
          </w:p>
        </w:tc>
        <w:tc>
          <w:tcPr>
            <w:tcW w:w="569" w:type="pct"/>
            <w:tcBorders>
              <w:top w:val="nil"/>
              <w:left w:val="nil"/>
              <w:bottom w:val="nil"/>
              <w:right w:val="nil"/>
            </w:tcBorders>
            <w:noWrap/>
            <w:hideMark/>
          </w:tcPr>
          <w:p w14:paraId="3A9C8A17" w14:textId="77777777" w:rsidR="006D0778" w:rsidRPr="006D0778" w:rsidRDefault="006D0778" w:rsidP="006D0778">
            <w:pPr>
              <w:keepLines/>
              <w:spacing w:after="160" w:line="259" w:lineRule="auto"/>
              <w:rPr>
                <w:bCs/>
                <w:sz w:val="22"/>
                <w:lang w:val="en-GB" w:eastAsia="ja-JP"/>
              </w:rPr>
            </w:pPr>
            <w:r w:rsidRPr="006D0778">
              <w:rPr>
                <w:bCs/>
                <w:sz w:val="22"/>
                <w:lang w:val="en-GB" w:eastAsia="ja-JP"/>
              </w:rPr>
              <w:t>47,0%</w:t>
            </w:r>
          </w:p>
        </w:tc>
        <w:tc>
          <w:tcPr>
            <w:tcW w:w="569" w:type="pct"/>
            <w:tcBorders>
              <w:top w:val="nil"/>
              <w:left w:val="nil"/>
              <w:bottom w:val="nil"/>
              <w:right w:val="nil"/>
            </w:tcBorders>
            <w:noWrap/>
            <w:hideMark/>
          </w:tcPr>
          <w:p w14:paraId="226A62A8" w14:textId="77777777" w:rsidR="006D0778" w:rsidRPr="006D0778" w:rsidRDefault="006D0778" w:rsidP="006D0778">
            <w:pPr>
              <w:keepLines/>
              <w:spacing w:after="160" w:line="259" w:lineRule="auto"/>
              <w:rPr>
                <w:bCs/>
                <w:sz w:val="22"/>
                <w:lang w:val="en-GB" w:eastAsia="ja-JP"/>
              </w:rPr>
            </w:pPr>
            <w:r w:rsidRPr="006D0778">
              <w:rPr>
                <w:bCs/>
                <w:sz w:val="22"/>
                <w:lang w:val="en-GB" w:eastAsia="ja-JP"/>
              </w:rPr>
              <w:t>46,5%</w:t>
            </w:r>
          </w:p>
        </w:tc>
        <w:tc>
          <w:tcPr>
            <w:tcW w:w="569" w:type="pct"/>
            <w:tcBorders>
              <w:top w:val="nil"/>
              <w:left w:val="nil"/>
              <w:bottom w:val="nil"/>
              <w:right w:val="nil"/>
            </w:tcBorders>
            <w:noWrap/>
            <w:hideMark/>
          </w:tcPr>
          <w:p w14:paraId="665799C0" w14:textId="77777777" w:rsidR="006D0778" w:rsidRPr="006D0778" w:rsidRDefault="006D0778" w:rsidP="006D0778">
            <w:pPr>
              <w:keepLines/>
              <w:spacing w:after="160" w:line="259" w:lineRule="auto"/>
              <w:rPr>
                <w:bCs/>
                <w:sz w:val="22"/>
                <w:lang w:val="en-GB" w:eastAsia="ja-JP"/>
              </w:rPr>
            </w:pPr>
            <w:r w:rsidRPr="006D0778">
              <w:rPr>
                <w:bCs/>
                <w:sz w:val="22"/>
                <w:lang w:val="en-GB" w:eastAsia="ja-JP"/>
              </w:rPr>
              <w:t>46,0%</w:t>
            </w:r>
          </w:p>
        </w:tc>
      </w:tr>
      <w:tr w:rsidR="006D0778" w:rsidRPr="006D0778" w14:paraId="1576E4E1" w14:textId="77777777" w:rsidTr="00D2109C">
        <w:trPr>
          <w:trHeight w:val="20"/>
        </w:trPr>
        <w:tc>
          <w:tcPr>
            <w:tcW w:w="2724" w:type="pct"/>
            <w:tcBorders>
              <w:top w:val="nil"/>
              <w:bottom w:val="nil"/>
            </w:tcBorders>
            <w:shd w:val="clear" w:color="auto" w:fill="auto"/>
            <w:hideMark/>
          </w:tcPr>
          <w:p w14:paraId="57A63359" w14:textId="77777777" w:rsidR="006D0778" w:rsidRPr="006D0778" w:rsidRDefault="006D0778" w:rsidP="006D0778">
            <w:pPr>
              <w:keepLines/>
              <w:spacing w:after="160" w:line="259" w:lineRule="auto"/>
              <w:rPr>
                <w:bCs/>
                <w:sz w:val="22"/>
                <w:lang w:val="ru-RU" w:eastAsia="ja-JP"/>
              </w:rPr>
            </w:pPr>
            <w:r w:rsidRPr="006D0778">
              <w:rPr>
                <w:bCs/>
                <w:sz w:val="22"/>
                <w:lang w:val="ru-RU" w:eastAsia="ja-JP"/>
              </w:rPr>
              <w:t>Негарантовани дуг јединица локалне самоуправе*, у % БДП</w:t>
            </w:r>
          </w:p>
        </w:tc>
        <w:tc>
          <w:tcPr>
            <w:tcW w:w="569" w:type="pct"/>
            <w:tcBorders>
              <w:top w:val="nil"/>
              <w:bottom w:val="nil"/>
            </w:tcBorders>
            <w:shd w:val="clear" w:color="auto" w:fill="auto"/>
            <w:noWrap/>
            <w:hideMark/>
          </w:tcPr>
          <w:p w14:paraId="1E0CD4B2" w14:textId="77777777" w:rsidR="006D0778" w:rsidRPr="006D0778" w:rsidRDefault="006D0778" w:rsidP="006D0778">
            <w:pPr>
              <w:keepLines/>
              <w:spacing w:after="160" w:line="259" w:lineRule="auto"/>
              <w:rPr>
                <w:bCs/>
                <w:sz w:val="22"/>
                <w:lang w:val="en-GB" w:eastAsia="ja-JP"/>
              </w:rPr>
            </w:pPr>
            <w:r w:rsidRPr="006D0778">
              <w:rPr>
                <w:bCs/>
                <w:sz w:val="22"/>
                <w:lang w:val="en-GB" w:eastAsia="ja-JP"/>
              </w:rPr>
              <w:t>0,4%</w:t>
            </w:r>
          </w:p>
        </w:tc>
        <w:tc>
          <w:tcPr>
            <w:tcW w:w="569" w:type="pct"/>
            <w:tcBorders>
              <w:top w:val="nil"/>
              <w:bottom w:val="nil"/>
            </w:tcBorders>
            <w:shd w:val="clear" w:color="auto" w:fill="auto"/>
            <w:noWrap/>
            <w:hideMark/>
          </w:tcPr>
          <w:p w14:paraId="6D4871B3" w14:textId="77777777" w:rsidR="006D0778" w:rsidRPr="006D0778" w:rsidRDefault="006D0778" w:rsidP="006D0778">
            <w:pPr>
              <w:keepLines/>
              <w:spacing w:after="160" w:line="259" w:lineRule="auto"/>
              <w:rPr>
                <w:bCs/>
                <w:sz w:val="22"/>
                <w:lang w:val="en-GB" w:eastAsia="ja-JP"/>
              </w:rPr>
            </w:pPr>
            <w:r w:rsidRPr="006D0778">
              <w:rPr>
                <w:bCs/>
                <w:sz w:val="22"/>
                <w:lang w:val="en-GB" w:eastAsia="ja-JP"/>
              </w:rPr>
              <w:t>0,5%</w:t>
            </w:r>
          </w:p>
        </w:tc>
        <w:tc>
          <w:tcPr>
            <w:tcW w:w="569" w:type="pct"/>
            <w:tcBorders>
              <w:top w:val="nil"/>
              <w:bottom w:val="nil"/>
            </w:tcBorders>
            <w:shd w:val="clear" w:color="auto" w:fill="auto"/>
            <w:noWrap/>
            <w:hideMark/>
          </w:tcPr>
          <w:p w14:paraId="0F3ED358" w14:textId="77777777" w:rsidR="006D0778" w:rsidRPr="006D0778" w:rsidRDefault="006D0778" w:rsidP="006D0778">
            <w:pPr>
              <w:keepLines/>
              <w:spacing w:after="160" w:line="259" w:lineRule="auto"/>
              <w:rPr>
                <w:bCs/>
                <w:sz w:val="22"/>
                <w:lang w:val="en-GB" w:eastAsia="ja-JP"/>
              </w:rPr>
            </w:pPr>
            <w:r w:rsidRPr="006D0778">
              <w:rPr>
                <w:bCs/>
                <w:sz w:val="22"/>
                <w:lang w:val="en-GB" w:eastAsia="ja-JP"/>
              </w:rPr>
              <w:t>0,5%</w:t>
            </w:r>
          </w:p>
        </w:tc>
        <w:tc>
          <w:tcPr>
            <w:tcW w:w="569" w:type="pct"/>
            <w:tcBorders>
              <w:top w:val="nil"/>
              <w:bottom w:val="nil"/>
            </w:tcBorders>
            <w:shd w:val="clear" w:color="auto" w:fill="auto"/>
            <w:noWrap/>
            <w:hideMark/>
          </w:tcPr>
          <w:p w14:paraId="783E9F6C" w14:textId="77777777" w:rsidR="006D0778" w:rsidRPr="006D0778" w:rsidRDefault="006D0778" w:rsidP="006D0778">
            <w:pPr>
              <w:keepLines/>
              <w:spacing w:after="160" w:line="259" w:lineRule="auto"/>
              <w:rPr>
                <w:bCs/>
                <w:sz w:val="22"/>
                <w:lang w:val="en-GB" w:eastAsia="ja-JP"/>
              </w:rPr>
            </w:pPr>
            <w:r w:rsidRPr="006D0778">
              <w:rPr>
                <w:bCs/>
                <w:sz w:val="22"/>
                <w:lang w:val="en-GB" w:eastAsia="ja-JP"/>
              </w:rPr>
              <w:t>0,5%</w:t>
            </w:r>
          </w:p>
        </w:tc>
      </w:tr>
      <w:tr w:rsidR="006D0778" w:rsidRPr="006D0778" w14:paraId="28BC5F0A" w14:textId="77777777" w:rsidTr="00D2109C">
        <w:trPr>
          <w:trHeight w:val="20"/>
        </w:trPr>
        <w:tc>
          <w:tcPr>
            <w:tcW w:w="2724" w:type="pct"/>
            <w:tcBorders>
              <w:top w:val="nil"/>
              <w:left w:val="nil"/>
              <w:bottom w:val="single" w:sz="4" w:space="0" w:color="002060"/>
              <w:right w:val="nil"/>
            </w:tcBorders>
            <w:hideMark/>
          </w:tcPr>
          <w:p w14:paraId="0D373BEC" w14:textId="77777777" w:rsidR="006D0778" w:rsidRPr="006D0778" w:rsidRDefault="006D0778" w:rsidP="006D0778">
            <w:pPr>
              <w:keepLines/>
              <w:spacing w:after="160" w:line="259" w:lineRule="auto"/>
              <w:rPr>
                <w:bCs/>
                <w:sz w:val="22"/>
                <w:lang w:val="ru-RU" w:eastAsia="ja-JP"/>
              </w:rPr>
            </w:pPr>
            <w:r w:rsidRPr="006D0778">
              <w:rPr>
                <w:bCs/>
                <w:sz w:val="22"/>
                <w:lang w:val="ru-RU" w:eastAsia="ja-JP"/>
              </w:rPr>
              <w:t>Дуг сектора државе, у % БДП</w:t>
            </w:r>
          </w:p>
        </w:tc>
        <w:tc>
          <w:tcPr>
            <w:tcW w:w="569" w:type="pct"/>
            <w:tcBorders>
              <w:top w:val="nil"/>
              <w:left w:val="nil"/>
              <w:bottom w:val="single" w:sz="4" w:space="0" w:color="002060"/>
              <w:right w:val="nil"/>
            </w:tcBorders>
            <w:noWrap/>
            <w:hideMark/>
          </w:tcPr>
          <w:p w14:paraId="1B027858" w14:textId="77777777" w:rsidR="006D0778" w:rsidRPr="006D0778" w:rsidRDefault="006D0778" w:rsidP="006D0778">
            <w:pPr>
              <w:keepLines/>
              <w:spacing w:after="160" w:line="259" w:lineRule="auto"/>
              <w:rPr>
                <w:bCs/>
                <w:sz w:val="22"/>
                <w:lang w:val="en-GB" w:eastAsia="ja-JP"/>
              </w:rPr>
            </w:pPr>
            <w:r w:rsidRPr="006D0778">
              <w:rPr>
                <w:bCs/>
                <w:sz w:val="22"/>
                <w:lang w:val="en-GB" w:eastAsia="ja-JP"/>
              </w:rPr>
              <w:t>47,9%</w:t>
            </w:r>
          </w:p>
        </w:tc>
        <w:tc>
          <w:tcPr>
            <w:tcW w:w="569" w:type="pct"/>
            <w:tcBorders>
              <w:top w:val="nil"/>
              <w:left w:val="nil"/>
              <w:bottom w:val="single" w:sz="4" w:space="0" w:color="002060"/>
              <w:right w:val="nil"/>
            </w:tcBorders>
            <w:noWrap/>
            <w:hideMark/>
          </w:tcPr>
          <w:p w14:paraId="48CF96DE" w14:textId="77777777" w:rsidR="006D0778" w:rsidRPr="006D0778" w:rsidRDefault="006D0778" w:rsidP="006D0778">
            <w:pPr>
              <w:keepLines/>
              <w:spacing w:after="160" w:line="259" w:lineRule="auto"/>
              <w:rPr>
                <w:bCs/>
                <w:sz w:val="22"/>
                <w:lang w:val="en-GB" w:eastAsia="ja-JP"/>
              </w:rPr>
            </w:pPr>
            <w:r w:rsidRPr="006D0778">
              <w:rPr>
                <w:bCs/>
                <w:sz w:val="22"/>
                <w:lang w:val="en-GB" w:eastAsia="ja-JP"/>
              </w:rPr>
              <w:t>47,5%</w:t>
            </w:r>
          </w:p>
        </w:tc>
        <w:tc>
          <w:tcPr>
            <w:tcW w:w="569" w:type="pct"/>
            <w:tcBorders>
              <w:top w:val="nil"/>
              <w:left w:val="nil"/>
              <w:bottom w:val="single" w:sz="4" w:space="0" w:color="002060"/>
              <w:right w:val="nil"/>
            </w:tcBorders>
            <w:noWrap/>
            <w:hideMark/>
          </w:tcPr>
          <w:p w14:paraId="5EDBA6C0" w14:textId="77777777" w:rsidR="006D0778" w:rsidRPr="006D0778" w:rsidRDefault="006D0778" w:rsidP="006D0778">
            <w:pPr>
              <w:keepLines/>
              <w:spacing w:after="160" w:line="259" w:lineRule="auto"/>
              <w:rPr>
                <w:bCs/>
                <w:sz w:val="22"/>
                <w:lang w:val="en-GB" w:eastAsia="ja-JP"/>
              </w:rPr>
            </w:pPr>
            <w:r w:rsidRPr="006D0778">
              <w:rPr>
                <w:bCs/>
                <w:sz w:val="22"/>
                <w:lang w:val="en-GB" w:eastAsia="ja-JP"/>
              </w:rPr>
              <w:t>47,0%</w:t>
            </w:r>
          </w:p>
        </w:tc>
        <w:tc>
          <w:tcPr>
            <w:tcW w:w="569" w:type="pct"/>
            <w:tcBorders>
              <w:top w:val="nil"/>
              <w:left w:val="nil"/>
              <w:bottom w:val="single" w:sz="4" w:space="0" w:color="002060"/>
              <w:right w:val="nil"/>
            </w:tcBorders>
            <w:noWrap/>
            <w:hideMark/>
          </w:tcPr>
          <w:p w14:paraId="2B99075E" w14:textId="77777777" w:rsidR="006D0778" w:rsidRPr="006D0778" w:rsidRDefault="006D0778" w:rsidP="006D0778">
            <w:pPr>
              <w:keepLines/>
              <w:spacing w:after="160" w:line="259" w:lineRule="auto"/>
              <w:rPr>
                <w:bCs/>
                <w:sz w:val="22"/>
                <w:lang w:val="en-GB" w:eastAsia="ja-JP"/>
              </w:rPr>
            </w:pPr>
            <w:r w:rsidRPr="006D0778">
              <w:rPr>
                <w:bCs/>
                <w:sz w:val="22"/>
                <w:lang w:val="en-GB" w:eastAsia="ja-JP"/>
              </w:rPr>
              <w:t>46,5%</w:t>
            </w:r>
          </w:p>
        </w:tc>
      </w:tr>
    </w:tbl>
    <w:p w14:paraId="5D96DDD2" w14:textId="77777777" w:rsidR="006D0778" w:rsidRPr="006D0778" w:rsidRDefault="006D0778" w:rsidP="006D0778">
      <w:pPr>
        <w:keepLines/>
        <w:spacing w:after="160" w:line="259" w:lineRule="auto"/>
        <w:rPr>
          <w:rFonts w:cs="Times New Roman"/>
          <w:bCs/>
          <w:sz w:val="18"/>
          <w:szCs w:val="18"/>
          <w:lang w:eastAsia="ja-JP"/>
        </w:rPr>
      </w:pPr>
      <w:r w:rsidRPr="006D0778">
        <w:rPr>
          <w:rFonts w:cs="Times New Roman"/>
          <w:bCs/>
          <w:sz w:val="18"/>
          <w:szCs w:val="18"/>
          <w:lang w:eastAsia="ja-JP"/>
        </w:rPr>
        <w:t>*</w:t>
      </w:r>
      <w:r w:rsidRPr="006D0778">
        <w:rPr>
          <w:rFonts w:cs="Times New Roman"/>
          <w:sz w:val="18"/>
          <w:szCs w:val="18"/>
          <w:lang w:eastAsia="ja-JP"/>
        </w:rPr>
        <w:t xml:space="preserve"> </w:t>
      </w:r>
      <w:r w:rsidRPr="006D0778">
        <w:rPr>
          <w:rFonts w:cs="Times New Roman"/>
          <w:bCs/>
          <w:sz w:val="18"/>
          <w:szCs w:val="18"/>
          <w:lang w:eastAsia="ja-JP"/>
        </w:rPr>
        <w:t>и осталог сектора државе</w:t>
      </w:r>
    </w:p>
    <w:p w14:paraId="7FC89D4C" w14:textId="77777777" w:rsidR="006D0778" w:rsidRPr="006D0778" w:rsidRDefault="006D0778" w:rsidP="006D0778">
      <w:pPr>
        <w:spacing w:after="160" w:line="259" w:lineRule="auto"/>
        <w:rPr>
          <w:rFonts w:cs="Times New Roman"/>
          <w:sz w:val="18"/>
          <w:szCs w:val="18"/>
          <w:lang w:val="sr-Cyrl-RS" w:eastAsia="ja-JP"/>
        </w:rPr>
      </w:pPr>
      <w:r w:rsidRPr="006D0778">
        <w:rPr>
          <w:rFonts w:cs="Times New Roman"/>
          <w:sz w:val="18"/>
          <w:szCs w:val="18"/>
          <w:lang w:val="sr-Cyrl-RS" w:eastAsia="ja-JP"/>
        </w:rPr>
        <w:t>Извор: Министарство финансија</w:t>
      </w:r>
    </w:p>
    <w:p w14:paraId="4E476EE9" w14:textId="77777777" w:rsidR="006D0778" w:rsidRPr="006D0778" w:rsidRDefault="006D0778" w:rsidP="002B1F9D">
      <w:pPr>
        <w:rPr>
          <w:rFonts w:cs="Times New Roman"/>
          <w:szCs w:val="24"/>
          <w:lang w:val="sr-Cyrl-RS" w:eastAsia="ja-JP"/>
        </w:rPr>
      </w:pPr>
      <w:r w:rsidRPr="006D0778">
        <w:rPr>
          <w:rFonts w:cs="Times New Roman"/>
          <w:szCs w:val="24"/>
          <w:lang w:val="sr-Cyrl-RS" w:eastAsia="ja-JP"/>
        </w:rPr>
        <w:t xml:space="preserve">Предвиђа се да ће негарантовани дуг локалног нивоа власти бити на нивоу од око </w:t>
      </w:r>
      <w:r w:rsidRPr="006D0778">
        <w:rPr>
          <w:rFonts w:cs="Times New Roman"/>
          <w:szCs w:val="24"/>
          <w:lang w:val="sr-Latn-RS" w:eastAsia="ja-JP"/>
        </w:rPr>
        <w:t>0,5</w:t>
      </w:r>
      <w:r w:rsidRPr="006D0778">
        <w:rPr>
          <w:rFonts w:cs="Times New Roman"/>
          <w:szCs w:val="24"/>
          <w:lang w:val="sr-Cyrl-RS" w:eastAsia="ja-JP"/>
        </w:rPr>
        <w:t xml:space="preserve">% БДП до краја </w:t>
      </w:r>
      <w:r w:rsidRPr="006D0778">
        <w:rPr>
          <w:rFonts w:cs="Times New Roman"/>
          <w:szCs w:val="24"/>
          <w:lang w:val="sr-Latn-RS" w:eastAsia="ja-JP"/>
        </w:rPr>
        <w:t>2027.</w:t>
      </w:r>
      <w:r w:rsidRPr="006D0778">
        <w:rPr>
          <w:rFonts w:cs="Times New Roman"/>
          <w:szCs w:val="24"/>
          <w:lang w:val="sr-Cyrl-RS" w:eastAsia="ja-JP"/>
        </w:rPr>
        <w:t xml:space="preserve"> На крају 202</w:t>
      </w:r>
      <w:r w:rsidRPr="006D0778">
        <w:rPr>
          <w:rFonts w:cs="Times New Roman"/>
          <w:szCs w:val="24"/>
          <w:lang w:val="sr-Latn-RS" w:eastAsia="ja-JP"/>
        </w:rPr>
        <w:t>7</w:t>
      </w:r>
      <w:r w:rsidRPr="006D0778">
        <w:rPr>
          <w:rFonts w:cs="Times New Roman"/>
          <w:szCs w:val="24"/>
          <w:lang w:val="sr-Cyrl-RS" w:eastAsia="ja-JP"/>
        </w:rPr>
        <w:t>. године стање дуга сектора државе требало би да буде на нивоу од 46,5% БДП.</w:t>
      </w:r>
    </w:p>
    <w:p w14:paraId="2576B5B1" w14:textId="77777777" w:rsidR="006D0778" w:rsidRPr="006D0778" w:rsidRDefault="006D0778" w:rsidP="002B1F9D">
      <w:pPr>
        <w:rPr>
          <w:rFonts w:cs="Times New Roman"/>
          <w:szCs w:val="24"/>
          <w:lang w:val="sr-Cyrl-RS" w:eastAsia="ja-JP"/>
        </w:rPr>
      </w:pPr>
      <w:r w:rsidRPr="006D0778">
        <w:rPr>
          <w:rFonts w:cs="Times New Roman"/>
          <w:szCs w:val="24"/>
          <w:lang w:val="sr-Cyrl-RS" w:eastAsia="ja-JP"/>
        </w:rPr>
        <w:t>Финансијски и фискални ризици могу довести до раста јавног дуга већег од предвиђеног основним сценаријем. Ризици који су присутни и који могу да доведу до раста задужености и трошкова сервисирања јавног дуга су: ризик рефинансирања, девизни ризик, тржишни ризик (ризик каматних стопа, ризик инфлације), ризик ликвидности, кредитни и оперативни ризици и ризици везани за дистрибуцију трошкова сервисирања (структура дуга, концентрација обавеза).</w:t>
      </w:r>
    </w:p>
    <w:p w14:paraId="562500FF" w14:textId="77777777" w:rsidR="006D0778" w:rsidRPr="006D0778" w:rsidRDefault="006D0778" w:rsidP="002B1F9D">
      <w:pPr>
        <w:rPr>
          <w:rFonts w:cs="Times New Roman"/>
          <w:szCs w:val="24"/>
          <w:lang w:val="sr-Cyrl-RS" w:eastAsia="ja-JP"/>
        </w:rPr>
      </w:pPr>
      <w:r w:rsidRPr="006D0778">
        <w:rPr>
          <w:rFonts w:cs="Times New Roman"/>
          <w:szCs w:val="24"/>
          <w:lang w:val="sr-Cyrl-RS" w:eastAsia="ja-JP"/>
        </w:rPr>
        <w:t>Због високог учешћа јавног дуга деноминованог у страној валути (7</w:t>
      </w:r>
      <w:r w:rsidRPr="006D0778">
        <w:rPr>
          <w:rFonts w:cs="Times New Roman"/>
          <w:szCs w:val="24"/>
          <w:lang w:val="sr-Latn-RS" w:eastAsia="ja-JP"/>
        </w:rPr>
        <w:t>8</w:t>
      </w:r>
      <w:r w:rsidRPr="006D0778">
        <w:rPr>
          <w:rFonts w:cs="Times New Roman"/>
          <w:szCs w:val="24"/>
          <w:lang w:val="sr-Cyrl-RS" w:eastAsia="ja-JP"/>
        </w:rPr>
        <w:t>,</w:t>
      </w:r>
      <w:r w:rsidRPr="006D0778">
        <w:rPr>
          <w:rFonts w:cs="Times New Roman"/>
          <w:szCs w:val="24"/>
          <w:lang w:val="sr-Latn-RS" w:eastAsia="ja-JP"/>
        </w:rPr>
        <w:t>1</w:t>
      </w:r>
      <w:r w:rsidRPr="006D0778">
        <w:rPr>
          <w:rFonts w:cs="Times New Roman"/>
          <w:szCs w:val="24"/>
          <w:lang w:val="sr-Cyrl-RS" w:eastAsia="ja-JP"/>
        </w:rPr>
        <w:t>%), евидентно је да ће девизни ризик детерминисати понашање рација јавни дуг/БДП у наредном периоду и битно условљавати успех мера фискалне политике на консолидацији јавних финансија и смањењу учешћа јавног дуга у БДП-у.</w:t>
      </w:r>
    </w:p>
    <w:p w14:paraId="64A40B3B" w14:textId="77777777" w:rsidR="006D0778" w:rsidRPr="006D0778" w:rsidRDefault="006D0778" w:rsidP="002C5470">
      <w:pPr>
        <w:keepNext/>
        <w:keepLines/>
        <w:spacing w:after="160" w:line="259" w:lineRule="auto"/>
        <w:rPr>
          <w:rFonts w:cs="Times New Roman"/>
          <w:bCs/>
          <w:szCs w:val="24"/>
          <w:lang w:val="sr-Cyrl-RS" w:eastAsia="ja-JP"/>
        </w:rPr>
      </w:pPr>
      <w:r w:rsidRPr="006D0778">
        <w:rPr>
          <w:rFonts w:cs="Times New Roman"/>
          <w:bCs/>
          <w:szCs w:val="24"/>
          <w:lang w:val="sr-Cyrl-RS" w:eastAsia="ja-JP"/>
        </w:rPr>
        <w:lastRenderedPageBreak/>
        <w:t>Графикон 14. Утицај промена курса динара према корпи валута из портфолија јавног дуга на промену рацио јавног дуга и БДП – Централни ниво власти</w:t>
      </w:r>
    </w:p>
    <w:p w14:paraId="044FB30D" w14:textId="77777777" w:rsidR="006D0778" w:rsidRPr="006D0778" w:rsidRDefault="006D0778" w:rsidP="002C5470">
      <w:pPr>
        <w:keepLines/>
        <w:widowControl w:val="0"/>
        <w:spacing w:after="160" w:line="259" w:lineRule="auto"/>
        <w:rPr>
          <w:rFonts w:cs="Times New Roman"/>
          <w:bCs/>
          <w:szCs w:val="24"/>
          <w:lang w:val="sr-Cyrl-RS" w:eastAsia="ja-JP"/>
        </w:rPr>
      </w:pPr>
      <w:r w:rsidRPr="006D0778">
        <w:rPr>
          <w:rFonts w:cs="Times New Roman"/>
          <w:noProof/>
          <w:szCs w:val="24"/>
        </w:rPr>
        <w:drawing>
          <wp:inline distT="0" distB="0" distL="0" distR="0" wp14:anchorId="481E5541" wp14:editId="4EB97A2D">
            <wp:extent cx="5391150" cy="1943100"/>
            <wp:effectExtent l="0" t="0" r="0" b="0"/>
            <wp:docPr id="23" name="Chart 23"/>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14:paraId="00949A52" w14:textId="77777777" w:rsidR="006D0778" w:rsidRPr="006D0778" w:rsidRDefault="006D0778" w:rsidP="002C5470">
      <w:pPr>
        <w:keepLines/>
        <w:spacing w:after="160" w:line="259" w:lineRule="auto"/>
        <w:rPr>
          <w:rFonts w:cs="Times New Roman"/>
          <w:bCs/>
          <w:szCs w:val="24"/>
          <w:lang w:val="sr-Cyrl-RS" w:eastAsia="ja-JP"/>
        </w:rPr>
      </w:pPr>
      <w:r w:rsidRPr="006D0778">
        <w:rPr>
          <w:rFonts w:cs="Times New Roman"/>
          <w:bCs/>
          <w:szCs w:val="24"/>
          <w:lang w:val="sr-Cyrl-RS" w:eastAsia="ja-JP"/>
        </w:rPr>
        <w:t>Извор: Министарство финансија</w:t>
      </w:r>
    </w:p>
    <w:p w14:paraId="5FF0EFCA" w14:textId="77777777" w:rsidR="006D0778" w:rsidRPr="006D0778" w:rsidRDefault="006D0778" w:rsidP="002B1F9D">
      <w:pPr>
        <w:rPr>
          <w:rFonts w:cs="Times New Roman"/>
          <w:szCs w:val="24"/>
          <w:lang w:val="sr-Cyrl-RS" w:eastAsia="ja-JP"/>
        </w:rPr>
      </w:pPr>
      <w:r w:rsidRPr="006D0778">
        <w:rPr>
          <w:rFonts w:cs="Times New Roman"/>
          <w:szCs w:val="24"/>
          <w:lang w:val="sr-Cyrl-RS" w:eastAsia="ja-JP"/>
        </w:rPr>
        <w:t>На графикону је представљено кретање рација јавног дуга централног нивоа државе и БДП у зависности од промене курса динара према одређеној корпи валута. Приказана је основна пројекција са алтернативним сценаријима у зависности од апрецијације, односно депрецијације курса динара у распону од 10% апрецијације до 10% депрецијације динара у односу на корпу валута. Применом наведених сценарија може се видети да би се рацио за 2027. годину кретао у распону од 42,4% до 49,7%, док би за основни сценарио био на нивоу од 46,0%.</w:t>
      </w:r>
    </w:p>
    <w:p w14:paraId="392BF479" w14:textId="77777777" w:rsidR="006D0778" w:rsidRPr="006D0778" w:rsidRDefault="006D0778" w:rsidP="002B1F9D">
      <w:pPr>
        <w:rPr>
          <w:rFonts w:cs="Times New Roman"/>
          <w:szCs w:val="24"/>
          <w:lang w:val="sr-Cyrl-RS" w:eastAsia="ja-JP"/>
        </w:rPr>
      </w:pPr>
      <w:r w:rsidRPr="006D0778">
        <w:rPr>
          <w:rFonts w:cs="Times New Roman"/>
          <w:szCs w:val="24"/>
          <w:lang w:val="sr-Cyrl-RS" w:eastAsia="ja-JP"/>
        </w:rPr>
        <w:t>Стратегија управљања јавним дугом у наредном средњорочном периоду полази од претпоставке да ће финансирање бити обезбеђено задуживањем и на домаћем и на међународном финансијском тржишту. Флексибилност у домену избора тржишта на коме ће се вршити задуживање, валуте задуживања и инструмента финансирања један је од неопходних услова како би финансирање издатака буџета Републике Србије било обезбеђено. Одлука о годишњем задуживању се доноси у оквиру закона о буџету за одређену фискалну годину. У зависности од промене основних фискалних агрегата могућа је корекција плана задуживања током фискалне године.</w:t>
      </w:r>
    </w:p>
    <w:p w14:paraId="664E8DF6" w14:textId="77777777" w:rsidR="006D0778" w:rsidRPr="006D0778" w:rsidRDefault="006D0778" w:rsidP="002B1F9D">
      <w:pPr>
        <w:rPr>
          <w:rFonts w:cs="Times New Roman"/>
          <w:szCs w:val="24"/>
          <w:lang w:val="sr-Cyrl-RS" w:eastAsia="ja-JP"/>
        </w:rPr>
      </w:pPr>
      <w:r w:rsidRPr="006D0778">
        <w:rPr>
          <w:rFonts w:cs="Times New Roman"/>
          <w:szCs w:val="24"/>
          <w:lang w:val="sr-Cyrl-RS" w:eastAsia="ja-JP"/>
        </w:rPr>
        <w:t>У циљу оптимизације портфолија и ефикаснијег управљања јавним дугом, урађена је анализа трошкова и ризика алтернативних стратегија задуживања, применом модела Светске банке (Medium Term Debt Strategy Model – MTDS), у условима основног сценариjа, али и у условима шокова који могу довести до промене основног сценариjа: девизни курс, промена каматних стопа на међународном и домаћем тржишту, комбиновани шок.</w:t>
      </w:r>
    </w:p>
    <w:p w14:paraId="6EA9058F" w14:textId="77777777" w:rsidR="006D0778" w:rsidRPr="006D0778" w:rsidRDefault="006D0778" w:rsidP="002B1F9D">
      <w:pPr>
        <w:rPr>
          <w:rFonts w:cs="Times New Roman"/>
          <w:szCs w:val="24"/>
          <w:lang w:val="sr-Cyrl-RS" w:eastAsia="ja-JP"/>
        </w:rPr>
      </w:pPr>
      <w:r w:rsidRPr="006D0778">
        <w:rPr>
          <w:rFonts w:cs="Times New Roman"/>
          <w:szCs w:val="24"/>
          <w:lang w:val="sr-Cyrl-RS" w:eastAsia="ja-JP"/>
        </w:rPr>
        <w:t>У циљу смањивања изложености варијабилним каматним стопама, уговарање нових обавеза се врши по фиксним каматним стопама, тамо где је то могуће, а поготову у домену зајмова намењених за финансирање инвестиционих пројеката.</w:t>
      </w:r>
    </w:p>
    <w:p w14:paraId="65472E11" w14:textId="751CCC6A" w:rsidR="006D0778" w:rsidRPr="006D0778" w:rsidRDefault="006D0778" w:rsidP="002B1F9D">
      <w:pPr>
        <w:rPr>
          <w:rFonts w:cs="Times New Roman"/>
          <w:szCs w:val="24"/>
          <w:lang w:val="sr-Cyrl-RS" w:eastAsia="ja-JP"/>
        </w:rPr>
      </w:pPr>
      <w:bookmarkStart w:id="14" w:name="_Toc530635112"/>
      <w:bookmarkEnd w:id="14"/>
      <w:r w:rsidRPr="006D0778">
        <w:rPr>
          <w:rFonts w:cs="Times New Roman"/>
          <w:szCs w:val="24"/>
          <w:lang w:val="sr-Cyrl-RS" w:eastAsia="ja-JP"/>
        </w:rPr>
        <w:t xml:space="preserve">Рејтинг агенција Standard and Poor’s је 4. </w:t>
      </w:r>
      <w:r w:rsidR="00DB1F40">
        <w:rPr>
          <w:rFonts w:cs="Times New Roman"/>
          <w:szCs w:val="24"/>
          <w:lang w:val="sr-Cyrl-RS" w:eastAsia="ja-JP"/>
        </w:rPr>
        <w:t>октобра 2024. године повећала</w:t>
      </w:r>
      <w:r w:rsidRPr="006D0778">
        <w:rPr>
          <w:rFonts w:cs="Times New Roman"/>
          <w:szCs w:val="24"/>
          <w:lang w:val="sr-Cyrl-RS" w:eastAsia="ja-JP"/>
        </w:rPr>
        <w:t xml:space="preserve"> кредитни рејтинг Републике Србије на инвестициони, на нивоу БББ- са стабилним изгледима за његово даље побољшање. И код остале две агенције се ускоро очекује добијање инвестиционог рејтинга, на шта указују и њихови последњи извештаји.</w:t>
      </w:r>
    </w:p>
    <w:p w14:paraId="76BF2A66" w14:textId="77777777" w:rsidR="006D0778" w:rsidRPr="006D0778" w:rsidRDefault="006D0778" w:rsidP="002B1F9D">
      <w:pPr>
        <w:rPr>
          <w:rFonts w:cs="Times New Roman"/>
          <w:szCs w:val="24"/>
          <w:lang w:val="sr-Cyrl-RS" w:eastAsia="ja-JP"/>
        </w:rPr>
      </w:pPr>
      <w:r w:rsidRPr="006D0778">
        <w:rPr>
          <w:rFonts w:cs="Times New Roman"/>
          <w:szCs w:val="24"/>
          <w:lang w:val="sr-Cyrl-RS" w:eastAsia="ja-JP"/>
        </w:rPr>
        <w:t>Добијање инвестиционог рејтинга ће значајно утицати на даље смањивање трошкова финансирања Републике Србије. Очекује се проширивање базе инвеститора</w:t>
      </w:r>
      <w:r w:rsidRPr="006D0778">
        <w:rPr>
          <w:rFonts w:cs="Times New Roman"/>
          <w:szCs w:val="24"/>
          <w:lang w:val="sr-Latn-RS" w:eastAsia="ja-JP"/>
        </w:rPr>
        <w:t xml:space="preserve">, </w:t>
      </w:r>
      <w:r w:rsidRPr="006D0778">
        <w:rPr>
          <w:rFonts w:cs="Times New Roman"/>
          <w:szCs w:val="24"/>
          <w:lang w:val="sr-Cyrl-RS" w:eastAsia="ja-JP"/>
        </w:rPr>
        <w:t xml:space="preserve">што ће довести до нижих трошкова задуживања и на домаћем и на међународном тржишту, услед мање ризичности које носе инструменти које ће издавати Република Србија. Нижи </w:t>
      </w:r>
      <w:r w:rsidRPr="006D0778">
        <w:rPr>
          <w:rFonts w:cs="Times New Roman"/>
          <w:szCs w:val="24"/>
          <w:lang w:val="sr-Cyrl-RS" w:eastAsia="ja-JP"/>
        </w:rPr>
        <w:lastRenderedPageBreak/>
        <w:t xml:space="preserve">трошкови задуживања ће довести до уштеда у буџету, уз истовремено смањивање ризичности портофолија јавног дуга. </w:t>
      </w:r>
    </w:p>
    <w:p w14:paraId="1ECA7E4C" w14:textId="77777777" w:rsidR="006D0778" w:rsidRPr="006D0778" w:rsidRDefault="006D0778" w:rsidP="002B1F9D">
      <w:pPr>
        <w:rPr>
          <w:rFonts w:cs="Times New Roman"/>
          <w:szCs w:val="24"/>
          <w:lang w:val="sr-Cyrl-RS" w:eastAsia="ja-JP"/>
        </w:rPr>
      </w:pPr>
      <w:r w:rsidRPr="006D0778">
        <w:rPr>
          <w:rFonts w:cs="Times New Roman"/>
          <w:szCs w:val="24"/>
          <w:lang w:val="sr-Cyrl-RS" w:eastAsia="ja-JP"/>
        </w:rPr>
        <w:t>Увођењем „бенчмарк” емисија обвезница остварен је позитиван ефекат на обим и континуитет секундарног трговања, као и на унапређење тржишне ефикасности у поступку продаје државних хартија на примарном тржишту.</w:t>
      </w:r>
    </w:p>
    <w:p w14:paraId="595BEB2C" w14:textId="5C2AF75F" w:rsidR="006D0778" w:rsidRPr="006D0778" w:rsidRDefault="006D0778" w:rsidP="002B1F9D">
      <w:pPr>
        <w:rPr>
          <w:rFonts w:cs="Times New Roman"/>
          <w:szCs w:val="24"/>
          <w:lang w:val="sr-Cyrl-RS" w:eastAsia="ja-JP"/>
        </w:rPr>
      </w:pPr>
      <w:r w:rsidRPr="006D0778">
        <w:rPr>
          <w:rFonts w:cs="Times New Roman"/>
          <w:bCs/>
          <w:szCs w:val="24"/>
          <w:lang w:val="sr-Cyrl-RS" w:eastAsia="ja-JP"/>
        </w:rPr>
        <w:t>У</w:t>
      </w:r>
      <w:r w:rsidR="005B0363">
        <w:rPr>
          <w:rFonts w:cs="Times New Roman"/>
          <w:bCs/>
          <w:szCs w:val="24"/>
          <w:lang w:val="sr-Cyrl-RS" w:eastAsia="ja-JP"/>
        </w:rPr>
        <w:t xml:space="preserve"> наредном</w:t>
      </w:r>
      <w:r w:rsidRPr="006D0778">
        <w:rPr>
          <w:rFonts w:cs="Times New Roman"/>
          <w:bCs/>
          <w:szCs w:val="24"/>
          <w:lang w:val="sr-Cyrl-RS" w:eastAsia="ja-JP"/>
        </w:rPr>
        <w:t xml:space="preserve"> </w:t>
      </w:r>
      <w:r w:rsidRPr="006D0778">
        <w:rPr>
          <w:rFonts w:cs="Times New Roman"/>
          <w:szCs w:val="24"/>
          <w:lang w:val="sr-Cyrl-RS" w:eastAsia="ja-JP"/>
        </w:rPr>
        <w:t>периоду очекује се унапређење ефикасности примарног тржишта путем приступа Euroclear платформи, као механизма продаје државних хартија од вредности који директно, у дужем року, доприноси смањењу трошкова задуживања, као и смањењу ризика рефинансирања.</w:t>
      </w:r>
    </w:p>
    <w:p w14:paraId="3659CE5A" w14:textId="77777777" w:rsidR="006D0778" w:rsidRPr="006D0778" w:rsidRDefault="006D0778" w:rsidP="002B1F9D">
      <w:pPr>
        <w:rPr>
          <w:rFonts w:cs="Times New Roman"/>
          <w:bCs/>
          <w:spacing w:val="-2"/>
          <w:szCs w:val="24"/>
          <w:highlight w:val="yellow"/>
          <w:lang w:val="sr-Cyrl-RS"/>
        </w:rPr>
      </w:pPr>
    </w:p>
    <w:p w14:paraId="2E4E2498" w14:textId="77777777" w:rsidR="006D0778" w:rsidRPr="006D0778" w:rsidRDefault="006D0778" w:rsidP="006D0778">
      <w:pPr>
        <w:keepNext/>
        <w:keepLines/>
        <w:spacing w:before="40" w:after="160"/>
        <w:outlineLvl w:val="1"/>
        <w:rPr>
          <w:rFonts w:eastAsia="Calibri" w:cs="Times New Roman"/>
          <w:szCs w:val="24"/>
          <w:lang w:val="sr-Cyrl-RS"/>
        </w:rPr>
      </w:pPr>
      <w:r w:rsidRPr="006D0778">
        <w:rPr>
          <w:rFonts w:eastAsia="Calibri" w:cs="Times New Roman"/>
          <w:szCs w:val="24"/>
          <w:lang w:val="sr-Cyrl-RS"/>
        </w:rPr>
        <w:t>6. АНАЛИЗА ОСЕТЉИВОСТИ И ПОРЕЂЕЊЕ СА ПРЕТХОДНИМ ПРОГРАМОМ</w:t>
      </w:r>
    </w:p>
    <w:p w14:paraId="06DEA327" w14:textId="77777777" w:rsidR="006D0778" w:rsidRPr="006D0778" w:rsidRDefault="006D0778" w:rsidP="002B1F9D">
      <w:pPr>
        <w:rPr>
          <w:rFonts w:eastAsia="MS PGothic" w:cstheme="minorHAnsi"/>
          <w:szCs w:val="20"/>
          <w:lang w:val="sr-Cyrl-RS" w:eastAsia="ja-JP"/>
        </w:rPr>
      </w:pPr>
      <w:r w:rsidRPr="006D0778">
        <w:rPr>
          <w:rFonts w:eastAsia="MS PGothic" w:cstheme="minorHAnsi"/>
          <w:szCs w:val="20"/>
          <w:lang w:val="sr-Cyrl-RS" w:eastAsia="ja-JP"/>
        </w:rPr>
        <w:t>Фискални ризици представљају изложеност јавних финансија одређеним околностима које могу проузроковати одступања од пројектованог фискалног оквира. До одступања може доћи у приходима, расходима, фискалном резултату, као и у имовини и обавезама државе, у односу на оно што је планирано и очекивано. На спољашње ризике, попут природних катастрофа или глобалних финансијских криза, Влада не може да утиче, али могуће је дефинисати излазне стратегије које би ублажиле њихово дејство (очување стабилности у добрим временима како би у условима рецесије или кризе фискална политика имала простора за адекватан одговор, осигурање у случају природних катастрофа и сл.). Унутрашњи ризици, односно њихова материјализација последица су активности у јавном сектору, те се на вероватноћу њихове реализације може утицати одлукама и политикама Владе.</w:t>
      </w:r>
    </w:p>
    <w:p w14:paraId="2625D108" w14:textId="77777777" w:rsidR="006D0778" w:rsidRPr="006D0778" w:rsidRDefault="006D0778" w:rsidP="002B1F9D">
      <w:pPr>
        <w:rPr>
          <w:rFonts w:eastAsia="MS PGothic" w:cstheme="minorHAnsi"/>
          <w:szCs w:val="20"/>
          <w:lang w:val="sr-Cyrl-RS" w:eastAsia="ja-JP"/>
        </w:rPr>
      </w:pPr>
      <w:r w:rsidRPr="006D0778">
        <w:rPr>
          <w:rFonts w:eastAsia="MS PGothic" w:cstheme="minorHAnsi"/>
          <w:szCs w:val="20"/>
          <w:lang w:val="sr-Cyrl-RS" w:eastAsia="ja-JP"/>
        </w:rPr>
        <w:t>Идентификација највећих фискалних ризика који могу утицати на државне финансије у средњем року полазна је тачка у бољем управљању фискалним ризицима. О одређеним фискалним ризицима постоје детаљни подаци и лако се може идентификовати да ли ће и са коликом вероватноћом утицати на фискалне агрегате у средњем року. За друге, пак, не постоје довољно детаљни подаци, али и само њихово идентификовање подиже свест о могућности да у наредном периоду доведу до одступања од планираног фискалног оквира.</w:t>
      </w:r>
    </w:p>
    <w:p w14:paraId="13D0ECC9" w14:textId="604460F7" w:rsidR="006D0778" w:rsidRPr="006D0778" w:rsidRDefault="006D0778" w:rsidP="002B1F9D">
      <w:pPr>
        <w:rPr>
          <w:rFonts w:eastAsia="MS PGothic" w:cstheme="minorHAnsi"/>
          <w:szCs w:val="20"/>
          <w:lang w:val="sr-Cyrl-RS" w:eastAsia="ja-JP"/>
        </w:rPr>
      </w:pPr>
      <w:r w:rsidRPr="006D0778">
        <w:rPr>
          <w:rFonts w:eastAsia="MS PGothic" w:cstheme="minorHAnsi"/>
          <w:szCs w:val="20"/>
          <w:lang w:val="sr-Cyrl-RS" w:eastAsia="ja-JP"/>
        </w:rPr>
        <w:t>Министарство финансија има водећу улогу у управљању фискалним ризицима. Као кључна институција за средњорочно макроекономско и фискално планирање, формулацију и управљање буџетом, Министарство финансија мора имати и водећу улогу у успостављању институционалне и законске структуре, те изградњи капацитета неопходних за управљање фискалним ризицима. Намера је да резултат ових активности буде идентификација и процена ризика и предлагање излазних стратегија, као помоћ Влади у очувању стабилности јавних финансија, што је кључни циљ фискалне политике и један од основних предуслова за динамичнији привредни раст.</w:t>
      </w:r>
    </w:p>
    <w:p w14:paraId="51189C6E" w14:textId="77777777" w:rsidR="006D0778" w:rsidRPr="006D0778" w:rsidRDefault="006D0778" w:rsidP="006D0778">
      <w:pPr>
        <w:spacing w:after="0"/>
        <w:rPr>
          <w:rFonts w:eastAsia="MS PGothic" w:cstheme="minorHAnsi"/>
          <w:szCs w:val="20"/>
          <w:lang w:val="sr-Cyrl-RS" w:eastAsia="ja-JP"/>
        </w:rPr>
      </w:pPr>
      <w:r w:rsidRPr="006D0778">
        <w:rPr>
          <w:rFonts w:eastAsia="MS PGothic" w:cstheme="minorHAnsi"/>
          <w:szCs w:val="20"/>
          <w:lang w:val="sr-Cyrl-RS" w:eastAsia="ja-JP"/>
        </w:rPr>
        <w:t>У циљу спровођења наведеног процеса праћења фискалних ризика, у октобру 2021. године, усвојена је Јединствена методологија, која је припремљена уз помоћ Светске банке, која обухвата четири основне методологије и то: 1) Методологију за праћење фискалних ризика који произлазе из пословања јавних предузећа; 2) Методологију за праћење фискалних ризика по буџет Републике Србије који произлазе из вршења надлежности јединица локалне самоуправе; 3) Методологију за праћење фискалних ризика по основу судских поступака; 4) Методологију за праћење фискалних ризика који се јављају као последица елементарних непогода.</w:t>
      </w:r>
    </w:p>
    <w:p w14:paraId="383617C1" w14:textId="77777777" w:rsidR="006D0778" w:rsidRPr="006D0778" w:rsidRDefault="006D0778" w:rsidP="006D0778">
      <w:pPr>
        <w:spacing w:after="0"/>
        <w:rPr>
          <w:rFonts w:eastAsia="MS PGothic" w:cstheme="minorHAnsi"/>
          <w:szCs w:val="20"/>
          <w:lang w:val="sr-Cyrl-RS" w:eastAsia="ja-JP"/>
        </w:rPr>
      </w:pPr>
    </w:p>
    <w:p w14:paraId="0E3A2141" w14:textId="77777777" w:rsidR="006D0778" w:rsidRPr="006D0778" w:rsidRDefault="006D0778" w:rsidP="006D0778">
      <w:pPr>
        <w:spacing w:after="360"/>
        <w:rPr>
          <w:rFonts w:eastAsia="MS PGothic" w:cstheme="minorHAnsi"/>
          <w:spacing w:val="-2"/>
          <w:szCs w:val="20"/>
          <w:lang w:val="sr-Cyrl-RS" w:eastAsia="ja-JP"/>
        </w:rPr>
      </w:pPr>
      <w:r w:rsidRPr="006D0778">
        <w:rPr>
          <w:rFonts w:eastAsia="MS PGothic" w:cstheme="minorHAnsi"/>
          <w:szCs w:val="20"/>
          <w:lang w:eastAsia="ja-JP"/>
        </w:rPr>
        <w:lastRenderedPageBreak/>
        <w:t>Гаранције издате од стране државе утичу на висину јавног дуга, али и на висину дефицита, уколико отплату по кредиту уместо првобитног дужника преузме држава. Издате гаранције су према дефиницији одређеној Законом о јавном дугу</w:t>
      </w:r>
      <w:r w:rsidRPr="006D0778">
        <w:rPr>
          <w:rFonts w:eastAsia="MS PGothic" w:cstheme="minorHAnsi"/>
          <w:szCs w:val="20"/>
          <w:vertAlign w:val="superscript"/>
          <w:lang w:eastAsia="ja-JP"/>
        </w:rPr>
        <w:footnoteReference w:id="9"/>
      </w:r>
      <w:r w:rsidRPr="006D0778">
        <w:rPr>
          <w:rFonts w:eastAsia="MS PGothic" w:cstheme="minorHAnsi"/>
          <w:szCs w:val="20"/>
          <w:lang w:eastAsia="ja-JP"/>
        </w:rPr>
        <w:t xml:space="preserve"> део индиректних обавеза и у укупном износу се укључују у јавни дуг. . На дан 30. септембра 2024. године укупно стање јавног дуга у сектору државе износило је 4.4</w:t>
      </w:r>
      <w:r w:rsidRPr="006D0778">
        <w:rPr>
          <w:rFonts w:eastAsia="MS PGothic" w:cstheme="minorHAnsi"/>
          <w:szCs w:val="20"/>
          <w:lang w:val="sr-Cyrl-RS" w:eastAsia="ja-JP"/>
        </w:rPr>
        <w:t>96,5</w:t>
      </w:r>
      <w:r w:rsidRPr="006D0778">
        <w:rPr>
          <w:rFonts w:eastAsia="MS PGothic" w:cstheme="minorHAnsi"/>
          <w:szCs w:val="20"/>
          <w:lang w:eastAsia="ja-JP"/>
        </w:rPr>
        <w:t xml:space="preserve"> млрд динара, што чини 46,8% БДП, од чега директне обавезе чине 4.256,7 млрд динара (44,3% БДП), индиректне обавезе 210,3 млрд динара (2,2% БДП) и негарантовани остали дуг сектора државе 29,5 млрд динара (0,3% БДП).</w:t>
      </w:r>
    </w:p>
    <w:p w14:paraId="671A81CB" w14:textId="77777777" w:rsidR="006D0778" w:rsidRPr="006D0778" w:rsidRDefault="006D0778" w:rsidP="006D0778">
      <w:pPr>
        <w:spacing w:after="0" w:line="276" w:lineRule="auto"/>
        <w:rPr>
          <w:rFonts w:eastAsia="Calibri" w:cs="Times New Roman"/>
          <w:szCs w:val="24"/>
          <w:lang w:val="sr-Cyrl-RS" w:eastAsia="ja-JP"/>
        </w:rPr>
      </w:pPr>
      <w:r w:rsidRPr="006D0778">
        <w:rPr>
          <w:rFonts w:eastAsia="Calibri" w:cs="Times New Roman"/>
          <w:szCs w:val="24"/>
          <w:lang w:val="sr-Cyrl-RS" w:eastAsia="ja-JP"/>
        </w:rPr>
        <w:t>Графикон 15. Учешће индиректног дуга у укупном јавном дугу Републике Србије</w:t>
      </w:r>
    </w:p>
    <w:p w14:paraId="7EF23803" w14:textId="77777777" w:rsidR="006D0778" w:rsidRPr="006D0778" w:rsidRDefault="006D0778" w:rsidP="006D0778">
      <w:pPr>
        <w:spacing w:after="0" w:line="276" w:lineRule="auto"/>
        <w:rPr>
          <w:rFonts w:eastAsia="Calibri" w:cs="Times New Roman"/>
          <w:szCs w:val="24"/>
          <w:highlight w:val="yellow"/>
          <w:lang w:val="sr-Cyrl-RS" w:eastAsia="ja-JP"/>
        </w:rPr>
      </w:pPr>
      <w:r w:rsidRPr="006D0778">
        <w:rPr>
          <w:noProof/>
        </w:rPr>
        <w:drawing>
          <wp:inline distT="0" distB="0" distL="0" distR="0" wp14:anchorId="3C90E8D7" wp14:editId="1E414771">
            <wp:extent cx="5743575" cy="2743200"/>
            <wp:effectExtent l="0" t="0" r="0" b="0"/>
            <wp:docPr id="24" name="Chart 24">
              <a:extLst xmlns:a="http://schemas.openxmlformats.org/drawingml/2006/main">
                <a:ext uri="{FF2B5EF4-FFF2-40B4-BE49-F238E27FC236}">
                  <a16:creationId xmlns:a16="http://schemas.microsoft.com/office/drawing/2014/main" id="{00000000-0008-0000-0000-000003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14:paraId="2D5BC12E" w14:textId="77777777" w:rsidR="006D0778" w:rsidRPr="006D0778" w:rsidRDefault="006D0778" w:rsidP="006D0778">
      <w:pPr>
        <w:spacing w:after="240"/>
        <w:rPr>
          <w:rFonts w:eastAsia="MS PGothic" w:cstheme="minorHAnsi"/>
          <w:szCs w:val="20"/>
          <w:lang w:eastAsia="ja-JP"/>
        </w:rPr>
      </w:pPr>
      <w:r w:rsidRPr="006D0778">
        <w:rPr>
          <w:rFonts w:eastAsia="MS PGothic" w:cstheme="minorHAnsi"/>
          <w:szCs w:val="20"/>
          <w:lang w:eastAsia="ja-JP"/>
        </w:rPr>
        <w:t>Ограничења постављена на издавање нових гаранција у последњих 10 година дала су резултате, те се учешће индиректних обавеза у укупном јавном дугу смањивало из године у годину. Индиректне обавезе (издате гаранције од стране Републике Србије) су учествовале са 9,5% у дугу сектора државе на крају 2015. године, док су на крају 2023. године оне чиниле 5,0% дуга сектора државе. На дан 30. септембра 2024. године, индиректне обавезе су учествовале са 4,7% у дугу сектора државе.</w:t>
      </w:r>
    </w:p>
    <w:p w14:paraId="340EBF61" w14:textId="77777777" w:rsidR="006D0778" w:rsidRPr="006D0778" w:rsidRDefault="006D0778" w:rsidP="006D0778">
      <w:pPr>
        <w:rPr>
          <w:rFonts w:eastAsia="MS PGothic" w:cstheme="minorHAnsi"/>
          <w:szCs w:val="20"/>
          <w:lang w:eastAsia="ja-JP"/>
        </w:rPr>
      </w:pPr>
      <w:r w:rsidRPr="006D0778">
        <w:rPr>
          <w:rFonts w:eastAsia="MS PGothic" w:cstheme="minorHAnsi"/>
          <w:szCs w:val="20"/>
          <w:lang w:eastAsia="ja-JP"/>
        </w:rPr>
        <w:t>Главнице по основу гарантованих кредита, сервисиране из буџета Републике Србије у 2023. години износиле су 27,2 млрд динара (2022. година 21,3 млрд динара), од чега 23,8 млрд динара утиче на дефицит. Рачуноводствена методологија, до 2014. године, није у расходе укључивала отплате по основу гаранција.</w:t>
      </w:r>
    </w:p>
    <w:p w14:paraId="34D0B286" w14:textId="77777777" w:rsidR="006D0778" w:rsidRPr="006D0778" w:rsidRDefault="006D0778" w:rsidP="006D0778">
      <w:pPr>
        <w:spacing w:afterLines="120" w:after="288"/>
        <w:rPr>
          <w:rFonts w:eastAsia="MS PGothic" w:cstheme="minorHAnsi"/>
          <w:szCs w:val="20"/>
          <w:lang w:eastAsia="ja-JP"/>
        </w:rPr>
      </w:pPr>
      <w:r w:rsidRPr="006D0778">
        <w:rPr>
          <w:rFonts w:eastAsia="MS PGothic" w:cstheme="minorHAnsi"/>
          <w:szCs w:val="20"/>
          <w:lang w:eastAsia="ja-JP"/>
        </w:rPr>
        <w:t>Од 2014. године део ових расхода је укључен у расходе буџета. Независно од буџетског и рачуноводственог приказа, дуг који уместо главног дужника плаћа држава повећава укупне потребе за задуживањем.</w:t>
      </w:r>
    </w:p>
    <w:p w14:paraId="455D80B1" w14:textId="77777777" w:rsidR="006D0778" w:rsidRPr="006D0778" w:rsidRDefault="006D0778" w:rsidP="006D0778">
      <w:pPr>
        <w:keepNext/>
        <w:widowControl w:val="0"/>
        <w:spacing w:after="0" w:line="276" w:lineRule="auto"/>
        <w:rPr>
          <w:rFonts w:eastAsia="Calibri" w:cs="Times New Roman"/>
          <w:szCs w:val="24"/>
          <w:lang w:val="sr-Cyrl-RS" w:eastAsia="ja-JP"/>
        </w:rPr>
      </w:pPr>
      <w:r w:rsidRPr="006D0778">
        <w:rPr>
          <w:rFonts w:eastAsia="Calibri" w:cs="Times New Roman"/>
          <w:szCs w:val="24"/>
          <w:lang w:val="sr-Cyrl-RS" w:eastAsia="ja-JP"/>
        </w:rPr>
        <w:lastRenderedPageBreak/>
        <w:t>Графикон 16. Отплата дуга по основу активираних гаранција, у млрд динара</w:t>
      </w:r>
    </w:p>
    <w:p w14:paraId="2F1EE11D" w14:textId="77777777" w:rsidR="006D0778" w:rsidRPr="006D0778" w:rsidRDefault="006D0778" w:rsidP="006D0778">
      <w:pPr>
        <w:spacing w:after="0" w:line="276" w:lineRule="auto"/>
        <w:rPr>
          <w:rFonts w:eastAsia="Calibri" w:cs="Times New Roman"/>
          <w:szCs w:val="24"/>
          <w:highlight w:val="yellow"/>
          <w:lang w:val="sr-Cyrl-RS" w:eastAsia="ja-JP"/>
        </w:rPr>
      </w:pPr>
      <w:r w:rsidRPr="006D0778">
        <w:rPr>
          <w:noProof/>
        </w:rPr>
        <w:drawing>
          <wp:inline distT="0" distB="0" distL="0" distR="0" wp14:anchorId="495E6A87" wp14:editId="4629AAE3">
            <wp:extent cx="5731510" cy="2400300"/>
            <wp:effectExtent l="0" t="0" r="2540" b="0"/>
            <wp:docPr id="25" name="Chart 1">
              <a:extLst xmlns:a="http://schemas.openxmlformats.org/drawingml/2006/main">
                <a:ext uri="{FF2B5EF4-FFF2-40B4-BE49-F238E27FC236}">
                  <a16:creationId xmlns:a16="http://schemas.microsoft.com/office/drawing/2014/main" id="{00000000-0008-0000-0100-000009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14:paraId="4EAEF511" w14:textId="77777777" w:rsidR="006D0778" w:rsidRPr="006D0778" w:rsidRDefault="006D0778" w:rsidP="006D0778">
      <w:pPr>
        <w:rPr>
          <w:rFonts w:eastAsia="MS PGothic" w:cstheme="minorHAnsi"/>
          <w:szCs w:val="20"/>
          <w:lang w:eastAsia="ja-JP"/>
        </w:rPr>
      </w:pPr>
      <w:r w:rsidRPr="006D0778">
        <w:rPr>
          <w:rFonts w:eastAsia="MS PGothic" w:cstheme="minorHAnsi"/>
          <w:szCs w:val="20"/>
          <w:lang w:eastAsia="ja-JP"/>
        </w:rPr>
        <w:t>План отплате по основу гаранција (укупно главница и камата) у Закону о буџету Републике Србије за 2024. годину износи 41,3 млрд динара, од чега се у расходе који утичу на резултат укључује 28,5 млрд динара за отплату главнице по гаранцијама.</w:t>
      </w:r>
    </w:p>
    <w:p w14:paraId="28FC7DB8" w14:textId="77777777" w:rsidR="006D0778" w:rsidRPr="006D0778" w:rsidRDefault="006D0778" w:rsidP="006D0778">
      <w:pPr>
        <w:spacing w:line="257" w:lineRule="auto"/>
        <w:rPr>
          <w:rFonts w:eastAsia="MS PGothic" w:cstheme="minorHAnsi"/>
          <w:szCs w:val="20"/>
          <w:lang w:eastAsia="ja-JP"/>
        </w:rPr>
      </w:pPr>
      <w:r w:rsidRPr="006D0778">
        <w:rPr>
          <w:rFonts w:eastAsia="MS PGothic" w:cstheme="minorHAnsi"/>
          <w:szCs w:val="20"/>
          <w:lang w:eastAsia="ja-JP"/>
        </w:rPr>
        <w:t>Индиректни дуг, те укључивање дела отплата по основу гаранција у буџетске расходе, и повећање дефицита по том основу, повећали су свест о растућим фискалним ризицима који произилазе по основу издатих гаранција. Стога су предузете активности које ограничавају издавање нових гаранција. Изменама Закона о јавном дугу, чланом 16. става 3, Република Србија може дати гаранције само ако се средствима кредита за који се даје гаранција финансирају капитална улагања дужника. Република Србија не може дати гаранције ако се средствима кредита за који се даје гаранција финансира текуће пословање дужника односно за потребе ликвидности дужника. Изменама Закона о Фонду за развој Републике Србије онемогућено је даље давање контрагаранција за гаранције издате од стране Фонда за развој Републике Србије.</w:t>
      </w:r>
    </w:p>
    <w:p w14:paraId="796FCEF0" w14:textId="77777777" w:rsidR="006D0778" w:rsidRPr="006D0778" w:rsidRDefault="006D0778" w:rsidP="006D0778">
      <w:pPr>
        <w:spacing w:line="257" w:lineRule="auto"/>
        <w:rPr>
          <w:rFonts w:eastAsia="MS PGothic" w:cstheme="minorHAnsi"/>
          <w:szCs w:val="20"/>
          <w:lang w:eastAsia="ja-JP"/>
        </w:rPr>
      </w:pPr>
      <w:r w:rsidRPr="006D0778">
        <w:rPr>
          <w:rFonts w:eastAsia="MS PGothic" w:cstheme="minorHAnsi"/>
          <w:szCs w:val="20"/>
          <w:lang w:eastAsia="ja-JP"/>
        </w:rPr>
        <w:t>Поред ограничења у издавању државних гаранција кључни корак у смањењу и отклањању фискалних ризика по овом основу је у реформи државних предузећа, корисника гаранција, како би били способни да отплаћују своје кредите. Већи број предузећа, која су и највећи корисници гаранција, налазе се у процесу реструктурирања, односно спровођења планова реструктурирања урађених у сарадњи са међународним финансијским институцијама.</w:t>
      </w:r>
    </w:p>
    <w:p w14:paraId="5162B7E2" w14:textId="77777777" w:rsidR="006D0778" w:rsidRPr="006D0778" w:rsidRDefault="006D0778" w:rsidP="006D0778">
      <w:pPr>
        <w:rPr>
          <w:rFonts w:eastAsia="MS PGothic" w:cstheme="minorHAnsi"/>
          <w:szCs w:val="20"/>
          <w:lang w:val="sr-Cyrl-RS" w:eastAsia="ja-JP"/>
        </w:rPr>
      </w:pPr>
      <w:r w:rsidRPr="006D0778">
        <w:rPr>
          <w:rFonts w:eastAsia="MS PGothic" w:cstheme="minorHAnsi"/>
          <w:szCs w:val="20"/>
          <w:lang w:val="sr-Cyrl-RS" w:eastAsia="ja-JP"/>
        </w:rPr>
        <w:t xml:space="preserve">Законом о изменама и допунама </w:t>
      </w:r>
      <w:r w:rsidRPr="006D0778">
        <w:rPr>
          <w:rFonts w:eastAsia="MS PGothic" w:cstheme="minorHAnsi"/>
          <w:szCs w:val="20"/>
          <w:lang w:eastAsia="ja-JP"/>
        </w:rPr>
        <w:t>Закона о буџету Републике Србије за 2024. годину, члан 3</w:t>
      </w:r>
      <w:r w:rsidRPr="006D0778">
        <w:rPr>
          <w:rFonts w:eastAsia="MS PGothic" w:cstheme="minorHAnsi"/>
          <w:szCs w:val="20"/>
          <w:lang w:val="sr-Cyrl-RS" w:eastAsia="ja-JP"/>
        </w:rPr>
        <w:t>а</w:t>
      </w:r>
      <w:r w:rsidRPr="006D0778">
        <w:rPr>
          <w:rFonts w:eastAsia="MS PGothic" w:cstheme="minorHAnsi"/>
          <w:szCs w:val="20"/>
          <w:lang w:eastAsia="ja-JP"/>
        </w:rPr>
        <w:t xml:space="preserve">, планирано је издавање гаранција највише до 405 млрд динара. </w:t>
      </w:r>
      <w:r w:rsidRPr="006D0778">
        <w:rPr>
          <w:rFonts w:eastAsia="MS PGothic" w:cstheme="minorHAnsi"/>
          <w:szCs w:val="20"/>
          <w:lang w:val="sr-Cyrl-RS" w:eastAsia="ja-JP"/>
        </w:rPr>
        <w:t xml:space="preserve">Додатно, </w:t>
      </w:r>
      <w:r w:rsidRPr="006D0778">
        <w:rPr>
          <w:rFonts w:eastAsia="MS PGothic" w:cstheme="minorHAnsi"/>
          <w:szCs w:val="20"/>
          <w:lang w:eastAsia="ja-JP"/>
        </w:rPr>
        <w:t>омогућено је да се обим издатих гаранција повећа, ради очувања и јачања финансијске стабилности или спречавања наступања или отклањања последица ванредних околности које могу да угрозе живот и здравље људи или да проузрокују штету већих размера, у износу до 20 млрд динара, а на предлог министарства надлежног за послове финансија.</w:t>
      </w:r>
    </w:p>
    <w:p w14:paraId="53354C1E" w14:textId="77777777" w:rsidR="006D0778" w:rsidRPr="006D0778" w:rsidRDefault="006D0778" w:rsidP="006D0778">
      <w:pPr>
        <w:rPr>
          <w:rFonts w:eastAsia="MS PGothic" w:cstheme="minorHAnsi"/>
          <w:szCs w:val="20"/>
          <w:lang w:val="sr-Cyrl-RS" w:eastAsia="ja-JP"/>
        </w:rPr>
      </w:pPr>
      <w:r w:rsidRPr="006D0778">
        <w:rPr>
          <w:rFonts w:eastAsia="MS PGothic" w:cstheme="minorHAnsi"/>
          <w:szCs w:val="20"/>
          <w:lang w:val="sr-Cyrl-RS" w:eastAsia="ja-JP"/>
        </w:rPr>
        <w:t>Структурне реформе јавних и државних предузећа, њихово оспособљавање за тржишну утакмицу и финансијску одрживост, с једне стране, и ограничено и циљано издавање нових гаранција, с друге стране, допринеће умањењу фискалних ризика по овом основу и одржавању расхода у планираним, тј. пројектованим оквирима у наредном средњорочном периоду.</w:t>
      </w:r>
    </w:p>
    <w:p w14:paraId="3EB5EDC5" w14:textId="77777777" w:rsidR="006D0778" w:rsidRPr="006D0778" w:rsidRDefault="006D0778" w:rsidP="006D0778">
      <w:pPr>
        <w:rPr>
          <w:rFonts w:eastAsia="MS PGothic" w:cstheme="minorHAnsi"/>
          <w:szCs w:val="20"/>
          <w:lang w:val="sr-Cyrl-RS" w:eastAsia="ja-JP"/>
        </w:rPr>
      </w:pPr>
      <w:r w:rsidRPr="006D0778">
        <w:rPr>
          <w:rFonts w:eastAsia="MS PGothic" w:cstheme="minorHAnsi"/>
          <w:szCs w:val="20"/>
          <w:lang w:eastAsia="ja-JP"/>
        </w:rPr>
        <w:t xml:space="preserve">Пословање државних предузећа представља значајан извор фискалних ризика, како на страни буџетских прихода, тако и на страни расхода. Државна предузећа се у пословању </w:t>
      </w:r>
      <w:r w:rsidRPr="006D0778">
        <w:rPr>
          <w:rFonts w:eastAsia="MS PGothic" w:cstheme="minorHAnsi"/>
          <w:szCs w:val="20"/>
          <w:lang w:eastAsia="ja-JP"/>
        </w:rPr>
        <w:lastRenderedPageBreak/>
        <w:t>суочавају са бројним проблемима, од наплате потраживања, до редовног измиривања обавеза према повериоцима, држави и запосленима и сл. Држава као оснивач и њихов једини власник је одговорна за пословање и њихов је најважнији ослонац у случају неликвидности. Постоји неколико канала кроз које се могу материјализовати фискални ризици везани за пословање државних предузећа. Највећи, али не и једини ризик, су државне гаранције дате за кредите државних предузећа. Одрживост, ефикасност и профитабилност државних предузећа утичу на приходе буџета, односно на износ добити коју уплаћују у буџет. Квалитет производа и услуга које обезбеђују државна предузећа утичу на ефикасност и профитабилност приватног сектора и у крајњој инстанци на ниво пореза који уплаћују у буџет.</w:t>
      </w:r>
    </w:p>
    <w:p w14:paraId="646F745B" w14:textId="704B706B" w:rsidR="006D0778" w:rsidRPr="006D0778" w:rsidRDefault="002B1F9D" w:rsidP="006D0778">
      <w:pPr>
        <w:rPr>
          <w:highlight w:val="yellow"/>
          <w:lang w:val="sr-Cyrl-RS" w:eastAsia="ja-JP"/>
        </w:rPr>
      </w:pPr>
      <w:r>
        <w:rPr>
          <w:rFonts w:eastAsia="MS PGothic" w:cstheme="minorHAnsi"/>
          <w:szCs w:val="20"/>
          <w:lang w:val="sr-Cyrl-RS" w:eastAsia="ja-JP"/>
        </w:rPr>
        <w:t>У оквиру Министарства финансија</w:t>
      </w:r>
      <w:r w:rsidR="006D0778" w:rsidRPr="006D0778">
        <w:rPr>
          <w:rFonts w:eastAsia="MS PGothic" w:cstheme="minorHAnsi"/>
          <w:szCs w:val="20"/>
          <w:lang w:eastAsia="ja-JP"/>
        </w:rPr>
        <w:t xml:space="preserve"> прати</w:t>
      </w:r>
      <w:r>
        <w:rPr>
          <w:rFonts w:eastAsia="MS PGothic" w:cstheme="minorHAnsi"/>
          <w:szCs w:val="20"/>
          <w:lang w:val="sr-Cyrl-RS" w:eastAsia="ja-JP"/>
        </w:rPr>
        <w:t xml:space="preserve"> се</w:t>
      </w:r>
      <w:r w:rsidR="006D0778" w:rsidRPr="006D0778">
        <w:rPr>
          <w:rFonts w:eastAsia="MS PGothic" w:cstheme="minorHAnsi"/>
          <w:szCs w:val="20"/>
          <w:lang w:eastAsia="ja-JP"/>
        </w:rPr>
        <w:t xml:space="preserve"> рад 36 стратешких предузећа која су у већинском власништву РС и која представљају значајан сегмент српске привреде. Ова предузећа су на крају тре</w:t>
      </w:r>
      <w:r w:rsidR="006D0778" w:rsidRPr="006D0778">
        <w:rPr>
          <w:rFonts w:eastAsia="MS PGothic" w:cstheme="minorHAnsi"/>
          <w:szCs w:val="20"/>
          <w:lang w:val="sr-Cyrl-RS" w:eastAsia="ja-JP"/>
        </w:rPr>
        <w:t>ће</w:t>
      </w:r>
      <w:r w:rsidR="006D0778" w:rsidRPr="006D0778">
        <w:rPr>
          <w:rFonts w:eastAsia="MS PGothic" w:cstheme="minorHAnsi"/>
          <w:szCs w:val="20"/>
          <w:lang w:eastAsia="ja-JP"/>
        </w:rPr>
        <w:t xml:space="preserve">г квартала 2024. године запошљавала 65,8 хиљада људи. Њихов рад уређен је Законом о јавним предузећима, који је усвојен у фебруару 2016. године, Законом о управљању привредним друштвима која су у власништву Републике Србије, а који је усвојен у септембру </w:t>
      </w:r>
      <w:r w:rsidR="006D0778" w:rsidRPr="006D0778">
        <w:rPr>
          <w:rFonts w:eastAsia="MS PGothic" w:cstheme="minorHAnsi"/>
          <w:spacing w:val="-4"/>
          <w:szCs w:val="20"/>
          <w:lang w:eastAsia="ja-JP"/>
        </w:rPr>
        <w:t>2023. године, као и подсекторским законима који дефинишу специфична подручја која нису обухваћена Законом о јавним предузећима (Закон о енергетици, Закон о привредним друштвима и др).</w:t>
      </w:r>
    </w:p>
    <w:p w14:paraId="22CFC670" w14:textId="77777777" w:rsidR="006D0778" w:rsidRPr="006D0778" w:rsidRDefault="006D0778" w:rsidP="006D0778">
      <w:pPr>
        <w:rPr>
          <w:highlight w:val="yellow"/>
          <w:lang w:val="sr-Cyrl-RS"/>
        </w:rPr>
      </w:pPr>
      <w:r w:rsidRPr="006D0778">
        <w:rPr>
          <w:rFonts w:eastAsia="MS PGothic" w:cstheme="minorHAnsi"/>
          <w:szCs w:val="20"/>
          <w:lang w:val="sr-Cyrl-RS" w:eastAsia="ja-JP"/>
        </w:rPr>
        <w:t>Током јесени 2021. године десили су се поремећаји на енергетском тржишту у свету. Криза у енергетском сектору се само надовезала на већ постојећу кризу изазвану пандемијом COVID-19. Због повећане тражње узроковане постпандемијским развојем економије и проблема у снабдевању, односно недовољне понуде и недовољних залиха, цене природног гаса су достигле историјске максимуме. Ово је подстакло тражњу за осталим енергентима, чије су цене изузетно порасле. Високе цене осталих енергената, а у Европи и смањена производња из електрана на ветар и високе цене дозвола за емисију CO</w:t>
      </w:r>
      <w:r w:rsidRPr="006D0778">
        <w:rPr>
          <w:rFonts w:eastAsia="MS PGothic" w:cstheme="minorHAnsi"/>
          <w:szCs w:val="20"/>
          <w:vertAlign w:val="subscript"/>
          <w:lang w:val="sr-Cyrl-RS" w:eastAsia="ja-JP"/>
        </w:rPr>
        <w:t>2</w:t>
      </w:r>
      <w:r w:rsidRPr="006D0778">
        <w:rPr>
          <w:rFonts w:eastAsia="MS PGothic" w:cstheme="minorHAnsi"/>
          <w:szCs w:val="20"/>
          <w:lang w:val="sr-Cyrl-RS" w:eastAsia="ja-JP"/>
        </w:rPr>
        <w:t xml:space="preserve"> довеле су до раста цена електричне енергије, такође до историјских максимума. У таквим условима, порасла је производња електричне енергије из угља, јер је она била повољнија од производње из гаса.</w:t>
      </w:r>
    </w:p>
    <w:p w14:paraId="17FC8870" w14:textId="77777777" w:rsidR="006D0778" w:rsidRPr="006D0778" w:rsidRDefault="006D0778" w:rsidP="006D0778">
      <w:pPr>
        <w:rPr>
          <w:spacing w:val="-4"/>
          <w:highlight w:val="yellow"/>
          <w:lang w:val="sr-Cyrl-RS"/>
        </w:rPr>
      </w:pPr>
      <w:r w:rsidRPr="006D0778">
        <w:rPr>
          <w:spacing w:val="-4"/>
          <w:lang w:val="sr-Cyrl-RS"/>
        </w:rPr>
        <w:t>До сада се више пута показало, да раст неког од основних енергената, попут нафте и гаса, доводи до раста осталих цена на тржишту, а на целу ову већ тешку ситуацију се надовезала и криза у Украјини, те се као један од кључних проблема наметнуло питање енергетске сигурности и европске зависности од руских фосилних горива. Овај след догађаја утицао је да цене електричне енергије и природног гаса у свету достигну цене знатно веће од уобичајених у последњих неколико година. Енергетска криза неизбежно се прелила и на Србију, а највише су погођена енергетска предузећа, претежно АД „Електропривреда Србије” и ЈП „Србијагас”.</w:t>
      </w:r>
    </w:p>
    <w:p w14:paraId="4E0AEAAE" w14:textId="77777777" w:rsidR="006D0778" w:rsidRPr="006D0778" w:rsidRDefault="006D0778" w:rsidP="006D0778">
      <w:pPr>
        <w:rPr>
          <w:rFonts w:eastAsia="MS PGothic" w:cstheme="minorHAnsi"/>
          <w:szCs w:val="20"/>
          <w:lang w:eastAsia="ja-JP"/>
        </w:rPr>
      </w:pPr>
      <w:r w:rsidRPr="006D0778">
        <w:rPr>
          <w:rFonts w:eastAsia="MS PGothic" w:cstheme="minorHAnsi"/>
          <w:szCs w:val="20"/>
          <w:lang w:eastAsia="ja-JP"/>
        </w:rPr>
        <w:t>Због високих цена електричне енергије у претходном периоду, које су угрожавале пословање привредних субјеката у Републици Србији, као и енергетских субјеката који обављају делатност преноса, односно дистрибуције електричне енергије (у вези набавке електричне енергије за губитке), препоручено је да „Електропривреда Србије” ад те субјекте снабдева по ценама нижим од тржишних, чиме је „Електропривреда Србије” ад била изложена финансијском ризику, односно ризик раста цена у потпуности je био пребачен на „Електропривреду Србије” ад. У другој половини 2023. године цене енергената на светском тржишту су се стабилизовале, а што је за последицу имало и стабилност енергетског сектора у Републици Србији.</w:t>
      </w:r>
    </w:p>
    <w:p w14:paraId="13DA05AE" w14:textId="77777777" w:rsidR="006D0778" w:rsidRPr="006D0778" w:rsidRDefault="006D0778" w:rsidP="006D0778">
      <w:pPr>
        <w:rPr>
          <w:rFonts w:eastAsia="MS PGothic" w:cstheme="minorHAnsi"/>
          <w:szCs w:val="20"/>
          <w:highlight w:val="yellow"/>
          <w:lang w:eastAsia="ja-JP"/>
        </w:rPr>
      </w:pPr>
      <w:r w:rsidRPr="006D0778">
        <w:rPr>
          <w:rFonts w:eastAsia="MS PGothic" w:cstheme="minorHAnsi"/>
          <w:szCs w:val="20"/>
          <w:lang w:eastAsia="ja-JP"/>
        </w:rPr>
        <w:t xml:space="preserve">Република Србија је наставила и у 2023. години да финансијским и стратешким мерама обезбеђује и осигурава снабдевање кључним енергентима. Поред наведеног, уложен је додатни напор да се настави са трансформацијом предузећа из енергетског сектора, тако </w:t>
      </w:r>
      <w:r w:rsidRPr="006D0778">
        <w:rPr>
          <w:rFonts w:eastAsia="MS PGothic" w:cstheme="minorHAnsi"/>
          <w:szCs w:val="20"/>
          <w:lang w:eastAsia="ja-JP"/>
        </w:rPr>
        <w:lastRenderedPageBreak/>
        <w:t>је 6. априла 2023. године промењена правна форма „Електропривреде Србије” ад из јавног предузећа у нејавно акционарско друштво. Повећање цена електричне енергије током 2022-2023. године, рационално планирање ресурса, кретање цене енергената и позитивни хидролошки трендови утицали су да „Електропривреда Србије” ад заврши 2023. годину са историјским нето добитком од 112,4 млрд динара. Остварени резултат делимично је коришћен за отплату кредита за ликвидност и инвестиционе пројекте што ће имати позитиван ефекат на будуће пословање предузећа. Иако су направљени позитивни помаци у пословању, главни изазов за наредни период је наставак започетих реформи као и енергетска транзиција која ће омогућити постепен прелазак на све већу производњу енергије из обновљивих извора, а што ће свакако захтевати финансијску консолидацију и значајна инвестициона улагања.</w:t>
      </w:r>
    </w:p>
    <w:p w14:paraId="2E18B057" w14:textId="6133B066" w:rsidR="006D0778" w:rsidRPr="006D0778" w:rsidRDefault="006D0778" w:rsidP="006D0778">
      <w:pPr>
        <w:rPr>
          <w:rFonts w:eastAsia="MS PGothic" w:cstheme="minorHAnsi"/>
          <w:szCs w:val="20"/>
          <w:highlight w:val="yellow"/>
          <w:lang w:eastAsia="ja-JP"/>
        </w:rPr>
      </w:pPr>
      <w:r w:rsidRPr="006D0778">
        <w:rPr>
          <w:rFonts w:eastAsia="MS PGothic" w:cstheme="minorHAnsi"/>
          <w:szCs w:val="20"/>
          <w:lang w:eastAsia="ja-JP"/>
        </w:rPr>
        <w:t>Важну улогу за енергетску стабилност има и друго прeдузeћe из oблaсти eлeктрoeнeргeтикe – „Елeктродист</w:t>
      </w:r>
      <w:r w:rsidR="00DB1F40">
        <w:rPr>
          <w:rFonts w:eastAsia="MS PGothic" w:cstheme="minorHAnsi"/>
          <w:szCs w:val="20"/>
          <w:lang w:eastAsia="ja-JP"/>
        </w:rPr>
        <w:t>рибуциja Србијe” доо (ЕДС), која</w:t>
      </w:r>
      <w:r w:rsidRPr="006D0778">
        <w:rPr>
          <w:rFonts w:eastAsia="MS PGothic" w:cstheme="minorHAnsi"/>
          <w:szCs w:val="20"/>
          <w:lang w:eastAsia="ja-JP"/>
        </w:rPr>
        <w:t xml:space="preserve"> од 2021. године послује самостално (до 2021. године у саставу ЕПС-а ад). У претходној 2023. години, основни приходи од мрежарине EДС-у нису били дoвoљни зa oдрживo пoслoвањe услед чега је Република Србија интервенисала у виду краткорочних бескaмaтних пoзaјмица. Високе цене електричне енергије и осталe околности у енергетском сектору утицале су на пословање овог привредног субјекта да 2023. годину заврши са негативним резултатом од 1 млрд динара. Иако се ЕДС сусретао са бројним изазовима у претходном периоду, позитиван аспект у пословању представљају значајна инвестициона улагања. У првој половини 2024. године окончан је пројекат Реконструкција дистрибутивне мреже којим је замењено преко 34 хиљаде дрвених бандера бетонским, наставља се са реализацијом пројекта Паметна бројила који се финансира делом из донације ЕУ и из кредита ЕБРД и ЕИБ, као и пројекат Аутоматизација средњенапонске дистрибутивне мреже који се реализује у сарадњи са компанијом Schneider Electric. Претходно наведени инвестициони пројекти утицаће на решавање једног од главних структурних проблема ЕДС-а којима ће се значајно унапредити дистрибутивне мреже, а што ће допринети смањењу губитака на мрежи. Република Србија препознала је изазове који се налазе пред овим привредним субјектом и за 2024. годину планиран је наставак подршке у виду обезбеђења гаранција у износу од 32,7 млрд динара.</w:t>
      </w:r>
    </w:p>
    <w:p w14:paraId="0431C211" w14:textId="77777777" w:rsidR="006D0778" w:rsidRPr="006D0778" w:rsidRDefault="006D0778" w:rsidP="006D0778">
      <w:pPr>
        <w:rPr>
          <w:rFonts w:eastAsia="MS PGothic" w:cstheme="minorHAnsi"/>
          <w:szCs w:val="20"/>
          <w:lang w:eastAsia="ja-JP"/>
        </w:rPr>
      </w:pPr>
      <w:r w:rsidRPr="006D0778">
        <w:rPr>
          <w:rFonts w:eastAsia="MS PGothic" w:cstheme="minorHAnsi"/>
          <w:szCs w:val="20"/>
          <w:lang w:eastAsia="ja-JP"/>
        </w:rPr>
        <w:t>Што се тиче ЈП „Србијагас”, неповољна тржишна кретања у 2021. и 2022. години и финансијска позиција дистрибутера природног гаса утицали су да Република Србија у претходном периоду учествује у финансирању набавки резервних количина гаса као и суфинансирању редовних набавки. Проактивним режимом рада током 2022. и 2023. године обезбеђени су додатни складишни капацитети за природни гас у Мађарској, одакле су се ускладиштене количине повремено повлачиле у зимској сезони 2022/2023. и 2023/2024. године, а преостале количине омогућиће додатну сигурност снабдевања тржишта током зимске сезоне 2024/2025. године. Кретање цена енергената на светском тржишту утицало је да и ЈП „Србијагас” током 2022/2023. године неколико пута изврши корекцију продајних цена гаса, а што је допринело побољшању финансијске позиције овог јавног предузећа. Битно је истаћи и да је ЈП „Србијагас” крајем 2023. године потписало Уговор о испорукама природног гаса у Републику Србију са азербејџанском државном нафтном компанијом „СОКАР”, која је значајан произвођач и извозник фосилних горива, а првенствено природног гаса. Потписивањем овог Уговора наставило се са диверсификацијом у снабдевању чиме се ствара додатна сигурност у случају поремећаја на глобалном тржишту. За 2024. годину планиран је наставак инвестиционих улагања, пре свега у делатностима транспорта и дистрибуцији гаса, односно наставак развоја дистрибутивне мреже и јачање транспортних капацитета гасовода у Републици Србији.</w:t>
      </w:r>
    </w:p>
    <w:p w14:paraId="03EEAC18" w14:textId="77777777" w:rsidR="006D0778" w:rsidRPr="006D0778" w:rsidRDefault="006D0778" w:rsidP="006D0778">
      <w:pPr>
        <w:rPr>
          <w:rFonts w:eastAsia="MS PGothic" w:cstheme="minorHAnsi"/>
          <w:szCs w:val="20"/>
          <w:lang w:eastAsia="ja-JP"/>
        </w:rPr>
      </w:pPr>
      <w:bookmarkStart w:id="15" w:name="_Hlk179981160"/>
      <w:r w:rsidRPr="006D0778">
        <w:rPr>
          <w:rFonts w:eastAsia="MS PGothic" w:cstheme="minorHAnsi"/>
          <w:szCs w:val="20"/>
          <w:lang w:eastAsia="ja-JP"/>
        </w:rPr>
        <w:lastRenderedPageBreak/>
        <w:t>Ефекти енергетске кризе у свету, нису заобишли ни ЈП „Путеви Србије” који су идентификовани као носилац високог фискалног ризика због раста цена основних енергената и главних сировина потребних за обављање основне делатности, што би могло додатно да погорша финансијску позицију овог јавног предузећа, а самим тим и повећа ослањање на буџет Републике Србије. У циљу благовременог спречавања утицаја на буџет током 2023. године Република Србија је донела низ мера. Како би се избегли негативни ефекти и њихов утицај на буџет Републике Србије, ЈП „Путеви Србије” су од 1. априла 2023. године повећали цене путарина за 14%, односно 8% за возила са ТАГ уређајем</w:t>
      </w:r>
      <w:bookmarkEnd w:id="15"/>
      <w:r w:rsidRPr="006D0778">
        <w:rPr>
          <w:rFonts w:eastAsia="MS PGothic" w:cstheme="minorHAnsi"/>
          <w:szCs w:val="20"/>
          <w:lang w:eastAsia="ja-JP"/>
        </w:rPr>
        <w:t xml:space="preserve">, a такође је средином 2024. године извршенa нова измена ценовника. </w:t>
      </w:r>
    </w:p>
    <w:p w14:paraId="764CC4BF" w14:textId="77777777" w:rsidR="006D0778" w:rsidRPr="006D0778" w:rsidRDefault="006D0778" w:rsidP="006D0778">
      <w:r w:rsidRPr="006D0778">
        <w:rPr>
          <w:rFonts w:eastAsia="MS PGothic" w:cstheme="minorHAnsi"/>
          <w:szCs w:val="20"/>
          <w:lang w:eastAsia="ja-JP"/>
        </w:rPr>
        <w:t>Слична ситуација идентификована је и код „Коридори Србије” доо, због високих издатака за капиталне инвестиције које су у надлежности овог друштва, те самим тим, промене цена основних сировина могу значајно повећати трошкове спровођења пројеката и повећати ослањање на буџет Републике Србије, у циљу континуиране реализације пројекта.</w:t>
      </w:r>
    </w:p>
    <w:p w14:paraId="7A24BDC8" w14:textId="77777777" w:rsidR="006D0778" w:rsidRPr="006D0778" w:rsidRDefault="006D0778" w:rsidP="006D0778">
      <w:pPr>
        <w:rPr>
          <w:rFonts w:eastAsia="MS PGothic" w:cstheme="minorHAnsi"/>
          <w:szCs w:val="20"/>
          <w:lang w:eastAsia="ja-JP"/>
        </w:rPr>
      </w:pPr>
      <w:r w:rsidRPr="006D0778">
        <w:rPr>
          <w:rFonts w:eastAsia="MS PGothic" w:cstheme="minorHAnsi"/>
          <w:szCs w:val="20"/>
          <w:lang w:eastAsia="ja-JP"/>
        </w:rPr>
        <w:t xml:space="preserve">Укупна имовина државних предузећа на крају 2023. године износила је 3.587 млрд динара, и њу чини углавном стална имовина која учествује са 85,7% с обзиром да већина државних предузећа послује у капитално интензивним гранама. Укупне обавезе обухватају кредите, обавезе према добављачима и обавезе по другим основама и оне су значајно порасле у периоду између 2021. и 2022. године, што је у складу са појавом енергетских шокова на тржишту. Кредитне обавезе на крају 2023. године имале су учешће од 38,7% у укупним обавезама предузећа, односно 37,8% на крају </w:t>
      </w:r>
      <w:r w:rsidRPr="006D0778">
        <w:rPr>
          <w:rFonts w:eastAsia="MS PGothic" w:cstheme="minorHAnsi"/>
          <w:szCs w:val="20"/>
          <w:lang w:val="sr-Cyrl-RS" w:eastAsia="ja-JP"/>
        </w:rPr>
        <w:t>треће</w:t>
      </w:r>
      <w:r w:rsidRPr="006D0778">
        <w:rPr>
          <w:rFonts w:eastAsia="MS PGothic" w:cstheme="minorHAnsi"/>
          <w:szCs w:val="20"/>
          <w:lang w:eastAsia="ja-JP"/>
        </w:rPr>
        <w:t>г квартала 2024. године.</w:t>
      </w:r>
    </w:p>
    <w:p w14:paraId="6E919F29" w14:textId="77777777" w:rsidR="006D0778" w:rsidRPr="006D0778" w:rsidRDefault="006D0778" w:rsidP="006D0778">
      <w:pPr>
        <w:spacing w:after="80" w:line="276" w:lineRule="auto"/>
        <w:rPr>
          <w:rFonts w:eastAsia="Calibri" w:cs="Times New Roman"/>
          <w:szCs w:val="24"/>
          <w:lang w:val="sr-Cyrl-RS" w:eastAsia="ja-JP"/>
        </w:rPr>
      </w:pPr>
      <w:r w:rsidRPr="006D0778">
        <w:rPr>
          <w:rFonts w:eastAsia="Calibri" w:cs="Times New Roman"/>
          <w:szCs w:val="24"/>
          <w:lang w:val="sr-Cyrl-RS" w:eastAsia="ja-JP"/>
        </w:rPr>
        <w:t>Табела 11. Главни финансијски показатељи пословања државних предузећа, млрд динара</w:t>
      </w:r>
    </w:p>
    <w:tbl>
      <w:tblPr>
        <w:tblW w:w="8957" w:type="dxa"/>
        <w:tblLook w:val="04A0" w:firstRow="1" w:lastRow="0" w:firstColumn="1" w:lastColumn="0" w:noHBand="0" w:noVBand="1"/>
      </w:tblPr>
      <w:tblGrid>
        <w:gridCol w:w="3294"/>
        <w:gridCol w:w="1273"/>
        <w:gridCol w:w="1273"/>
        <w:gridCol w:w="1263"/>
        <w:gridCol w:w="1854"/>
      </w:tblGrid>
      <w:tr w:rsidR="006D0778" w:rsidRPr="006D0778" w14:paraId="32F98B51" w14:textId="77777777" w:rsidTr="00D2109C">
        <w:trPr>
          <w:trHeight w:val="25"/>
        </w:trPr>
        <w:tc>
          <w:tcPr>
            <w:tcW w:w="3294" w:type="dxa"/>
            <w:tcBorders>
              <w:top w:val="single" w:sz="4" w:space="0" w:color="002060"/>
              <w:left w:val="nil"/>
              <w:bottom w:val="single" w:sz="4" w:space="0" w:color="002060"/>
              <w:right w:val="nil"/>
            </w:tcBorders>
            <w:shd w:val="clear" w:color="auto" w:fill="FFFFFF" w:themeFill="background1"/>
            <w:noWrap/>
            <w:vAlign w:val="center"/>
            <w:hideMark/>
          </w:tcPr>
          <w:p w14:paraId="6393CB53" w14:textId="77777777" w:rsidR="006D0778" w:rsidRPr="006D0778" w:rsidRDefault="006D0778" w:rsidP="006D0778">
            <w:pPr>
              <w:spacing w:after="0"/>
              <w:rPr>
                <w:rFonts w:eastAsia="Times New Roman" w:cstheme="minorHAnsi"/>
                <w:b/>
                <w:bCs/>
                <w:sz w:val="22"/>
              </w:rPr>
            </w:pPr>
            <w:r w:rsidRPr="006D0778">
              <w:rPr>
                <w:rFonts w:eastAsia="Times New Roman" w:cstheme="minorHAnsi"/>
                <w:b/>
                <w:bCs/>
                <w:sz w:val="22"/>
              </w:rPr>
              <w:t>Опис</w:t>
            </w:r>
          </w:p>
        </w:tc>
        <w:tc>
          <w:tcPr>
            <w:tcW w:w="1273" w:type="dxa"/>
            <w:tcBorders>
              <w:top w:val="single" w:sz="4" w:space="0" w:color="002060"/>
              <w:left w:val="nil"/>
              <w:bottom w:val="single" w:sz="4" w:space="0" w:color="002060"/>
              <w:right w:val="nil"/>
            </w:tcBorders>
            <w:shd w:val="clear" w:color="auto" w:fill="FFFFFF" w:themeFill="background1"/>
            <w:noWrap/>
            <w:vAlign w:val="center"/>
            <w:hideMark/>
          </w:tcPr>
          <w:p w14:paraId="37EC0A7E" w14:textId="77777777" w:rsidR="006D0778" w:rsidRPr="006D0778" w:rsidRDefault="006D0778" w:rsidP="006D0778">
            <w:pPr>
              <w:spacing w:after="0"/>
              <w:jc w:val="center"/>
              <w:rPr>
                <w:rFonts w:eastAsia="Times New Roman" w:cstheme="minorHAnsi"/>
                <w:b/>
                <w:bCs/>
                <w:sz w:val="22"/>
              </w:rPr>
            </w:pPr>
            <w:r w:rsidRPr="006D0778">
              <w:rPr>
                <w:rFonts w:eastAsia="Times New Roman" w:cstheme="minorHAnsi"/>
                <w:b/>
                <w:bCs/>
                <w:sz w:val="22"/>
              </w:rPr>
              <w:t>2021</w:t>
            </w:r>
          </w:p>
        </w:tc>
        <w:tc>
          <w:tcPr>
            <w:tcW w:w="1273" w:type="dxa"/>
            <w:tcBorders>
              <w:top w:val="single" w:sz="4" w:space="0" w:color="002060"/>
              <w:left w:val="nil"/>
              <w:bottom w:val="single" w:sz="4" w:space="0" w:color="002060"/>
              <w:right w:val="nil"/>
            </w:tcBorders>
            <w:shd w:val="clear" w:color="auto" w:fill="FFFFFF" w:themeFill="background1"/>
            <w:noWrap/>
            <w:vAlign w:val="center"/>
            <w:hideMark/>
          </w:tcPr>
          <w:p w14:paraId="755B475B" w14:textId="77777777" w:rsidR="006D0778" w:rsidRPr="006D0778" w:rsidRDefault="006D0778" w:rsidP="006D0778">
            <w:pPr>
              <w:spacing w:after="0"/>
              <w:jc w:val="center"/>
              <w:rPr>
                <w:rFonts w:eastAsia="Times New Roman" w:cstheme="minorHAnsi"/>
                <w:b/>
                <w:bCs/>
                <w:sz w:val="22"/>
              </w:rPr>
            </w:pPr>
            <w:r w:rsidRPr="006D0778">
              <w:rPr>
                <w:rFonts w:eastAsia="Times New Roman" w:cstheme="minorHAnsi"/>
                <w:b/>
                <w:bCs/>
                <w:sz w:val="22"/>
              </w:rPr>
              <w:t>2022</w:t>
            </w:r>
          </w:p>
        </w:tc>
        <w:tc>
          <w:tcPr>
            <w:tcW w:w="1263" w:type="dxa"/>
            <w:tcBorders>
              <w:top w:val="single" w:sz="4" w:space="0" w:color="002060"/>
              <w:left w:val="nil"/>
              <w:bottom w:val="single" w:sz="4" w:space="0" w:color="002060"/>
              <w:right w:val="nil"/>
            </w:tcBorders>
            <w:shd w:val="clear" w:color="auto" w:fill="FFFFFF" w:themeFill="background1"/>
            <w:noWrap/>
            <w:vAlign w:val="center"/>
            <w:hideMark/>
          </w:tcPr>
          <w:p w14:paraId="49CD681E" w14:textId="77777777" w:rsidR="006D0778" w:rsidRPr="006D0778" w:rsidRDefault="006D0778" w:rsidP="006D0778">
            <w:pPr>
              <w:spacing w:after="0"/>
              <w:jc w:val="center"/>
              <w:rPr>
                <w:rFonts w:eastAsia="Times New Roman" w:cstheme="minorHAnsi"/>
                <w:b/>
                <w:bCs/>
                <w:sz w:val="22"/>
              </w:rPr>
            </w:pPr>
            <w:r w:rsidRPr="006D0778">
              <w:rPr>
                <w:rFonts w:eastAsia="Times New Roman" w:cstheme="minorHAnsi"/>
                <w:b/>
                <w:bCs/>
                <w:sz w:val="22"/>
              </w:rPr>
              <w:t>2023</w:t>
            </w:r>
          </w:p>
        </w:tc>
        <w:tc>
          <w:tcPr>
            <w:tcW w:w="1854" w:type="dxa"/>
            <w:tcBorders>
              <w:top w:val="single" w:sz="4" w:space="0" w:color="002060"/>
              <w:left w:val="nil"/>
              <w:bottom w:val="single" w:sz="4" w:space="0" w:color="002060"/>
              <w:right w:val="nil"/>
            </w:tcBorders>
            <w:shd w:val="clear" w:color="auto" w:fill="FFFFFF" w:themeFill="background1"/>
            <w:noWrap/>
            <w:vAlign w:val="center"/>
            <w:hideMark/>
          </w:tcPr>
          <w:p w14:paraId="68201CB0" w14:textId="77777777" w:rsidR="006D0778" w:rsidRPr="006D0778" w:rsidRDefault="006D0778" w:rsidP="006D0778">
            <w:pPr>
              <w:spacing w:after="0"/>
              <w:jc w:val="center"/>
              <w:rPr>
                <w:rFonts w:eastAsia="Times New Roman" w:cstheme="minorHAnsi"/>
                <w:b/>
                <w:bCs/>
                <w:sz w:val="22"/>
              </w:rPr>
            </w:pPr>
            <w:r w:rsidRPr="006D0778">
              <w:rPr>
                <w:rFonts w:eastAsia="Times New Roman" w:cstheme="minorHAnsi"/>
                <w:b/>
                <w:bCs/>
                <w:sz w:val="22"/>
              </w:rPr>
              <w:t>Q3 2024</w:t>
            </w:r>
          </w:p>
        </w:tc>
      </w:tr>
      <w:tr w:rsidR="006D0778" w:rsidRPr="006D0778" w14:paraId="1CDEB611" w14:textId="77777777" w:rsidTr="00D2109C">
        <w:trPr>
          <w:trHeight w:val="25"/>
        </w:trPr>
        <w:tc>
          <w:tcPr>
            <w:tcW w:w="3294" w:type="dxa"/>
            <w:tcBorders>
              <w:top w:val="nil"/>
              <w:left w:val="nil"/>
              <w:bottom w:val="nil"/>
              <w:right w:val="nil"/>
            </w:tcBorders>
            <w:shd w:val="clear" w:color="000000" w:fill="FFFFFF"/>
            <w:noWrap/>
            <w:vAlign w:val="center"/>
            <w:hideMark/>
          </w:tcPr>
          <w:p w14:paraId="2A62742D" w14:textId="77777777" w:rsidR="006D0778" w:rsidRPr="006D0778" w:rsidRDefault="006D0778" w:rsidP="006D0778">
            <w:pPr>
              <w:spacing w:after="0"/>
              <w:rPr>
                <w:rFonts w:eastAsia="Times New Roman" w:cstheme="minorHAnsi"/>
                <w:b/>
                <w:bCs/>
                <w:sz w:val="22"/>
              </w:rPr>
            </w:pPr>
            <w:r w:rsidRPr="006D0778">
              <w:rPr>
                <w:rFonts w:eastAsia="Times New Roman" w:cstheme="minorHAnsi"/>
                <w:b/>
                <w:bCs/>
                <w:sz w:val="22"/>
              </w:rPr>
              <w:t>Укупна имовина</w:t>
            </w:r>
          </w:p>
        </w:tc>
        <w:tc>
          <w:tcPr>
            <w:tcW w:w="1273" w:type="dxa"/>
            <w:tcBorders>
              <w:top w:val="nil"/>
              <w:left w:val="nil"/>
              <w:bottom w:val="nil"/>
              <w:right w:val="nil"/>
            </w:tcBorders>
            <w:shd w:val="clear" w:color="000000" w:fill="FFFFFF"/>
            <w:noWrap/>
            <w:vAlign w:val="center"/>
            <w:hideMark/>
          </w:tcPr>
          <w:p w14:paraId="1E0F9C58" w14:textId="77777777" w:rsidR="006D0778" w:rsidRPr="006D0778" w:rsidRDefault="006D0778" w:rsidP="006D0778">
            <w:pPr>
              <w:spacing w:after="0"/>
              <w:jc w:val="center"/>
              <w:rPr>
                <w:rFonts w:eastAsia="Times New Roman" w:cstheme="minorHAnsi"/>
                <w:sz w:val="22"/>
              </w:rPr>
            </w:pPr>
            <w:r w:rsidRPr="006D0778">
              <w:rPr>
                <w:rFonts w:eastAsia="Times New Roman" w:cstheme="minorHAnsi"/>
                <w:sz w:val="22"/>
              </w:rPr>
              <w:t>3.217</w:t>
            </w:r>
          </w:p>
        </w:tc>
        <w:tc>
          <w:tcPr>
            <w:tcW w:w="1273" w:type="dxa"/>
            <w:tcBorders>
              <w:top w:val="nil"/>
              <w:left w:val="nil"/>
              <w:bottom w:val="nil"/>
              <w:right w:val="nil"/>
            </w:tcBorders>
            <w:shd w:val="clear" w:color="000000" w:fill="FFFFFF"/>
            <w:noWrap/>
            <w:vAlign w:val="center"/>
            <w:hideMark/>
          </w:tcPr>
          <w:p w14:paraId="57EDA612" w14:textId="77777777" w:rsidR="006D0778" w:rsidRPr="006D0778" w:rsidRDefault="006D0778" w:rsidP="006D0778">
            <w:pPr>
              <w:spacing w:after="0"/>
              <w:jc w:val="center"/>
              <w:rPr>
                <w:rFonts w:eastAsia="Times New Roman" w:cstheme="minorHAnsi"/>
                <w:sz w:val="22"/>
              </w:rPr>
            </w:pPr>
            <w:r w:rsidRPr="006D0778">
              <w:rPr>
                <w:rFonts w:eastAsia="Times New Roman" w:cstheme="minorHAnsi"/>
                <w:sz w:val="22"/>
              </w:rPr>
              <w:t>3.454</w:t>
            </w:r>
          </w:p>
        </w:tc>
        <w:tc>
          <w:tcPr>
            <w:tcW w:w="1263" w:type="dxa"/>
            <w:tcBorders>
              <w:top w:val="nil"/>
              <w:left w:val="nil"/>
              <w:bottom w:val="nil"/>
              <w:right w:val="nil"/>
            </w:tcBorders>
            <w:shd w:val="clear" w:color="000000" w:fill="FFFFFF"/>
            <w:noWrap/>
            <w:vAlign w:val="center"/>
            <w:hideMark/>
          </w:tcPr>
          <w:p w14:paraId="5308F307" w14:textId="77777777" w:rsidR="006D0778" w:rsidRPr="006D0778" w:rsidRDefault="006D0778" w:rsidP="006D0778">
            <w:pPr>
              <w:spacing w:after="0"/>
              <w:jc w:val="center"/>
              <w:rPr>
                <w:rFonts w:eastAsia="Times New Roman" w:cstheme="minorHAnsi"/>
                <w:sz w:val="22"/>
              </w:rPr>
            </w:pPr>
            <w:r w:rsidRPr="006D0778">
              <w:rPr>
                <w:rFonts w:eastAsia="Times New Roman" w:cstheme="minorHAnsi"/>
                <w:sz w:val="22"/>
              </w:rPr>
              <w:t>3.587</w:t>
            </w:r>
          </w:p>
        </w:tc>
        <w:tc>
          <w:tcPr>
            <w:tcW w:w="1854" w:type="dxa"/>
            <w:tcBorders>
              <w:top w:val="nil"/>
              <w:left w:val="nil"/>
              <w:bottom w:val="nil"/>
              <w:right w:val="nil"/>
            </w:tcBorders>
            <w:shd w:val="clear" w:color="000000" w:fill="FFFFFF"/>
            <w:noWrap/>
            <w:vAlign w:val="center"/>
            <w:hideMark/>
          </w:tcPr>
          <w:p w14:paraId="1960425D" w14:textId="0C4ECD64" w:rsidR="006D0778" w:rsidRPr="006D0778" w:rsidRDefault="00101941" w:rsidP="006D0778">
            <w:pPr>
              <w:spacing w:after="0"/>
              <w:jc w:val="center"/>
              <w:rPr>
                <w:rFonts w:eastAsia="Times New Roman" w:cstheme="minorHAnsi"/>
                <w:sz w:val="22"/>
              </w:rPr>
            </w:pPr>
            <w:r>
              <w:rPr>
                <w:rFonts w:eastAsia="Times New Roman" w:cstheme="minorHAnsi"/>
                <w:sz w:val="22"/>
              </w:rPr>
              <w:t>3.615</w:t>
            </w:r>
          </w:p>
        </w:tc>
      </w:tr>
      <w:tr w:rsidR="006D0778" w:rsidRPr="006D0778" w14:paraId="18FA46EB" w14:textId="77777777" w:rsidTr="00D2109C">
        <w:trPr>
          <w:trHeight w:val="25"/>
        </w:trPr>
        <w:tc>
          <w:tcPr>
            <w:tcW w:w="3294" w:type="dxa"/>
            <w:tcBorders>
              <w:top w:val="nil"/>
              <w:left w:val="nil"/>
              <w:bottom w:val="nil"/>
              <w:right w:val="nil"/>
            </w:tcBorders>
            <w:shd w:val="clear" w:color="000000" w:fill="FFFFFF"/>
            <w:noWrap/>
            <w:vAlign w:val="center"/>
            <w:hideMark/>
          </w:tcPr>
          <w:p w14:paraId="26FB5A35" w14:textId="77777777" w:rsidR="006D0778" w:rsidRPr="006D0778" w:rsidRDefault="006D0778" w:rsidP="006D0778">
            <w:pPr>
              <w:spacing w:after="0"/>
              <w:rPr>
                <w:rFonts w:eastAsia="Times New Roman" w:cstheme="minorHAnsi"/>
                <w:sz w:val="22"/>
              </w:rPr>
            </w:pPr>
            <w:r w:rsidRPr="006D0778">
              <w:rPr>
                <w:rFonts w:eastAsia="Times New Roman" w:cstheme="minorHAnsi"/>
                <w:sz w:val="22"/>
              </w:rPr>
              <w:t>Стална имовина</w:t>
            </w:r>
          </w:p>
        </w:tc>
        <w:tc>
          <w:tcPr>
            <w:tcW w:w="1273" w:type="dxa"/>
            <w:tcBorders>
              <w:top w:val="nil"/>
              <w:left w:val="nil"/>
              <w:bottom w:val="nil"/>
              <w:right w:val="nil"/>
            </w:tcBorders>
            <w:shd w:val="clear" w:color="000000" w:fill="FFFFFF"/>
            <w:noWrap/>
            <w:vAlign w:val="center"/>
            <w:hideMark/>
          </w:tcPr>
          <w:p w14:paraId="13C0674B" w14:textId="77777777" w:rsidR="006D0778" w:rsidRPr="006D0778" w:rsidRDefault="006D0778" w:rsidP="006D0778">
            <w:pPr>
              <w:spacing w:after="0"/>
              <w:jc w:val="center"/>
              <w:rPr>
                <w:rFonts w:eastAsia="Times New Roman" w:cstheme="minorHAnsi"/>
                <w:sz w:val="22"/>
              </w:rPr>
            </w:pPr>
            <w:r w:rsidRPr="006D0778">
              <w:rPr>
                <w:rFonts w:eastAsia="Times New Roman" w:cstheme="minorHAnsi"/>
                <w:sz w:val="22"/>
              </w:rPr>
              <w:t>2.872</w:t>
            </w:r>
          </w:p>
        </w:tc>
        <w:tc>
          <w:tcPr>
            <w:tcW w:w="1273" w:type="dxa"/>
            <w:tcBorders>
              <w:top w:val="nil"/>
              <w:left w:val="nil"/>
              <w:bottom w:val="nil"/>
              <w:right w:val="nil"/>
            </w:tcBorders>
            <w:shd w:val="clear" w:color="000000" w:fill="FFFFFF"/>
            <w:noWrap/>
            <w:vAlign w:val="center"/>
            <w:hideMark/>
          </w:tcPr>
          <w:p w14:paraId="57475906" w14:textId="77777777" w:rsidR="006D0778" w:rsidRPr="006D0778" w:rsidRDefault="006D0778" w:rsidP="006D0778">
            <w:pPr>
              <w:spacing w:after="0"/>
              <w:jc w:val="center"/>
              <w:rPr>
                <w:rFonts w:eastAsia="Times New Roman" w:cstheme="minorHAnsi"/>
                <w:sz w:val="22"/>
              </w:rPr>
            </w:pPr>
            <w:r w:rsidRPr="006D0778">
              <w:rPr>
                <w:rFonts w:eastAsia="Times New Roman" w:cstheme="minorHAnsi"/>
                <w:sz w:val="22"/>
              </w:rPr>
              <w:t>2.936</w:t>
            </w:r>
          </w:p>
        </w:tc>
        <w:tc>
          <w:tcPr>
            <w:tcW w:w="1263" w:type="dxa"/>
            <w:tcBorders>
              <w:top w:val="nil"/>
              <w:left w:val="nil"/>
              <w:bottom w:val="nil"/>
              <w:right w:val="nil"/>
            </w:tcBorders>
            <w:shd w:val="clear" w:color="000000" w:fill="FFFFFF"/>
            <w:noWrap/>
            <w:vAlign w:val="center"/>
            <w:hideMark/>
          </w:tcPr>
          <w:p w14:paraId="672F1E88" w14:textId="77777777" w:rsidR="006D0778" w:rsidRPr="006D0778" w:rsidRDefault="006D0778" w:rsidP="006D0778">
            <w:pPr>
              <w:spacing w:after="0"/>
              <w:jc w:val="center"/>
              <w:rPr>
                <w:rFonts w:eastAsia="Times New Roman" w:cstheme="minorHAnsi"/>
                <w:sz w:val="22"/>
              </w:rPr>
            </w:pPr>
            <w:r w:rsidRPr="006D0778">
              <w:rPr>
                <w:rFonts w:eastAsia="Times New Roman" w:cstheme="minorHAnsi"/>
                <w:sz w:val="22"/>
              </w:rPr>
              <w:t>3.074</w:t>
            </w:r>
          </w:p>
        </w:tc>
        <w:tc>
          <w:tcPr>
            <w:tcW w:w="1854" w:type="dxa"/>
            <w:tcBorders>
              <w:top w:val="nil"/>
              <w:left w:val="nil"/>
              <w:bottom w:val="nil"/>
              <w:right w:val="nil"/>
            </w:tcBorders>
            <w:shd w:val="clear" w:color="000000" w:fill="FFFFFF"/>
            <w:noWrap/>
            <w:vAlign w:val="center"/>
            <w:hideMark/>
          </w:tcPr>
          <w:p w14:paraId="15B34211" w14:textId="77777777" w:rsidR="006D0778" w:rsidRPr="006D0778" w:rsidRDefault="006D0778" w:rsidP="006D0778">
            <w:pPr>
              <w:spacing w:after="0"/>
              <w:jc w:val="center"/>
              <w:rPr>
                <w:rFonts w:eastAsia="Times New Roman" w:cstheme="minorHAnsi"/>
                <w:sz w:val="22"/>
              </w:rPr>
            </w:pPr>
            <w:r w:rsidRPr="006D0778">
              <w:rPr>
                <w:rFonts w:eastAsia="Times New Roman" w:cstheme="minorHAnsi"/>
                <w:sz w:val="22"/>
              </w:rPr>
              <w:t>3.166</w:t>
            </w:r>
          </w:p>
        </w:tc>
      </w:tr>
      <w:tr w:rsidR="006D0778" w:rsidRPr="006D0778" w14:paraId="0C3634F9" w14:textId="77777777" w:rsidTr="00D2109C">
        <w:trPr>
          <w:trHeight w:val="25"/>
        </w:trPr>
        <w:tc>
          <w:tcPr>
            <w:tcW w:w="3294" w:type="dxa"/>
            <w:tcBorders>
              <w:top w:val="nil"/>
              <w:left w:val="nil"/>
              <w:bottom w:val="nil"/>
              <w:right w:val="nil"/>
            </w:tcBorders>
            <w:shd w:val="clear" w:color="000000" w:fill="FFFFFF"/>
            <w:noWrap/>
            <w:vAlign w:val="center"/>
            <w:hideMark/>
          </w:tcPr>
          <w:p w14:paraId="547F5673" w14:textId="77777777" w:rsidR="006D0778" w:rsidRPr="006D0778" w:rsidRDefault="006D0778" w:rsidP="006D0778">
            <w:pPr>
              <w:spacing w:after="0"/>
              <w:rPr>
                <w:rFonts w:eastAsia="Times New Roman" w:cstheme="minorHAnsi"/>
                <w:sz w:val="22"/>
              </w:rPr>
            </w:pPr>
            <w:r w:rsidRPr="006D0778">
              <w:rPr>
                <w:rFonts w:eastAsia="Times New Roman" w:cstheme="minorHAnsi"/>
                <w:sz w:val="22"/>
              </w:rPr>
              <w:t>Обртна имовина</w:t>
            </w:r>
          </w:p>
        </w:tc>
        <w:tc>
          <w:tcPr>
            <w:tcW w:w="1273" w:type="dxa"/>
            <w:tcBorders>
              <w:top w:val="nil"/>
              <w:left w:val="nil"/>
              <w:bottom w:val="nil"/>
              <w:right w:val="nil"/>
            </w:tcBorders>
            <w:shd w:val="clear" w:color="000000" w:fill="FFFFFF"/>
            <w:noWrap/>
            <w:vAlign w:val="center"/>
            <w:hideMark/>
          </w:tcPr>
          <w:p w14:paraId="342452A5" w14:textId="77777777" w:rsidR="006D0778" w:rsidRPr="006D0778" w:rsidRDefault="006D0778" w:rsidP="006D0778">
            <w:pPr>
              <w:spacing w:after="0"/>
              <w:jc w:val="center"/>
              <w:rPr>
                <w:rFonts w:eastAsia="Times New Roman" w:cstheme="minorHAnsi"/>
                <w:sz w:val="22"/>
              </w:rPr>
            </w:pPr>
            <w:r w:rsidRPr="006D0778">
              <w:rPr>
                <w:rFonts w:eastAsia="Times New Roman" w:cstheme="minorHAnsi"/>
                <w:sz w:val="22"/>
              </w:rPr>
              <w:t>340</w:t>
            </w:r>
          </w:p>
        </w:tc>
        <w:tc>
          <w:tcPr>
            <w:tcW w:w="1273" w:type="dxa"/>
            <w:tcBorders>
              <w:top w:val="nil"/>
              <w:left w:val="nil"/>
              <w:bottom w:val="nil"/>
              <w:right w:val="nil"/>
            </w:tcBorders>
            <w:shd w:val="clear" w:color="000000" w:fill="FFFFFF"/>
            <w:noWrap/>
            <w:vAlign w:val="center"/>
            <w:hideMark/>
          </w:tcPr>
          <w:p w14:paraId="708347C0" w14:textId="77777777" w:rsidR="006D0778" w:rsidRPr="006D0778" w:rsidRDefault="006D0778" w:rsidP="006D0778">
            <w:pPr>
              <w:spacing w:after="0"/>
              <w:jc w:val="center"/>
              <w:rPr>
                <w:rFonts w:eastAsia="Times New Roman" w:cstheme="minorHAnsi"/>
                <w:sz w:val="22"/>
              </w:rPr>
            </w:pPr>
            <w:r w:rsidRPr="006D0778">
              <w:rPr>
                <w:rFonts w:eastAsia="Times New Roman" w:cstheme="minorHAnsi"/>
                <w:sz w:val="22"/>
              </w:rPr>
              <w:t>513</w:t>
            </w:r>
          </w:p>
        </w:tc>
        <w:tc>
          <w:tcPr>
            <w:tcW w:w="1263" w:type="dxa"/>
            <w:tcBorders>
              <w:top w:val="nil"/>
              <w:left w:val="nil"/>
              <w:bottom w:val="nil"/>
              <w:right w:val="nil"/>
            </w:tcBorders>
            <w:shd w:val="clear" w:color="000000" w:fill="FFFFFF"/>
            <w:noWrap/>
            <w:vAlign w:val="center"/>
            <w:hideMark/>
          </w:tcPr>
          <w:p w14:paraId="77647959" w14:textId="77777777" w:rsidR="006D0778" w:rsidRPr="006D0778" w:rsidRDefault="006D0778" w:rsidP="006D0778">
            <w:pPr>
              <w:spacing w:after="0"/>
              <w:jc w:val="center"/>
              <w:rPr>
                <w:rFonts w:eastAsia="Times New Roman" w:cstheme="minorHAnsi"/>
                <w:sz w:val="22"/>
              </w:rPr>
            </w:pPr>
            <w:r w:rsidRPr="006D0778">
              <w:rPr>
                <w:rFonts w:eastAsia="Times New Roman" w:cstheme="minorHAnsi"/>
                <w:sz w:val="22"/>
              </w:rPr>
              <w:t>507</w:t>
            </w:r>
          </w:p>
        </w:tc>
        <w:tc>
          <w:tcPr>
            <w:tcW w:w="1854" w:type="dxa"/>
            <w:tcBorders>
              <w:top w:val="nil"/>
              <w:left w:val="nil"/>
              <w:bottom w:val="nil"/>
              <w:right w:val="nil"/>
            </w:tcBorders>
            <w:shd w:val="clear" w:color="000000" w:fill="FFFFFF"/>
            <w:noWrap/>
            <w:vAlign w:val="center"/>
            <w:hideMark/>
          </w:tcPr>
          <w:p w14:paraId="64903B0C" w14:textId="77777777" w:rsidR="006D0778" w:rsidRPr="006D0778" w:rsidRDefault="006D0778" w:rsidP="006D0778">
            <w:pPr>
              <w:spacing w:after="0"/>
              <w:jc w:val="center"/>
              <w:rPr>
                <w:rFonts w:eastAsia="Times New Roman" w:cstheme="minorHAnsi"/>
                <w:sz w:val="22"/>
              </w:rPr>
            </w:pPr>
            <w:r w:rsidRPr="006D0778">
              <w:rPr>
                <w:rFonts w:eastAsia="Times New Roman" w:cstheme="minorHAnsi"/>
                <w:sz w:val="22"/>
              </w:rPr>
              <w:t>444</w:t>
            </w:r>
          </w:p>
        </w:tc>
      </w:tr>
      <w:tr w:rsidR="006D0778" w:rsidRPr="006D0778" w14:paraId="5031CBB7" w14:textId="77777777" w:rsidTr="00D2109C">
        <w:trPr>
          <w:trHeight w:val="25"/>
        </w:trPr>
        <w:tc>
          <w:tcPr>
            <w:tcW w:w="3294" w:type="dxa"/>
            <w:tcBorders>
              <w:top w:val="nil"/>
              <w:left w:val="nil"/>
              <w:bottom w:val="nil"/>
              <w:right w:val="nil"/>
            </w:tcBorders>
            <w:shd w:val="clear" w:color="000000" w:fill="FFFFFF"/>
            <w:noWrap/>
            <w:vAlign w:val="center"/>
            <w:hideMark/>
          </w:tcPr>
          <w:p w14:paraId="169AE05E" w14:textId="77777777" w:rsidR="006D0778" w:rsidRPr="006D0778" w:rsidRDefault="006D0778" w:rsidP="006D0778">
            <w:pPr>
              <w:spacing w:after="0"/>
              <w:rPr>
                <w:rFonts w:eastAsia="Times New Roman" w:cstheme="minorHAnsi"/>
                <w:b/>
                <w:bCs/>
                <w:sz w:val="22"/>
              </w:rPr>
            </w:pPr>
            <w:r w:rsidRPr="006D0778">
              <w:rPr>
                <w:rFonts w:eastAsia="Times New Roman" w:cstheme="minorHAnsi"/>
                <w:b/>
                <w:bCs/>
                <w:sz w:val="22"/>
              </w:rPr>
              <w:t>Укупни капитал</w:t>
            </w:r>
          </w:p>
        </w:tc>
        <w:tc>
          <w:tcPr>
            <w:tcW w:w="1273" w:type="dxa"/>
            <w:tcBorders>
              <w:top w:val="nil"/>
              <w:left w:val="nil"/>
              <w:bottom w:val="nil"/>
              <w:right w:val="nil"/>
            </w:tcBorders>
            <w:shd w:val="clear" w:color="000000" w:fill="FFFFFF"/>
            <w:noWrap/>
            <w:vAlign w:val="center"/>
            <w:hideMark/>
          </w:tcPr>
          <w:p w14:paraId="4E9E3A8F" w14:textId="77777777" w:rsidR="006D0778" w:rsidRPr="006D0778" w:rsidRDefault="006D0778" w:rsidP="006D0778">
            <w:pPr>
              <w:spacing w:after="0"/>
              <w:jc w:val="center"/>
              <w:rPr>
                <w:rFonts w:eastAsia="Times New Roman" w:cstheme="minorHAnsi"/>
                <w:sz w:val="22"/>
              </w:rPr>
            </w:pPr>
            <w:r w:rsidRPr="006D0778">
              <w:rPr>
                <w:rFonts w:eastAsia="Times New Roman" w:cstheme="minorHAnsi"/>
                <w:sz w:val="22"/>
              </w:rPr>
              <w:t>1.963</w:t>
            </w:r>
          </w:p>
        </w:tc>
        <w:tc>
          <w:tcPr>
            <w:tcW w:w="1273" w:type="dxa"/>
            <w:tcBorders>
              <w:top w:val="nil"/>
              <w:left w:val="nil"/>
              <w:bottom w:val="nil"/>
              <w:right w:val="nil"/>
            </w:tcBorders>
            <w:shd w:val="clear" w:color="000000" w:fill="FFFFFF"/>
            <w:noWrap/>
            <w:vAlign w:val="center"/>
            <w:hideMark/>
          </w:tcPr>
          <w:p w14:paraId="27395392" w14:textId="77777777" w:rsidR="006D0778" w:rsidRPr="006D0778" w:rsidRDefault="006D0778" w:rsidP="006D0778">
            <w:pPr>
              <w:spacing w:after="0"/>
              <w:jc w:val="center"/>
              <w:rPr>
                <w:rFonts w:eastAsia="Times New Roman" w:cstheme="minorHAnsi"/>
                <w:sz w:val="22"/>
              </w:rPr>
            </w:pPr>
            <w:r w:rsidRPr="006D0778">
              <w:rPr>
                <w:rFonts w:eastAsia="Times New Roman" w:cstheme="minorHAnsi"/>
                <w:sz w:val="22"/>
              </w:rPr>
              <w:t>1.896</w:t>
            </w:r>
          </w:p>
        </w:tc>
        <w:tc>
          <w:tcPr>
            <w:tcW w:w="1263" w:type="dxa"/>
            <w:tcBorders>
              <w:top w:val="nil"/>
              <w:left w:val="nil"/>
              <w:bottom w:val="nil"/>
              <w:right w:val="nil"/>
            </w:tcBorders>
            <w:shd w:val="clear" w:color="000000" w:fill="FFFFFF"/>
            <w:noWrap/>
            <w:vAlign w:val="center"/>
            <w:hideMark/>
          </w:tcPr>
          <w:p w14:paraId="5D47D6CA" w14:textId="77777777" w:rsidR="006D0778" w:rsidRPr="006D0778" w:rsidRDefault="006D0778" w:rsidP="006D0778">
            <w:pPr>
              <w:spacing w:after="0"/>
              <w:jc w:val="center"/>
              <w:rPr>
                <w:rFonts w:eastAsia="Times New Roman" w:cstheme="minorHAnsi"/>
                <w:sz w:val="22"/>
              </w:rPr>
            </w:pPr>
            <w:r w:rsidRPr="006D0778">
              <w:rPr>
                <w:rFonts w:eastAsia="Times New Roman" w:cstheme="minorHAnsi"/>
                <w:sz w:val="22"/>
              </w:rPr>
              <w:t>2.048</w:t>
            </w:r>
          </w:p>
        </w:tc>
        <w:tc>
          <w:tcPr>
            <w:tcW w:w="1854" w:type="dxa"/>
            <w:tcBorders>
              <w:top w:val="nil"/>
              <w:left w:val="nil"/>
              <w:bottom w:val="nil"/>
              <w:right w:val="nil"/>
            </w:tcBorders>
            <w:shd w:val="clear" w:color="000000" w:fill="FFFFFF"/>
            <w:noWrap/>
            <w:vAlign w:val="center"/>
            <w:hideMark/>
          </w:tcPr>
          <w:p w14:paraId="2807D98D" w14:textId="77777777" w:rsidR="006D0778" w:rsidRPr="006D0778" w:rsidRDefault="006D0778" w:rsidP="006D0778">
            <w:pPr>
              <w:spacing w:after="0"/>
              <w:jc w:val="center"/>
              <w:rPr>
                <w:rFonts w:eastAsia="Times New Roman" w:cstheme="minorHAnsi"/>
                <w:sz w:val="22"/>
              </w:rPr>
            </w:pPr>
            <w:r w:rsidRPr="006D0778">
              <w:rPr>
                <w:rFonts w:eastAsia="Times New Roman" w:cstheme="minorHAnsi"/>
                <w:sz w:val="22"/>
              </w:rPr>
              <w:t>2.079</w:t>
            </w:r>
          </w:p>
        </w:tc>
      </w:tr>
      <w:tr w:rsidR="006D0778" w:rsidRPr="006D0778" w14:paraId="6F59D0D9" w14:textId="77777777" w:rsidTr="00D2109C">
        <w:trPr>
          <w:trHeight w:val="25"/>
        </w:trPr>
        <w:tc>
          <w:tcPr>
            <w:tcW w:w="3294" w:type="dxa"/>
            <w:tcBorders>
              <w:top w:val="nil"/>
              <w:left w:val="nil"/>
              <w:bottom w:val="nil"/>
              <w:right w:val="nil"/>
            </w:tcBorders>
            <w:shd w:val="clear" w:color="000000" w:fill="FFFFFF"/>
            <w:noWrap/>
            <w:vAlign w:val="center"/>
            <w:hideMark/>
          </w:tcPr>
          <w:p w14:paraId="21610EFD" w14:textId="77777777" w:rsidR="006D0778" w:rsidRPr="006D0778" w:rsidRDefault="006D0778" w:rsidP="006D0778">
            <w:pPr>
              <w:spacing w:after="0"/>
              <w:rPr>
                <w:rFonts w:eastAsia="Times New Roman" w:cstheme="minorHAnsi"/>
                <w:b/>
                <w:bCs/>
                <w:sz w:val="22"/>
              </w:rPr>
            </w:pPr>
            <w:r w:rsidRPr="006D0778">
              <w:rPr>
                <w:rFonts w:eastAsia="Times New Roman" w:cstheme="minorHAnsi"/>
                <w:b/>
                <w:bCs/>
                <w:sz w:val="22"/>
              </w:rPr>
              <w:t>Укупне обавезе</w:t>
            </w:r>
          </w:p>
        </w:tc>
        <w:tc>
          <w:tcPr>
            <w:tcW w:w="1273" w:type="dxa"/>
            <w:tcBorders>
              <w:top w:val="nil"/>
              <w:left w:val="nil"/>
              <w:bottom w:val="nil"/>
              <w:right w:val="nil"/>
            </w:tcBorders>
            <w:shd w:val="clear" w:color="000000" w:fill="FFFFFF"/>
            <w:noWrap/>
            <w:vAlign w:val="center"/>
            <w:hideMark/>
          </w:tcPr>
          <w:p w14:paraId="2388BBC8" w14:textId="77777777" w:rsidR="006D0778" w:rsidRPr="006D0778" w:rsidRDefault="006D0778" w:rsidP="006D0778">
            <w:pPr>
              <w:spacing w:after="0"/>
              <w:jc w:val="center"/>
              <w:rPr>
                <w:rFonts w:eastAsia="Times New Roman" w:cstheme="minorHAnsi"/>
                <w:sz w:val="22"/>
              </w:rPr>
            </w:pPr>
            <w:r w:rsidRPr="006D0778">
              <w:rPr>
                <w:rFonts w:eastAsia="Times New Roman" w:cstheme="minorHAnsi"/>
                <w:sz w:val="22"/>
              </w:rPr>
              <w:t>1.254</w:t>
            </w:r>
          </w:p>
        </w:tc>
        <w:tc>
          <w:tcPr>
            <w:tcW w:w="1273" w:type="dxa"/>
            <w:tcBorders>
              <w:top w:val="nil"/>
              <w:left w:val="nil"/>
              <w:bottom w:val="nil"/>
              <w:right w:val="nil"/>
            </w:tcBorders>
            <w:shd w:val="clear" w:color="000000" w:fill="FFFFFF"/>
            <w:noWrap/>
            <w:vAlign w:val="center"/>
            <w:hideMark/>
          </w:tcPr>
          <w:p w14:paraId="4F98A027" w14:textId="77777777" w:rsidR="006D0778" w:rsidRPr="006D0778" w:rsidRDefault="006D0778" w:rsidP="006D0778">
            <w:pPr>
              <w:spacing w:after="0"/>
              <w:jc w:val="center"/>
              <w:rPr>
                <w:rFonts w:eastAsia="Times New Roman" w:cstheme="minorHAnsi"/>
                <w:sz w:val="22"/>
              </w:rPr>
            </w:pPr>
            <w:r w:rsidRPr="006D0778">
              <w:rPr>
                <w:rFonts w:eastAsia="Times New Roman" w:cstheme="minorHAnsi"/>
                <w:sz w:val="22"/>
              </w:rPr>
              <w:t>1.558</w:t>
            </w:r>
          </w:p>
        </w:tc>
        <w:tc>
          <w:tcPr>
            <w:tcW w:w="1263" w:type="dxa"/>
            <w:tcBorders>
              <w:top w:val="nil"/>
              <w:left w:val="nil"/>
              <w:bottom w:val="nil"/>
              <w:right w:val="nil"/>
            </w:tcBorders>
            <w:shd w:val="clear" w:color="000000" w:fill="FFFFFF"/>
            <w:noWrap/>
            <w:vAlign w:val="center"/>
            <w:hideMark/>
          </w:tcPr>
          <w:p w14:paraId="2D44D05C" w14:textId="77777777" w:rsidR="006D0778" w:rsidRPr="006D0778" w:rsidRDefault="006D0778" w:rsidP="006D0778">
            <w:pPr>
              <w:spacing w:after="0"/>
              <w:jc w:val="center"/>
              <w:rPr>
                <w:rFonts w:eastAsia="Times New Roman" w:cstheme="minorHAnsi"/>
                <w:sz w:val="22"/>
              </w:rPr>
            </w:pPr>
            <w:r w:rsidRPr="006D0778">
              <w:rPr>
                <w:rFonts w:eastAsia="Times New Roman" w:cstheme="minorHAnsi"/>
                <w:sz w:val="22"/>
              </w:rPr>
              <w:t>1.539</w:t>
            </w:r>
          </w:p>
        </w:tc>
        <w:tc>
          <w:tcPr>
            <w:tcW w:w="1854" w:type="dxa"/>
            <w:tcBorders>
              <w:top w:val="nil"/>
              <w:left w:val="nil"/>
              <w:bottom w:val="nil"/>
              <w:right w:val="nil"/>
            </w:tcBorders>
            <w:shd w:val="clear" w:color="000000" w:fill="FFFFFF"/>
            <w:noWrap/>
            <w:vAlign w:val="center"/>
            <w:hideMark/>
          </w:tcPr>
          <w:p w14:paraId="43FA2B3E" w14:textId="77777777" w:rsidR="006D0778" w:rsidRPr="006D0778" w:rsidRDefault="006D0778" w:rsidP="006D0778">
            <w:pPr>
              <w:spacing w:after="0"/>
              <w:jc w:val="center"/>
              <w:rPr>
                <w:rFonts w:eastAsia="Times New Roman" w:cstheme="minorHAnsi"/>
                <w:sz w:val="22"/>
              </w:rPr>
            </w:pPr>
            <w:r w:rsidRPr="006D0778">
              <w:rPr>
                <w:rFonts w:eastAsia="Times New Roman" w:cstheme="minorHAnsi"/>
                <w:sz w:val="22"/>
              </w:rPr>
              <w:t>1.536</w:t>
            </w:r>
          </w:p>
        </w:tc>
      </w:tr>
      <w:tr w:rsidR="006D0778" w:rsidRPr="006D0778" w14:paraId="2D7C76DF" w14:textId="77777777" w:rsidTr="00D2109C">
        <w:trPr>
          <w:trHeight w:val="25"/>
        </w:trPr>
        <w:tc>
          <w:tcPr>
            <w:tcW w:w="3294" w:type="dxa"/>
            <w:tcBorders>
              <w:top w:val="nil"/>
              <w:left w:val="nil"/>
              <w:bottom w:val="single" w:sz="4" w:space="0" w:color="002060"/>
              <w:right w:val="nil"/>
            </w:tcBorders>
            <w:shd w:val="clear" w:color="000000" w:fill="FFFFFF"/>
            <w:noWrap/>
            <w:vAlign w:val="center"/>
            <w:hideMark/>
          </w:tcPr>
          <w:p w14:paraId="63AE012D" w14:textId="77777777" w:rsidR="006D0778" w:rsidRPr="006D0778" w:rsidRDefault="006D0778" w:rsidP="006D0778">
            <w:pPr>
              <w:spacing w:after="0"/>
              <w:rPr>
                <w:rFonts w:eastAsia="Times New Roman" w:cstheme="minorHAnsi"/>
                <w:sz w:val="22"/>
              </w:rPr>
            </w:pPr>
            <w:r w:rsidRPr="006D0778">
              <w:rPr>
                <w:rFonts w:eastAsia="Times New Roman" w:cstheme="minorHAnsi"/>
                <w:sz w:val="22"/>
              </w:rPr>
              <w:t>Кредитне обавезе</w:t>
            </w:r>
          </w:p>
        </w:tc>
        <w:tc>
          <w:tcPr>
            <w:tcW w:w="1273" w:type="dxa"/>
            <w:tcBorders>
              <w:top w:val="nil"/>
              <w:left w:val="nil"/>
              <w:bottom w:val="single" w:sz="4" w:space="0" w:color="002060"/>
              <w:right w:val="nil"/>
            </w:tcBorders>
            <w:shd w:val="clear" w:color="000000" w:fill="FFFFFF"/>
            <w:noWrap/>
            <w:vAlign w:val="center"/>
            <w:hideMark/>
          </w:tcPr>
          <w:p w14:paraId="25700E5D" w14:textId="77777777" w:rsidR="006D0778" w:rsidRPr="006D0778" w:rsidRDefault="006D0778" w:rsidP="006D0778">
            <w:pPr>
              <w:spacing w:after="0"/>
              <w:jc w:val="center"/>
              <w:rPr>
                <w:rFonts w:eastAsia="Times New Roman" w:cstheme="minorHAnsi"/>
                <w:sz w:val="22"/>
              </w:rPr>
            </w:pPr>
            <w:r w:rsidRPr="006D0778">
              <w:rPr>
                <w:rFonts w:eastAsia="Times New Roman" w:cstheme="minorHAnsi"/>
                <w:sz w:val="22"/>
              </w:rPr>
              <w:t>500</w:t>
            </w:r>
          </w:p>
        </w:tc>
        <w:tc>
          <w:tcPr>
            <w:tcW w:w="1273" w:type="dxa"/>
            <w:tcBorders>
              <w:top w:val="nil"/>
              <w:left w:val="nil"/>
              <w:bottom w:val="single" w:sz="4" w:space="0" w:color="002060"/>
              <w:right w:val="nil"/>
            </w:tcBorders>
            <w:shd w:val="clear" w:color="000000" w:fill="FFFFFF"/>
            <w:noWrap/>
            <w:vAlign w:val="center"/>
            <w:hideMark/>
          </w:tcPr>
          <w:p w14:paraId="56E3D8A8" w14:textId="77777777" w:rsidR="006D0778" w:rsidRPr="006D0778" w:rsidRDefault="006D0778" w:rsidP="006D0778">
            <w:pPr>
              <w:spacing w:after="0"/>
              <w:jc w:val="center"/>
              <w:rPr>
                <w:rFonts w:eastAsia="Times New Roman" w:cstheme="minorHAnsi"/>
                <w:sz w:val="22"/>
              </w:rPr>
            </w:pPr>
            <w:r w:rsidRPr="006D0778">
              <w:rPr>
                <w:rFonts w:eastAsia="Times New Roman" w:cstheme="minorHAnsi"/>
                <w:sz w:val="22"/>
              </w:rPr>
              <w:t>650</w:t>
            </w:r>
          </w:p>
        </w:tc>
        <w:tc>
          <w:tcPr>
            <w:tcW w:w="1263" w:type="dxa"/>
            <w:tcBorders>
              <w:top w:val="nil"/>
              <w:left w:val="nil"/>
              <w:bottom w:val="single" w:sz="4" w:space="0" w:color="002060"/>
              <w:right w:val="nil"/>
            </w:tcBorders>
            <w:shd w:val="clear" w:color="000000" w:fill="FFFFFF"/>
            <w:noWrap/>
            <w:vAlign w:val="center"/>
            <w:hideMark/>
          </w:tcPr>
          <w:p w14:paraId="7DFB7AD2" w14:textId="77777777" w:rsidR="006D0778" w:rsidRPr="006D0778" w:rsidRDefault="006D0778" w:rsidP="006D0778">
            <w:pPr>
              <w:spacing w:after="0"/>
              <w:jc w:val="center"/>
              <w:rPr>
                <w:rFonts w:eastAsia="Times New Roman" w:cstheme="minorHAnsi"/>
                <w:sz w:val="22"/>
                <w:highlight w:val="yellow"/>
              </w:rPr>
            </w:pPr>
            <w:r w:rsidRPr="006D0778">
              <w:rPr>
                <w:rFonts w:eastAsia="Times New Roman" w:cstheme="minorHAnsi"/>
                <w:sz w:val="22"/>
              </w:rPr>
              <w:t>596</w:t>
            </w:r>
          </w:p>
        </w:tc>
        <w:tc>
          <w:tcPr>
            <w:tcW w:w="1854" w:type="dxa"/>
            <w:tcBorders>
              <w:top w:val="nil"/>
              <w:left w:val="nil"/>
              <w:bottom w:val="single" w:sz="4" w:space="0" w:color="002060"/>
              <w:right w:val="nil"/>
            </w:tcBorders>
            <w:shd w:val="clear" w:color="000000" w:fill="FFFFFF"/>
            <w:noWrap/>
            <w:vAlign w:val="center"/>
            <w:hideMark/>
          </w:tcPr>
          <w:p w14:paraId="33A3C9AB" w14:textId="77777777" w:rsidR="006D0778" w:rsidRPr="006D0778" w:rsidRDefault="006D0778" w:rsidP="006D0778">
            <w:pPr>
              <w:spacing w:after="0"/>
              <w:jc w:val="center"/>
              <w:rPr>
                <w:rFonts w:eastAsia="Times New Roman" w:cstheme="minorHAnsi"/>
                <w:sz w:val="22"/>
                <w:highlight w:val="yellow"/>
              </w:rPr>
            </w:pPr>
            <w:r w:rsidRPr="006D0778">
              <w:rPr>
                <w:rFonts w:eastAsia="Times New Roman" w:cstheme="minorHAnsi"/>
                <w:sz w:val="22"/>
              </w:rPr>
              <w:t>580</w:t>
            </w:r>
          </w:p>
        </w:tc>
      </w:tr>
    </w:tbl>
    <w:p w14:paraId="1AE90302" w14:textId="77777777" w:rsidR="006D0778" w:rsidRPr="006D0778" w:rsidRDefault="006D0778" w:rsidP="006D0778">
      <w:pPr>
        <w:spacing w:line="276" w:lineRule="auto"/>
        <w:rPr>
          <w:rFonts w:eastAsia="Calibri" w:cs="Times New Roman"/>
          <w:bCs/>
          <w:sz w:val="16"/>
          <w:szCs w:val="24"/>
          <w:lang w:val="sr-Cyrl-RS" w:eastAsia="ja-JP"/>
        </w:rPr>
      </w:pPr>
      <w:r w:rsidRPr="006D0778">
        <w:rPr>
          <w:rFonts w:eastAsia="Calibri" w:cs="Times New Roman"/>
          <w:bCs/>
          <w:sz w:val="16"/>
          <w:szCs w:val="24"/>
          <w:lang w:val="sr-Cyrl-RS" w:eastAsia="ja-JP"/>
        </w:rPr>
        <w:t xml:space="preserve"> Извор: Финансијски извештаји (АПР) и квартални извештаји за 2024. годину</w:t>
      </w:r>
    </w:p>
    <w:p w14:paraId="78252DD4" w14:textId="77777777" w:rsidR="006D0778" w:rsidRPr="006D0778" w:rsidRDefault="006D0778" w:rsidP="006D0778">
      <w:pPr>
        <w:rPr>
          <w:rFonts w:eastAsia="MS PGothic" w:cstheme="minorHAnsi"/>
          <w:szCs w:val="20"/>
          <w:lang w:val="sr-Cyrl-RS" w:eastAsia="ja-JP"/>
        </w:rPr>
      </w:pPr>
      <w:r w:rsidRPr="006D0778">
        <w:rPr>
          <w:rFonts w:eastAsia="MS PGothic" w:cstheme="minorHAnsi"/>
          <w:szCs w:val="20"/>
          <w:lang w:val="sr-Cyrl-RS" w:eastAsia="ja-JP"/>
        </w:rPr>
        <w:t xml:space="preserve">Укупан нето резултат утврђен у трећем кварталу 2024. године је добитак у износу од 31,5 млрд динара. Резултат текуће године је прецењен за трошкове амортизације ЈП „Путеви Србије”, јер предузеће ове трошкове књижи тек на крају године у целокупном износу за дату годину. Пословни приходи и укупни приходи код државних предузећа бележе растући тренд и у последње три године најбоље остварење забележено је на крају 2023. године, док је код пословних расхода и укупних расхода дошло до смањења у односу на 2022. годину што је у складу са рационалнијим пословањем предузећа. </w:t>
      </w:r>
    </w:p>
    <w:p w14:paraId="455C1082" w14:textId="30A298D0" w:rsidR="006D0778" w:rsidRPr="006D0778" w:rsidRDefault="006D0778" w:rsidP="006D0778">
      <w:pPr>
        <w:rPr>
          <w:rFonts w:eastAsia="MS PGothic" w:cstheme="minorHAnsi"/>
          <w:szCs w:val="20"/>
          <w:lang w:eastAsia="ja-JP"/>
        </w:rPr>
      </w:pPr>
      <w:r w:rsidRPr="006D0778">
        <w:rPr>
          <w:rFonts w:eastAsia="MS PGothic" w:cstheme="minorHAnsi"/>
          <w:szCs w:val="20"/>
          <w:lang w:eastAsia="ja-JP"/>
        </w:rPr>
        <w:t>Нето резултат на крају 2023. године остварен је у позитивном износу од 114,3 млрд динара, што представља значајно побољшање у односу на претходне године када су државна предузећа бележила негативан нето резултат. Највећи допринос укупном резултату државних предузећа дала је „Електропривреда Србије” а</w:t>
      </w:r>
      <w:r w:rsidR="00F25393">
        <w:rPr>
          <w:rFonts w:eastAsia="MS PGothic" w:cstheme="minorHAnsi"/>
          <w:szCs w:val="20"/>
          <w:lang w:val="sr-Cyrl-RS" w:eastAsia="ja-JP"/>
        </w:rPr>
        <w:t>.</w:t>
      </w:r>
      <w:r w:rsidRPr="006D0778">
        <w:rPr>
          <w:rFonts w:eastAsia="MS PGothic" w:cstheme="minorHAnsi"/>
          <w:szCs w:val="20"/>
          <w:lang w:eastAsia="ja-JP"/>
        </w:rPr>
        <w:t>д. При анализирању кварталних остварења финансијских показатеља потребно је узети у обзир да одређен</w:t>
      </w:r>
      <w:r w:rsidRPr="006D0778">
        <w:rPr>
          <w:rFonts w:eastAsia="MS PGothic" w:cstheme="minorHAnsi"/>
          <w:szCs w:val="20"/>
          <w:lang w:val="sr-Cyrl-RS" w:eastAsia="ja-JP"/>
        </w:rPr>
        <w:t>и</w:t>
      </w:r>
      <w:r w:rsidRPr="006D0778">
        <w:rPr>
          <w:rFonts w:eastAsia="MS PGothic" w:cstheme="minorHAnsi"/>
          <w:szCs w:val="20"/>
          <w:lang w:eastAsia="ja-JP"/>
        </w:rPr>
        <w:t xml:space="preserve"> број предузећа има сезонску компоненту у пословању.</w:t>
      </w:r>
    </w:p>
    <w:p w14:paraId="77F213AE" w14:textId="77777777" w:rsidR="006D0778" w:rsidRPr="006D0778" w:rsidRDefault="006D0778" w:rsidP="006D0778">
      <w:pPr>
        <w:keepNext/>
        <w:spacing w:after="80" w:line="276" w:lineRule="auto"/>
        <w:rPr>
          <w:rFonts w:eastAsia="Calibri" w:cs="Times New Roman"/>
          <w:szCs w:val="24"/>
          <w:lang w:val="sr-Cyrl-RS" w:eastAsia="ja-JP"/>
        </w:rPr>
      </w:pPr>
      <w:r w:rsidRPr="006D0778">
        <w:rPr>
          <w:rFonts w:eastAsia="Calibri" w:cs="Times New Roman"/>
          <w:szCs w:val="24"/>
          <w:lang w:val="sr-Cyrl-RS" w:eastAsia="ja-JP"/>
        </w:rPr>
        <w:lastRenderedPageBreak/>
        <w:t xml:space="preserve">Табела 12. </w:t>
      </w:r>
      <w:r w:rsidRPr="006D0778">
        <w:rPr>
          <w:rFonts w:eastAsia="Calibri" w:cs="Times New Roman"/>
          <w:szCs w:val="24"/>
          <w:lang w:val="sr-Cyrl-CS" w:eastAsia="ja-JP"/>
        </w:rPr>
        <w:t>Основни показатељи пословања државних предузећа на дан 30.09.2024. године</w:t>
      </w:r>
      <w:r w:rsidRPr="006D0778">
        <w:rPr>
          <w:rFonts w:eastAsia="Calibri" w:cs="Times New Roman"/>
          <w:szCs w:val="24"/>
          <w:lang w:val="sr-Cyrl-RS" w:eastAsia="ja-JP"/>
        </w:rPr>
        <w:t>, млрд динара</w:t>
      </w:r>
    </w:p>
    <w:tbl>
      <w:tblPr>
        <w:tblW w:w="5000" w:type="pct"/>
        <w:jc w:val="center"/>
        <w:tblLook w:val="04A0" w:firstRow="1" w:lastRow="0" w:firstColumn="1" w:lastColumn="0" w:noHBand="0" w:noVBand="1"/>
      </w:tblPr>
      <w:tblGrid>
        <w:gridCol w:w="4298"/>
        <w:gridCol w:w="1123"/>
        <w:gridCol w:w="1123"/>
        <w:gridCol w:w="1123"/>
        <w:gridCol w:w="1359"/>
      </w:tblGrid>
      <w:tr w:rsidR="006D0778" w:rsidRPr="006D0778" w14:paraId="70DF01CF" w14:textId="77777777" w:rsidTr="00D2109C">
        <w:trPr>
          <w:trHeight w:val="20"/>
          <w:jc w:val="center"/>
        </w:trPr>
        <w:tc>
          <w:tcPr>
            <w:tcW w:w="2381" w:type="pct"/>
            <w:tcBorders>
              <w:top w:val="single" w:sz="4" w:space="0" w:color="002060"/>
              <w:left w:val="nil"/>
              <w:bottom w:val="single" w:sz="4" w:space="0" w:color="002060"/>
              <w:right w:val="nil"/>
            </w:tcBorders>
            <w:shd w:val="clear" w:color="auto" w:fill="FFFFFF" w:themeFill="background1"/>
            <w:noWrap/>
            <w:vAlign w:val="center"/>
            <w:hideMark/>
          </w:tcPr>
          <w:p w14:paraId="1CE9ECDB" w14:textId="77777777" w:rsidR="006D0778" w:rsidRPr="006D0778" w:rsidRDefault="006D0778" w:rsidP="006D0778">
            <w:pPr>
              <w:spacing w:after="0"/>
              <w:jc w:val="center"/>
              <w:rPr>
                <w:rFonts w:eastAsia="Times New Roman" w:cs="Times New Roman"/>
                <w:b/>
                <w:bCs/>
                <w:sz w:val="22"/>
              </w:rPr>
            </w:pPr>
            <w:r w:rsidRPr="006D0778">
              <w:rPr>
                <w:rFonts w:eastAsia="Times New Roman" w:cs="Times New Roman"/>
                <w:b/>
                <w:bCs/>
                <w:sz w:val="22"/>
              </w:rPr>
              <w:t>Опис</w:t>
            </w:r>
          </w:p>
        </w:tc>
        <w:tc>
          <w:tcPr>
            <w:tcW w:w="622" w:type="pct"/>
            <w:tcBorders>
              <w:top w:val="single" w:sz="4" w:space="0" w:color="002060"/>
              <w:left w:val="nil"/>
              <w:bottom w:val="single" w:sz="4" w:space="0" w:color="002060"/>
              <w:right w:val="nil"/>
            </w:tcBorders>
            <w:shd w:val="clear" w:color="auto" w:fill="FFFFFF" w:themeFill="background1"/>
            <w:noWrap/>
            <w:vAlign w:val="center"/>
            <w:hideMark/>
          </w:tcPr>
          <w:p w14:paraId="55303DBD" w14:textId="77777777" w:rsidR="006D0778" w:rsidRPr="006D0778" w:rsidRDefault="006D0778" w:rsidP="006D0778">
            <w:pPr>
              <w:spacing w:after="0"/>
              <w:jc w:val="center"/>
              <w:rPr>
                <w:rFonts w:eastAsia="Times New Roman" w:cs="Times New Roman"/>
                <w:b/>
                <w:bCs/>
                <w:sz w:val="22"/>
              </w:rPr>
            </w:pPr>
            <w:r w:rsidRPr="006D0778">
              <w:rPr>
                <w:rFonts w:eastAsia="Times New Roman" w:cs="Times New Roman"/>
                <w:b/>
                <w:bCs/>
                <w:sz w:val="22"/>
              </w:rPr>
              <w:t>2021</w:t>
            </w:r>
          </w:p>
        </w:tc>
        <w:tc>
          <w:tcPr>
            <w:tcW w:w="622" w:type="pct"/>
            <w:tcBorders>
              <w:top w:val="single" w:sz="4" w:space="0" w:color="002060"/>
              <w:left w:val="nil"/>
              <w:bottom w:val="single" w:sz="4" w:space="0" w:color="002060"/>
              <w:right w:val="nil"/>
            </w:tcBorders>
            <w:shd w:val="clear" w:color="auto" w:fill="FFFFFF" w:themeFill="background1"/>
            <w:noWrap/>
            <w:vAlign w:val="center"/>
            <w:hideMark/>
          </w:tcPr>
          <w:p w14:paraId="36BD4DA2" w14:textId="77777777" w:rsidR="006D0778" w:rsidRPr="006D0778" w:rsidRDefault="006D0778" w:rsidP="006D0778">
            <w:pPr>
              <w:spacing w:after="0"/>
              <w:jc w:val="center"/>
              <w:rPr>
                <w:rFonts w:eastAsia="Times New Roman" w:cs="Times New Roman"/>
                <w:b/>
                <w:bCs/>
                <w:sz w:val="22"/>
              </w:rPr>
            </w:pPr>
            <w:r w:rsidRPr="006D0778">
              <w:rPr>
                <w:rFonts w:eastAsia="Times New Roman" w:cs="Times New Roman"/>
                <w:b/>
                <w:bCs/>
                <w:sz w:val="22"/>
              </w:rPr>
              <w:t>2022</w:t>
            </w:r>
          </w:p>
        </w:tc>
        <w:tc>
          <w:tcPr>
            <w:tcW w:w="622" w:type="pct"/>
            <w:tcBorders>
              <w:top w:val="single" w:sz="4" w:space="0" w:color="002060"/>
              <w:left w:val="nil"/>
              <w:bottom w:val="single" w:sz="4" w:space="0" w:color="002060"/>
              <w:right w:val="nil"/>
            </w:tcBorders>
            <w:shd w:val="clear" w:color="auto" w:fill="FFFFFF" w:themeFill="background1"/>
            <w:noWrap/>
            <w:vAlign w:val="center"/>
            <w:hideMark/>
          </w:tcPr>
          <w:p w14:paraId="17580EC1" w14:textId="77777777" w:rsidR="006D0778" w:rsidRPr="006D0778" w:rsidRDefault="006D0778" w:rsidP="006D0778">
            <w:pPr>
              <w:spacing w:after="0"/>
              <w:jc w:val="center"/>
              <w:rPr>
                <w:rFonts w:eastAsia="Times New Roman" w:cs="Times New Roman"/>
                <w:b/>
                <w:bCs/>
                <w:sz w:val="22"/>
              </w:rPr>
            </w:pPr>
            <w:r w:rsidRPr="006D0778">
              <w:rPr>
                <w:rFonts w:eastAsia="Times New Roman" w:cs="Times New Roman"/>
                <w:b/>
                <w:bCs/>
                <w:sz w:val="22"/>
              </w:rPr>
              <w:t>2023</w:t>
            </w:r>
          </w:p>
        </w:tc>
        <w:tc>
          <w:tcPr>
            <w:tcW w:w="753" w:type="pct"/>
            <w:tcBorders>
              <w:top w:val="single" w:sz="4" w:space="0" w:color="002060"/>
              <w:left w:val="nil"/>
              <w:bottom w:val="single" w:sz="4" w:space="0" w:color="002060"/>
              <w:right w:val="nil"/>
            </w:tcBorders>
            <w:shd w:val="clear" w:color="auto" w:fill="FFFFFF" w:themeFill="background1"/>
            <w:noWrap/>
            <w:vAlign w:val="center"/>
            <w:hideMark/>
          </w:tcPr>
          <w:p w14:paraId="283ABFDB" w14:textId="77777777" w:rsidR="006D0778" w:rsidRPr="006D0778" w:rsidRDefault="006D0778" w:rsidP="006D0778">
            <w:pPr>
              <w:spacing w:after="0"/>
              <w:jc w:val="center"/>
              <w:rPr>
                <w:rFonts w:eastAsia="Times New Roman" w:cs="Times New Roman"/>
                <w:b/>
                <w:bCs/>
                <w:sz w:val="22"/>
              </w:rPr>
            </w:pPr>
            <w:r w:rsidRPr="006D0778">
              <w:rPr>
                <w:rFonts w:eastAsia="Times New Roman" w:cs="Times New Roman"/>
                <w:b/>
                <w:bCs/>
                <w:sz w:val="22"/>
              </w:rPr>
              <w:t>Q3 2024</w:t>
            </w:r>
          </w:p>
        </w:tc>
      </w:tr>
      <w:tr w:rsidR="006D0778" w:rsidRPr="006D0778" w14:paraId="79A7B135" w14:textId="77777777" w:rsidTr="00D2109C">
        <w:trPr>
          <w:trHeight w:val="20"/>
          <w:jc w:val="center"/>
        </w:trPr>
        <w:tc>
          <w:tcPr>
            <w:tcW w:w="2381" w:type="pct"/>
            <w:tcBorders>
              <w:top w:val="nil"/>
              <w:left w:val="nil"/>
              <w:bottom w:val="nil"/>
              <w:right w:val="nil"/>
            </w:tcBorders>
            <w:shd w:val="clear" w:color="000000" w:fill="FFFFFF"/>
            <w:noWrap/>
            <w:vAlign w:val="center"/>
            <w:hideMark/>
          </w:tcPr>
          <w:p w14:paraId="36554674" w14:textId="77777777" w:rsidR="006D0778" w:rsidRPr="006D0778" w:rsidRDefault="006D0778" w:rsidP="006D0778">
            <w:pPr>
              <w:spacing w:after="0"/>
              <w:jc w:val="left"/>
              <w:rPr>
                <w:rFonts w:eastAsia="Times New Roman" w:cstheme="minorHAnsi"/>
                <w:sz w:val="22"/>
              </w:rPr>
            </w:pPr>
            <w:r w:rsidRPr="006D0778">
              <w:rPr>
                <w:rFonts w:eastAsia="Times New Roman" w:cstheme="minorHAnsi"/>
                <w:sz w:val="22"/>
              </w:rPr>
              <w:t>Пословни приходи</w:t>
            </w:r>
          </w:p>
        </w:tc>
        <w:tc>
          <w:tcPr>
            <w:tcW w:w="622" w:type="pct"/>
            <w:tcBorders>
              <w:top w:val="nil"/>
              <w:left w:val="nil"/>
              <w:bottom w:val="nil"/>
              <w:right w:val="nil"/>
            </w:tcBorders>
            <w:shd w:val="clear" w:color="000000" w:fill="FFFFFF"/>
            <w:noWrap/>
            <w:vAlign w:val="center"/>
            <w:hideMark/>
          </w:tcPr>
          <w:p w14:paraId="007CAB7B" w14:textId="77777777" w:rsidR="006D0778" w:rsidRPr="006D0778" w:rsidRDefault="006D0778" w:rsidP="006D0778">
            <w:pPr>
              <w:spacing w:after="0"/>
              <w:jc w:val="center"/>
              <w:rPr>
                <w:rFonts w:eastAsia="Times New Roman" w:cstheme="minorHAnsi"/>
                <w:sz w:val="22"/>
              </w:rPr>
            </w:pPr>
            <w:r w:rsidRPr="006D0778">
              <w:rPr>
                <w:rFonts w:eastAsia="Times New Roman" w:cstheme="minorHAnsi"/>
                <w:sz w:val="22"/>
              </w:rPr>
              <w:t>739,1</w:t>
            </w:r>
          </w:p>
        </w:tc>
        <w:tc>
          <w:tcPr>
            <w:tcW w:w="622" w:type="pct"/>
            <w:tcBorders>
              <w:top w:val="nil"/>
              <w:left w:val="nil"/>
              <w:bottom w:val="nil"/>
              <w:right w:val="nil"/>
            </w:tcBorders>
            <w:shd w:val="clear" w:color="000000" w:fill="FFFFFF"/>
            <w:noWrap/>
            <w:vAlign w:val="center"/>
            <w:hideMark/>
          </w:tcPr>
          <w:p w14:paraId="49CB5145" w14:textId="77777777" w:rsidR="006D0778" w:rsidRPr="006D0778" w:rsidRDefault="006D0778" w:rsidP="006D0778">
            <w:pPr>
              <w:spacing w:after="0"/>
              <w:jc w:val="center"/>
              <w:rPr>
                <w:rFonts w:eastAsia="Times New Roman" w:cstheme="minorHAnsi"/>
                <w:sz w:val="22"/>
              </w:rPr>
            </w:pPr>
            <w:r w:rsidRPr="006D0778">
              <w:rPr>
                <w:rFonts w:eastAsia="Times New Roman" w:cstheme="minorHAnsi"/>
                <w:sz w:val="22"/>
              </w:rPr>
              <w:t>905,2</w:t>
            </w:r>
          </w:p>
        </w:tc>
        <w:tc>
          <w:tcPr>
            <w:tcW w:w="622" w:type="pct"/>
            <w:tcBorders>
              <w:top w:val="nil"/>
              <w:left w:val="nil"/>
              <w:bottom w:val="nil"/>
              <w:right w:val="nil"/>
            </w:tcBorders>
            <w:shd w:val="clear" w:color="000000" w:fill="FFFFFF"/>
            <w:noWrap/>
            <w:vAlign w:val="center"/>
            <w:hideMark/>
          </w:tcPr>
          <w:p w14:paraId="17F997C4" w14:textId="77777777" w:rsidR="006D0778" w:rsidRPr="006D0778" w:rsidRDefault="006D0778" w:rsidP="006D0778">
            <w:pPr>
              <w:spacing w:after="0"/>
              <w:jc w:val="center"/>
              <w:rPr>
                <w:rFonts w:eastAsia="Times New Roman" w:cstheme="minorHAnsi"/>
                <w:sz w:val="22"/>
              </w:rPr>
            </w:pPr>
            <w:r w:rsidRPr="006D0778">
              <w:rPr>
                <w:rFonts w:eastAsia="Times New Roman" w:cstheme="minorHAnsi"/>
                <w:sz w:val="22"/>
              </w:rPr>
              <w:t>1.018,5</w:t>
            </w:r>
          </w:p>
        </w:tc>
        <w:tc>
          <w:tcPr>
            <w:tcW w:w="753" w:type="pct"/>
            <w:tcBorders>
              <w:top w:val="nil"/>
              <w:left w:val="nil"/>
              <w:bottom w:val="nil"/>
              <w:right w:val="nil"/>
            </w:tcBorders>
            <w:shd w:val="clear" w:color="000000" w:fill="FFFFFF"/>
            <w:noWrap/>
            <w:vAlign w:val="center"/>
            <w:hideMark/>
          </w:tcPr>
          <w:p w14:paraId="5D3FF505" w14:textId="77777777" w:rsidR="006D0778" w:rsidRPr="006D0778" w:rsidRDefault="006D0778" w:rsidP="006D0778">
            <w:pPr>
              <w:spacing w:after="0"/>
              <w:jc w:val="center"/>
              <w:rPr>
                <w:rFonts w:eastAsia="Times New Roman" w:cstheme="minorHAnsi"/>
                <w:sz w:val="22"/>
              </w:rPr>
            </w:pPr>
            <w:r w:rsidRPr="006D0778">
              <w:rPr>
                <w:rFonts w:eastAsia="Times New Roman" w:cstheme="minorHAnsi"/>
                <w:sz w:val="22"/>
              </w:rPr>
              <w:t>711,0</w:t>
            </w:r>
          </w:p>
        </w:tc>
      </w:tr>
      <w:tr w:rsidR="006D0778" w:rsidRPr="006D0778" w14:paraId="0EB53C4C" w14:textId="77777777" w:rsidTr="00D2109C">
        <w:trPr>
          <w:trHeight w:val="20"/>
          <w:jc w:val="center"/>
        </w:trPr>
        <w:tc>
          <w:tcPr>
            <w:tcW w:w="2381" w:type="pct"/>
            <w:tcBorders>
              <w:top w:val="nil"/>
              <w:left w:val="nil"/>
              <w:bottom w:val="nil"/>
              <w:right w:val="nil"/>
            </w:tcBorders>
            <w:shd w:val="clear" w:color="000000" w:fill="FFFFFF"/>
            <w:noWrap/>
            <w:vAlign w:val="center"/>
            <w:hideMark/>
          </w:tcPr>
          <w:p w14:paraId="314629C7" w14:textId="77777777" w:rsidR="006D0778" w:rsidRPr="006D0778" w:rsidRDefault="006D0778" w:rsidP="006D0778">
            <w:pPr>
              <w:spacing w:after="0"/>
              <w:jc w:val="left"/>
              <w:rPr>
                <w:rFonts w:eastAsia="Times New Roman" w:cstheme="minorHAnsi"/>
                <w:sz w:val="22"/>
              </w:rPr>
            </w:pPr>
            <w:r w:rsidRPr="006D0778">
              <w:rPr>
                <w:rFonts w:eastAsia="Times New Roman" w:cstheme="minorHAnsi"/>
                <w:sz w:val="22"/>
              </w:rPr>
              <w:t>Пословни расходи</w:t>
            </w:r>
          </w:p>
        </w:tc>
        <w:tc>
          <w:tcPr>
            <w:tcW w:w="622" w:type="pct"/>
            <w:tcBorders>
              <w:top w:val="nil"/>
              <w:left w:val="nil"/>
              <w:bottom w:val="nil"/>
              <w:right w:val="nil"/>
            </w:tcBorders>
            <w:shd w:val="clear" w:color="000000" w:fill="FFFFFF"/>
            <w:noWrap/>
            <w:vAlign w:val="center"/>
            <w:hideMark/>
          </w:tcPr>
          <w:p w14:paraId="6BBD83F1" w14:textId="77777777" w:rsidR="006D0778" w:rsidRPr="006D0778" w:rsidRDefault="006D0778" w:rsidP="006D0778">
            <w:pPr>
              <w:spacing w:after="0"/>
              <w:jc w:val="center"/>
              <w:rPr>
                <w:rFonts w:eastAsia="Times New Roman" w:cstheme="minorHAnsi"/>
                <w:sz w:val="22"/>
              </w:rPr>
            </w:pPr>
            <w:r w:rsidRPr="006D0778">
              <w:rPr>
                <w:rFonts w:eastAsia="Times New Roman" w:cstheme="minorHAnsi"/>
                <w:sz w:val="22"/>
              </w:rPr>
              <w:t>741,0</w:t>
            </w:r>
          </w:p>
        </w:tc>
        <w:tc>
          <w:tcPr>
            <w:tcW w:w="622" w:type="pct"/>
            <w:tcBorders>
              <w:top w:val="nil"/>
              <w:left w:val="nil"/>
              <w:bottom w:val="nil"/>
              <w:right w:val="nil"/>
            </w:tcBorders>
            <w:shd w:val="clear" w:color="000000" w:fill="FFFFFF"/>
            <w:noWrap/>
            <w:vAlign w:val="center"/>
            <w:hideMark/>
          </w:tcPr>
          <w:p w14:paraId="607BADC8" w14:textId="77777777" w:rsidR="006D0778" w:rsidRPr="006D0778" w:rsidRDefault="006D0778" w:rsidP="006D0778">
            <w:pPr>
              <w:spacing w:after="0"/>
              <w:jc w:val="center"/>
              <w:rPr>
                <w:rFonts w:eastAsia="Times New Roman" w:cstheme="minorHAnsi"/>
                <w:sz w:val="22"/>
              </w:rPr>
            </w:pPr>
            <w:r w:rsidRPr="006D0778">
              <w:rPr>
                <w:rFonts w:eastAsia="Times New Roman" w:cstheme="minorHAnsi"/>
                <w:sz w:val="22"/>
              </w:rPr>
              <w:t>950,9</w:t>
            </w:r>
          </w:p>
        </w:tc>
        <w:tc>
          <w:tcPr>
            <w:tcW w:w="622" w:type="pct"/>
            <w:tcBorders>
              <w:top w:val="nil"/>
              <w:left w:val="nil"/>
              <w:bottom w:val="nil"/>
              <w:right w:val="nil"/>
            </w:tcBorders>
            <w:shd w:val="clear" w:color="000000" w:fill="FFFFFF"/>
            <w:noWrap/>
            <w:vAlign w:val="center"/>
            <w:hideMark/>
          </w:tcPr>
          <w:p w14:paraId="03C6CDF7" w14:textId="77777777" w:rsidR="006D0778" w:rsidRPr="006D0778" w:rsidRDefault="006D0778" w:rsidP="006D0778">
            <w:pPr>
              <w:spacing w:after="0"/>
              <w:jc w:val="center"/>
              <w:rPr>
                <w:rFonts w:eastAsia="Times New Roman" w:cstheme="minorHAnsi"/>
                <w:sz w:val="22"/>
              </w:rPr>
            </w:pPr>
            <w:r w:rsidRPr="006D0778">
              <w:rPr>
                <w:rFonts w:eastAsia="Times New Roman" w:cstheme="minorHAnsi"/>
                <w:sz w:val="22"/>
              </w:rPr>
              <w:t>870,9</w:t>
            </w:r>
          </w:p>
        </w:tc>
        <w:tc>
          <w:tcPr>
            <w:tcW w:w="753" w:type="pct"/>
            <w:tcBorders>
              <w:top w:val="nil"/>
              <w:left w:val="nil"/>
              <w:bottom w:val="nil"/>
              <w:right w:val="nil"/>
            </w:tcBorders>
            <w:shd w:val="clear" w:color="000000" w:fill="FFFFFF"/>
            <w:noWrap/>
            <w:vAlign w:val="center"/>
            <w:hideMark/>
          </w:tcPr>
          <w:p w14:paraId="7CD83D51" w14:textId="77777777" w:rsidR="006D0778" w:rsidRPr="006D0778" w:rsidRDefault="006D0778" w:rsidP="006D0778">
            <w:pPr>
              <w:spacing w:after="0"/>
              <w:jc w:val="center"/>
              <w:rPr>
                <w:rFonts w:eastAsia="Times New Roman" w:cstheme="minorHAnsi"/>
                <w:sz w:val="22"/>
              </w:rPr>
            </w:pPr>
            <w:r w:rsidRPr="006D0778">
              <w:rPr>
                <w:rFonts w:eastAsia="Times New Roman" w:cstheme="minorHAnsi"/>
                <w:sz w:val="22"/>
              </w:rPr>
              <w:t>653,0</w:t>
            </w:r>
          </w:p>
        </w:tc>
      </w:tr>
      <w:tr w:rsidR="006D0778" w:rsidRPr="006D0778" w14:paraId="7E29F546" w14:textId="77777777" w:rsidTr="00D2109C">
        <w:trPr>
          <w:trHeight w:val="20"/>
          <w:jc w:val="center"/>
        </w:trPr>
        <w:tc>
          <w:tcPr>
            <w:tcW w:w="2381" w:type="pct"/>
            <w:tcBorders>
              <w:top w:val="nil"/>
              <w:left w:val="nil"/>
              <w:bottom w:val="nil"/>
              <w:right w:val="nil"/>
            </w:tcBorders>
            <w:shd w:val="clear" w:color="000000" w:fill="FFFFFF"/>
            <w:noWrap/>
            <w:vAlign w:val="center"/>
            <w:hideMark/>
          </w:tcPr>
          <w:p w14:paraId="59D6EA6D" w14:textId="77777777" w:rsidR="006D0778" w:rsidRPr="006D0778" w:rsidRDefault="006D0778" w:rsidP="006D0778">
            <w:pPr>
              <w:spacing w:after="0"/>
              <w:ind w:firstLineChars="100" w:firstLine="220"/>
              <w:jc w:val="left"/>
              <w:rPr>
                <w:rFonts w:eastAsia="Times New Roman" w:cstheme="minorHAnsi"/>
                <w:sz w:val="22"/>
              </w:rPr>
            </w:pPr>
            <w:r w:rsidRPr="006D0778">
              <w:rPr>
                <w:rFonts w:eastAsia="Times New Roman" w:cstheme="minorHAnsi"/>
                <w:sz w:val="22"/>
              </w:rPr>
              <w:t>Трошкови зарада</w:t>
            </w:r>
          </w:p>
        </w:tc>
        <w:tc>
          <w:tcPr>
            <w:tcW w:w="622" w:type="pct"/>
            <w:tcBorders>
              <w:top w:val="nil"/>
              <w:left w:val="nil"/>
              <w:bottom w:val="nil"/>
              <w:right w:val="nil"/>
            </w:tcBorders>
            <w:shd w:val="clear" w:color="000000" w:fill="FFFFFF"/>
            <w:noWrap/>
            <w:vAlign w:val="center"/>
            <w:hideMark/>
          </w:tcPr>
          <w:p w14:paraId="24EC47FE" w14:textId="77777777" w:rsidR="006D0778" w:rsidRPr="006D0778" w:rsidRDefault="006D0778" w:rsidP="006D0778">
            <w:pPr>
              <w:spacing w:after="0"/>
              <w:jc w:val="center"/>
              <w:rPr>
                <w:rFonts w:eastAsia="Times New Roman" w:cstheme="minorHAnsi"/>
                <w:sz w:val="22"/>
              </w:rPr>
            </w:pPr>
            <w:r w:rsidRPr="006D0778">
              <w:rPr>
                <w:rFonts w:eastAsia="Times New Roman" w:cstheme="minorHAnsi"/>
                <w:sz w:val="22"/>
              </w:rPr>
              <w:t>115,0</w:t>
            </w:r>
          </w:p>
        </w:tc>
        <w:tc>
          <w:tcPr>
            <w:tcW w:w="622" w:type="pct"/>
            <w:tcBorders>
              <w:top w:val="nil"/>
              <w:left w:val="nil"/>
              <w:bottom w:val="nil"/>
              <w:right w:val="nil"/>
            </w:tcBorders>
            <w:shd w:val="clear" w:color="000000" w:fill="FFFFFF"/>
            <w:noWrap/>
            <w:vAlign w:val="center"/>
            <w:hideMark/>
          </w:tcPr>
          <w:p w14:paraId="1792A06F" w14:textId="77777777" w:rsidR="006D0778" w:rsidRPr="006D0778" w:rsidRDefault="006D0778" w:rsidP="006D0778">
            <w:pPr>
              <w:spacing w:after="0"/>
              <w:jc w:val="center"/>
              <w:rPr>
                <w:rFonts w:eastAsia="Times New Roman" w:cstheme="minorHAnsi"/>
                <w:sz w:val="22"/>
              </w:rPr>
            </w:pPr>
            <w:r w:rsidRPr="006D0778">
              <w:rPr>
                <w:rFonts w:eastAsia="Times New Roman" w:cstheme="minorHAnsi"/>
                <w:sz w:val="22"/>
              </w:rPr>
              <w:t>118,5</w:t>
            </w:r>
          </w:p>
        </w:tc>
        <w:tc>
          <w:tcPr>
            <w:tcW w:w="622" w:type="pct"/>
            <w:tcBorders>
              <w:top w:val="nil"/>
              <w:left w:val="nil"/>
              <w:bottom w:val="nil"/>
              <w:right w:val="nil"/>
            </w:tcBorders>
            <w:shd w:val="clear" w:color="000000" w:fill="FFFFFF"/>
            <w:noWrap/>
            <w:vAlign w:val="center"/>
            <w:hideMark/>
          </w:tcPr>
          <w:p w14:paraId="6F218EE6" w14:textId="77777777" w:rsidR="006D0778" w:rsidRPr="006D0778" w:rsidRDefault="006D0778" w:rsidP="006D0778">
            <w:pPr>
              <w:spacing w:after="0"/>
              <w:jc w:val="center"/>
              <w:rPr>
                <w:rFonts w:eastAsia="Times New Roman" w:cstheme="minorHAnsi"/>
                <w:sz w:val="22"/>
              </w:rPr>
            </w:pPr>
            <w:r w:rsidRPr="006D0778">
              <w:rPr>
                <w:rFonts w:eastAsia="Times New Roman" w:cstheme="minorHAnsi"/>
                <w:sz w:val="22"/>
              </w:rPr>
              <w:t>127,9</w:t>
            </w:r>
          </w:p>
        </w:tc>
        <w:tc>
          <w:tcPr>
            <w:tcW w:w="753" w:type="pct"/>
            <w:tcBorders>
              <w:top w:val="nil"/>
              <w:left w:val="nil"/>
              <w:bottom w:val="nil"/>
              <w:right w:val="nil"/>
            </w:tcBorders>
            <w:shd w:val="clear" w:color="000000" w:fill="FFFFFF"/>
            <w:noWrap/>
            <w:vAlign w:val="center"/>
            <w:hideMark/>
          </w:tcPr>
          <w:p w14:paraId="7573FFD1" w14:textId="77777777" w:rsidR="006D0778" w:rsidRPr="006D0778" w:rsidRDefault="006D0778" w:rsidP="006D0778">
            <w:pPr>
              <w:spacing w:after="0"/>
              <w:jc w:val="center"/>
              <w:rPr>
                <w:rFonts w:eastAsia="Times New Roman" w:cstheme="minorHAnsi"/>
                <w:sz w:val="22"/>
              </w:rPr>
            </w:pPr>
            <w:r w:rsidRPr="006D0778">
              <w:rPr>
                <w:rFonts w:eastAsia="Times New Roman" w:cstheme="minorHAnsi"/>
                <w:sz w:val="22"/>
              </w:rPr>
              <w:t>103,6</w:t>
            </w:r>
          </w:p>
        </w:tc>
      </w:tr>
      <w:tr w:rsidR="006D0778" w:rsidRPr="006D0778" w14:paraId="006C630F" w14:textId="77777777" w:rsidTr="00D2109C">
        <w:trPr>
          <w:trHeight w:val="20"/>
          <w:jc w:val="center"/>
        </w:trPr>
        <w:tc>
          <w:tcPr>
            <w:tcW w:w="2381" w:type="pct"/>
            <w:tcBorders>
              <w:top w:val="nil"/>
              <w:left w:val="nil"/>
              <w:bottom w:val="nil"/>
              <w:right w:val="nil"/>
            </w:tcBorders>
            <w:shd w:val="clear" w:color="000000" w:fill="FFFFFF"/>
            <w:noWrap/>
            <w:vAlign w:val="center"/>
            <w:hideMark/>
          </w:tcPr>
          <w:p w14:paraId="2AB3847A" w14:textId="77777777" w:rsidR="006D0778" w:rsidRPr="006D0778" w:rsidRDefault="006D0778" w:rsidP="006D0778">
            <w:pPr>
              <w:spacing w:after="0"/>
              <w:jc w:val="left"/>
              <w:rPr>
                <w:rFonts w:eastAsia="Times New Roman" w:cstheme="minorHAnsi"/>
                <w:sz w:val="22"/>
              </w:rPr>
            </w:pPr>
            <w:r w:rsidRPr="006D0778">
              <w:rPr>
                <w:rFonts w:eastAsia="Times New Roman" w:cstheme="minorHAnsi"/>
                <w:sz w:val="22"/>
              </w:rPr>
              <w:t>ЕБИТ (пословни резултат)</w:t>
            </w:r>
          </w:p>
        </w:tc>
        <w:tc>
          <w:tcPr>
            <w:tcW w:w="622" w:type="pct"/>
            <w:tcBorders>
              <w:top w:val="nil"/>
              <w:left w:val="nil"/>
              <w:bottom w:val="nil"/>
              <w:right w:val="nil"/>
            </w:tcBorders>
            <w:shd w:val="clear" w:color="000000" w:fill="FFFFFF"/>
            <w:noWrap/>
            <w:vAlign w:val="center"/>
            <w:hideMark/>
          </w:tcPr>
          <w:p w14:paraId="43EE1483" w14:textId="77777777" w:rsidR="006D0778" w:rsidRPr="006D0778" w:rsidRDefault="006D0778" w:rsidP="006D0778">
            <w:pPr>
              <w:spacing w:after="0"/>
              <w:jc w:val="center"/>
              <w:rPr>
                <w:rFonts w:eastAsia="Times New Roman" w:cstheme="minorHAnsi"/>
                <w:sz w:val="22"/>
              </w:rPr>
            </w:pPr>
            <w:r w:rsidRPr="006D0778">
              <w:rPr>
                <w:rFonts w:eastAsia="Times New Roman" w:cstheme="minorHAnsi"/>
                <w:sz w:val="22"/>
              </w:rPr>
              <w:t>(1,9)</w:t>
            </w:r>
          </w:p>
        </w:tc>
        <w:tc>
          <w:tcPr>
            <w:tcW w:w="622" w:type="pct"/>
            <w:tcBorders>
              <w:top w:val="nil"/>
              <w:left w:val="nil"/>
              <w:bottom w:val="nil"/>
              <w:right w:val="nil"/>
            </w:tcBorders>
            <w:shd w:val="clear" w:color="000000" w:fill="FFFFFF"/>
            <w:noWrap/>
            <w:vAlign w:val="center"/>
            <w:hideMark/>
          </w:tcPr>
          <w:p w14:paraId="1F95B76A" w14:textId="77777777" w:rsidR="006D0778" w:rsidRPr="006D0778" w:rsidRDefault="006D0778" w:rsidP="006D0778">
            <w:pPr>
              <w:spacing w:after="0"/>
              <w:jc w:val="center"/>
              <w:rPr>
                <w:rFonts w:eastAsia="Times New Roman" w:cstheme="minorHAnsi"/>
                <w:sz w:val="22"/>
              </w:rPr>
            </w:pPr>
            <w:r w:rsidRPr="006D0778">
              <w:rPr>
                <w:rFonts w:eastAsia="Times New Roman" w:cstheme="minorHAnsi"/>
                <w:sz w:val="22"/>
              </w:rPr>
              <w:t>(45,7)</w:t>
            </w:r>
          </w:p>
        </w:tc>
        <w:tc>
          <w:tcPr>
            <w:tcW w:w="622" w:type="pct"/>
            <w:tcBorders>
              <w:top w:val="nil"/>
              <w:left w:val="nil"/>
              <w:bottom w:val="nil"/>
              <w:right w:val="nil"/>
            </w:tcBorders>
            <w:shd w:val="clear" w:color="000000" w:fill="FFFFFF"/>
            <w:noWrap/>
            <w:vAlign w:val="center"/>
            <w:hideMark/>
          </w:tcPr>
          <w:p w14:paraId="4DAA1E78" w14:textId="77777777" w:rsidR="006D0778" w:rsidRPr="006D0778" w:rsidRDefault="006D0778" w:rsidP="006D0778">
            <w:pPr>
              <w:spacing w:after="0"/>
              <w:jc w:val="center"/>
              <w:rPr>
                <w:rFonts w:eastAsia="Times New Roman" w:cstheme="minorHAnsi"/>
                <w:sz w:val="22"/>
              </w:rPr>
            </w:pPr>
            <w:r w:rsidRPr="006D0778">
              <w:rPr>
                <w:rFonts w:eastAsia="Times New Roman" w:cstheme="minorHAnsi"/>
                <w:sz w:val="22"/>
              </w:rPr>
              <w:t>147,6</w:t>
            </w:r>
          </w:p>
        </w:tc>
        <w:tc>
          <w:tcPr>
            <w:tcW w:w="753" w:type="pct"/>
            <w:tcBorders>
              <w:top w:val="nil"/>
              <w:left w:val="nil"/>
              <w:bottom w:val="nil"/>
              <w:right w:val="nil"/>
            </w:tcBorders>
            <w:shd w:val="clear" w:color="000000" w:fill="FFFFFF"/>
            <w:noWrap/>
            <w:vAlign w:val="center"/>
            <w:hideMark/>
          </w:tcPr>
          <w:p w14:paraId="125FCDF1" w14:textId="77777777" w:rsidR="006D0778" w:rsidRPr="006D0778" w:rsidRDefault="006D0778" w:rsidP="006D0778">
            <w:pPr>
              <w:spacing w:after="0"/>
              <w:jc w:val="center"/>
              <w:rPr>
                <w:rFonts w:eastAsia="Times New Roman" w:cstheme="minorHAnsi"/>
                <w:sz w:val="22"/>
              </w:rPr>
            </w:pPr>
            <w:r w:rsidRPr="006D0778">
              <w:rPr>
                <w:rFonts w:eastAsia="Times New Roman" w:cstheme="minorHAnsi"/>
                <w:sz w:val="22"/>
              </w:rPr>
              <w:t>58,0</w:t>
            </w:r>
          </w:p>
        </w:tc>
      </w:tr>
      <w:tr w:rsidR="006D0778" w:rsidRPr="006D0778" w14:paraId="49DD958A" w14:textId="77777777" w:rsidTr="00D2109C">
        <w:trPr>
          <w:trHeight w:val="20"/>
          <w:jc w:val="center"/>
        </w:trPr>
        <w:tc>
          <w:tcPr>
            <w:tcW w:w="2381" w:type="pct"/>
            <w:tcBorders>
              <w:top w:val="nil"/>
              <w:left w:val="nil"/>
              <w:bottom w:val="nil"/>
              <w:right w:val="nil"/>
            </w:tcBorders>
            <w:shd w:val="clear" w:color="000000" w:fill="FFFFFF"/>
            <w:noWrap/>
            <w:vAlign w:val="center"/>
            <w:hideMark/>
          </w:tcPr>
          <w:p w14:paraId="5920D505" w14:textId="77777777" w:rsidR="006D0778" w:rsidRPr="006D0778" w:rsidRDefault="006D0778" w:rsidP="006D0778">
            <w:pPr>
              <w:spacing w:after="0"/>
              <w:jc w:val="left"/>
              <w:rPr>
                <w:rFonts w:eastAsia="Times New Roman" w:cstheme="minorHAnsi"/>
                <w:sz w:val="22"/>
              </w:rPr>
            </w:pPr>
            <w:r w:rsidRPr="006D0778">
              <w:rPr>
                <w:rFonts w:eastAsia="Times New Roman" w:cstheme="minorHAnsi"/>
                <w:sz w:val="22"/>
              </w:rPr>
              <w:t>Укупни приходи</w:t>
            </w:r>
          </w:p>
        </w:tc>
        <w:tc>
          <w:tcPr>
            <w:tcW w:w="622" w:type="pct"/>
            <w:tcBorders>
              <w:top w:val="nil"/>
              <w:left w:val="nil"/>
              <w:bottom w:val="nil"/>
              <w:right w:val="nil"/>
            </w:tcBorders>
            <w:shd w:val="clear" w:color="000000" w:fill="FFFFFF"/>
            <w:noWrap/>
            <w:vAlign w:val="center"/>
            <w:hideMark/>
          </w:tcPr>
          <w:p w14:paraId="5B98FEDA" w14:textId="77777777" w:rsidR="006D0778" w:rsidRPr="006D0778" w:rsidRDefault="006D0778" w:rsidP="006D0778">
            <w:pPr>
              <w:spacing w:after="0"/>
              <w:jc w:val="center"/>
              <w:rPr>
                <w:rFonts w:eastAsia="Times New Roman" w:cstheme="minorHAnsi"/>
                <w:sz w:val="22"/>
              </w:rPr>
            </w:pPr>
            <w:r w:rsidRPr="006D0778">
              <w:rPr>
                <w:rFonts w:eastAsia="Times New Roman" w:cstheme="minorHAnsi"/>
                <w:sz w:val="22"/>
              </w:rPr>
              <w:t>775,8</w:t>
            </w:r>
          </w:p>
        </w:tc>
        <w:tc>
          <w:tcPr>
            <w:tcW w:w="622" w:type="pct"/>
            <w:tcBorders>
              <w:top w:val="nil"/>
              <w:left w:val="nil"/>
              <w:bottom w:val="nil"/>
              <w:right w:val="nil"/>
            </w:tcBorders>
            <w:shd w:val="clear" w:color="000000" w:fill="FFFFFF"/>
            <w:noWrap/>
            <w:vAlign w:val="center"/>
            <w:hideMark/>
          </w:tcPr>
          <w:p w14:paraId="1775D4ED" w14:textId="77777777" w:rsidR="006D0778" w:rsidRPr="006D0778" w:rsidRDefault="006D0778" w:rsidP="006D0778">
            <w:pPr>
              <w:spacing w:after="0"/>
              <w:jc w:val="center"/>
              <w:rPr>
                <w:rFonts w:eastAsia="Times New Roman" w:cstheme="minorHAnsi"/>
                <w:sz w:val="22"/>
              </w:rPr>
            </w:pPr>
            <w:r w:rsidRPr="006D0778">
              <w:rPr>
                <w:rFonts w:eastAsia="Times New Roman" w:cstheme="minorHAnsi"/>
                <w:sz w:val="22"/>
              </w:rPr>
              <w:t>937,7</w:t>
            </w:r>
          </w:p>
        </w:tc>
        <w:tc>
          <w:tcPr>
            <w:tcW w:w="622" w:type="pct"/>
            <w:tcBorders>
              <w:top w:val="nil"/>
              <w:left w:val="nil"/>
              <w:bottom w:val="nil"/>
              <w:right w:val="nil"/>
            </w:tcBorders>
            <w:shd w:val="clear" w:color="000000" w:fill="FFFFFF"/>
            <w:noWrap/>
            <w:vAlign w:val="center"/>
            <w:hideMark/>
          </w:tcPr>
          <w:p w14:paraId="1E7658DF" w14:textId="77777777" w:rsidR="006D0778" w:rsidRPr="006D0778" w:rsidRDefault="006D0778" w:rsidP="006D0778">
            <w:pPr>
              <w:spacing w:after="0"/>
              <w:jc w:val="center"/>
              <w:rPr>
                <w:rFonts w:eastAsia="Times New Roman" w:cstheme="minorHAnsi"/>
                <w:sz w:val="22"/>
              </w:rPr>
            </w:pPr>
            <w:r w:rsidRPr="006D0778">
              <w:rPr>
                <w:rFonts w:eastAsia="Times New Roman" w:cstheme="minorHAnsi"/>
                <w:sz w:val="22"/>
              </w:rPr>
              <w:t>1.057,5</w:t>
            </w:r>
          </w:p>
        </w:tc>
        <w:tc>
          <w:tcPr>
            <w:tcW w:w="753" w:type="pct"/>
            <w:tcBorders>
              <w:top w:val="nil"/>
              <w:left w:val="nil"/>
              <w:bottom w:val="nil"/>
              <w:right w:val="nil"/>
            </w:tcBorders>
            <w:shd w:val="clear" w:color="000000" w:fill="FFFFFF"/>
            <w:noWrap/>
            <w:vAlign w:val="center"/>
            <w:hideMark/>
          </w:tcPr>
          <w:p w14:paraId="3D3C3582" w14:textId="77777777" w:rsidR="006D0778" w:rsidRPr="006D0778" w:rsidRDefault="006D0778" w:rsidP="006D0778">
            <w:pPr>
              <w:spacing w:after="0"/>
              <w:jc w:val="center"/>
              <w:rPr>
                <w:rFonts w:eastAsia="Times New Roman" w:cstheme="minorHAnsi"/>
                <w:sz w:val="22"/>
              </w:rPr>
            </w:pPr>
            <w:r w:rsidRPr="006D0778">
              <w:rPr>
                <w:rFonts w:eastAsia="Times New Roman" w:cstheme="minorHAnsi"/>
                <w:sz w:val="22"/>
              </w:rPr>
              <w:t>733,6</w:t>
            </w:r>
          </w:p>
        </w:tc>
      </w:tr>
      <w:tr w:rsidR="006D0778" w:rsidRPr="006D0778" w14:paraId="11A83ED4" w14:textId="77777777" w:rsidTr="00D2109C">
        <w:trPr>
          <w:trHeight w:val="20"/>
          <w:jc w:val="center"/>
        </w:trPr>
        <w:tc>
          <w:tcPr>
            <w:tcW w:w="2381" w:type="pct"/>
            <w:tcBorders>
              <w:top w:val="nil"/>
              <w:left w:val="nil"/>
              <w:bottom w:val="nil"/>
              <w:right w:val="nil"/>
            </w:tcBorders>
            <w:shd w:val="clear" w:color="000000" w:fill="FFFFFF"/>
            <w:noWrap/>
            <w:vAlign w:val="center"/>
            <w:hideMark/>
          </w:tcPr>
          <w:p w14:paraId="54BEBCC1" w14:textId="77777777" w:rsidR="006D0778" w:rsidRPr="006D0778" w:rsidRDefault="006D0778" w:rsidP="006D0778">
            <w:pPr>
              <w:spacing w:after="0"/>
              <w:jc w:val="left"/>
              <w:rPr>
                <w:rFonts w:eastAsia="Times New Roman" w:cstheme="minorHAnsi"/>
                <w:sz w:val="22"/>
              </w:rPr>
            </w:pPr>
            <w:r w:rsidRPr="006D0778">
              <w:rPr>
                <w:rFonts w:eastAsia="Times New Roman" w:cstheme="minorHAnsi"/>
                <w:sz w:val="22"/>
              </w:rPr>
              <w:t>Укупни расходи</w:t>
            </w:r>
          </w:p>
        </w:tc>
        <w:tc>
          <w:tcPr>
            <w:tcW w:w="622" w:type="pct"/>
            <w:tcBorders>
              <w:top w:val="nil"/>
              <w:left w:val="nil"/>
              <w:bottom w:val="nil"/>
              <w:right w:val="nil"/>
            </w:tcBorders>
            <w:shd w:val="clear" w:color="000000" w:fill="FFFFFF"/>
            <w:noWrap/>
            <w:vAlign w:val="center"/>
            <w:hideMark/>
          </w:tcPr>
          <w:p w14:paraId="345C07FD" w14:textId="77777777" w:rsidR="006D0778" w:rsidRPr="006D0778" w:rsidRDefault="006D0778" w:rsidP="006D0778">
            <w:pPr>
              <w:spacing w:after="0"/>
              <w:jc w:val="center"/>
              <w:rPr>
                <w:rFonts w:eastAsia="Times New Roman" w:cstheme="minorHAnsi"/>
                <w:sz w:val="22"/>
              </w:rPr>
            </w:pPr>
            <w:r w:rsidRPr="006D0778">
              <w:rPr>
                <w:rFonts w:eastAsia="Times New Roman" w:cstheme="minorHAnsi"/>
                <w:sz w:val="22"/>
              </w:rPr>
              <w:t>787,8</w:t>
            </w:r>
          </w:p>
        </w:tc>
        <w:tc>
          <w:tcPr>
            <w:tcW w:w="622" w:type="pct"/>
            <w:tcBorders>
              <w:top w:val="nil"/>
              <w:left w:val="nil"/>
              <w:bottom w:val="nil"/>
              <w:right w:val="nil"/>
            </w:tcBorders>
            <w:shd w:val="clear" w:color="000000" w:fill="FFFFFF"/>
            <w:noWrap/>
            <w:vAlign w:val="center"/>
            <w:hideMark/>
          </w:tcPr>
          <w:p w14:paraId="49AB4083" w14:textId="77777777" w:rsidR="006D0778" w:rsidRPr="006D0778" w:rsidRDefault="006D0778" w:rsidP="006D0778">
            <w:pPr>
              <w:spacing w:after="0"/>
              <w:jc w:val="center"/>
              <w:rPr>
                <w:rFonts w:eastAsia="Times New Roman" w:cstheme="minorHAnsi"/>
                <w:sz w:val="22"/>
              </w:rPr>
            </w:pPr>
            <w:r w:rsidRPr="006D0778">
              <w:rPr>
                <w:rFonts w:eastAsia="Times New Roman" w:cstheme="minorHAnsi"/>
                <w:sz w:val="22"/>
              </w:rPr>
              <w:t>1.006,0</w:t>
            </w:r>
          </w:p>
        </w:tc>
        <w:tc>
          <w:tcPr>
            <w:tcW w:w="622" w:type="pct"/>
            <w:tcBorders>
              <w:top w:val="nil"/>
              <w:left w:val="nil"/>
              <w:bottom w:val="nil"/>
              <w:right w:val="nil"/>
            </w:tcBorders>
            <w:shd w:val="clear" w:color="000000" w:fill="FFFFFF"/>
            <w:noWrap/>
            <w:vAlign w:val="center"/>
            <w:hideMark/>
          </w:tcPr>
          <w:p w14:paraId="49D6C5FE" w14:textId="77777777" w:rsidR="006D0778" w:rsidRPr="006D0778" w:rsidRDefault="006D0778" w:rsidP="006D0778">
            <w:pPr>
              <w:spacing w:after="0"/>
              <w:jc w:val="center"/>
              <w:rPr>
                <w:rFonts w:eastAsia="Times New Roman" w:cstheme="minorHAnsi"/>
                <w:sz w:val="22"/>
              </w:rPr>
            </w:pPr>
            <w:r w:rsidRPr="006D0778">
              <w:rPr>
                <w:rFonts w:eastAsia="Times New Roman" w:cstheme="minorHAnsi"/>
                <w:sz w:val="22"/>
              </w:rPr>
              <w:t>921,8</w:t>
            </w:r>
          </w:p>
        </w:tc>
        <w:tc>
          <w:tcPr>
            <w:tcW w:w="753" w:type="pct"/>
            <w:tcBorders>
              <w:top w:val="nil"/>
              <w:left w:val="nil"/>
              <w:bottom w:val="nil"/>
              <w:right w:val="nil"/>
            </w:tcBorders>
            <w:shd w:val="clear" w:color="000000" w:fill="FFFFFF"/>
            <w:noWrap/>
            <w:vAlign w:val="center"/>
            <w:hideMark/>
          </w:tcPr>
          <w:p w14:paraId="4F768A66" w14:textId="77777777" w:rsidR="006D0778" w:rsidRPr="006D0778" w:rsidRDefault="006D0778" w:rsidP="006D0778">
            <w:pPr>
              <w:spacing w:after="0"/>
              <w:jc w:val="center"/>
              <w:rPr>
                <w:rFonts w:eastAsia="Times New Roman" w:cstheme="minorHAnsi"/>
                <w:sz w:val="22"/>
              </w:rPr>
            </w:pPr>
            <w:r w:rsidRPr="006D0778">
              <w:rPr>
                <w:rFonts w:eastAsia="Times New Roman" w:cstheme="minorHAnsi"/>
                <w:sz w:val="22"/>
              </w:rPr>
              <w:t>692,6</w:t>
            </w:r>
          </w:p>
        </w:tc>
      </w:tr>
      <w:tr w:rsidR="006D0778" w:rsidRPr="006D0778" w14:paraId="72A40618" w14:textId="77777777" w:rsidTr="00D2109C">
        <w:trPr>
          <w:trHeight w:val="20"/>
          <w:jc w:val="center"/>
        </w:trPr>
        <w:tc>
          <w:tcPr>
            <w:tcW w:w="2381" w:type="pct"/>
            <w:tcBorders>
              <w:top w:val="nil"/>
              <w:left w:val="nil"/>
              <w:bottom w:val="nil"/>
              <w:right w:val="nil"/>
            </w:tcBorders>
            <w:shd w:val="clear" w:color="000000" w:fill="FFFFFF"/>
            <w:noWrap/>
            <w:vAlign w:val="center"/>
            <w:hideMark/>
          </w:tcPr>
          <w:p w14:paraId="7E7F0156" w14:textId="77777777" w:rsidR="006D0778" w:rsidRPr="006D0778" w:rsidRDefault="006D0778" w:rsidP="006D0778">
            <w:pPr>
              <w:spacing w:after="0"/>
              <w:jc w:val="left"/>
              <w:rPr>
                <w:rFonts w:eastAsia="Times New Roman" w:cstheme="minorHAnsi"/>
                <w:b/>
                <w:bCs/>
                <w:sz w:val="22"/>
              </w:rPr>
            </w:pPr>
            <w:r w:rsidRPr="006D0778">
              <w:rPr>
                <w:rFonts w:eastAsia="Times New Roman" w:cstheme="minorHAnsi"/>
                <w:b/>
                <w:bCs/>
                <w:sz w:val="22"/>
              </w:rPr>
              <w:t>Нето резултат</w:t>
            </w:r>
          </w:p>
        </w:tc>
        <w:tc>
          <w:tcPr>
            <w:tcW w:w="622" w:type="pct"/>
            <w:tcBorders>
              <w:top w:val="nil"/>
              <w:left w:val="nil"/>
              <w:bottom w:val="nil"/>
              <w:right w:val="nil"/>
            </w:tcBorders>
            <w:shd w:val="clear" w:color="000000" w:fill="FFFFFF"/>
            <w:noWrap/>
            <w:vAlign w:val="center"/>
            <w:hideMark/>
          </w:tcPr>
          <w:p w14:paraId="69633487" w14:textId="77777777" w:rsidR="006D0778" w:rsidRPr="006D0778" w:rsidRDefault="006D0778" w:rsidP="006D0778">
            <w:pPr>
              <w:spacing w:after="0"/>
              <w:jc w:val="center"/>
              <w:rPr>
                <w:rFonts w:eastAsia="Times New Roman" w:cstheme="minorHAnsi"/>
                <w:sz w:val="22"/>
              </w:rPr>
            </w:pPr>
            <w:r w:rsidRPr="006D0778">
              <w:rPr>
                <w:rFonts w:eastAsia="Times New Roman" w:cstheme="minorHAnsi"/>
                <w:sz w:val="22"/>
              </w:rPr>
              <w:t>(13,9)</w:t>
            </w:r>
          </w:p>
        </w:tc>
        <w:tc>
          <w:tcPr>
            <w:tcW w:w="622" w:type="pct"/>
            <w:tcBorders>
              <w:top w:val="nil"/>
              <w:left w:val="nil"/>
              <w:bottom w:val="nil"/>
              <w:right w:val="nil"/>
            </w:tcBorders>
            <w:shd w:val="clear" w:color="000000" w:fill="FFFFFF"/>
            <w:noWrap/>
            <w:vAlign w:val="center"/>
            <w:hideMark/>
          </w:tcPr>
          <w:p w14:paraId="1DE31BA7" w14:textId="77777777" w:rsidR="006D0778" w:rsidRPr="006D0778" w:rsidRDefault="006D0778" w:rsidP="006D0778">
            <w:pPr>
              <w:spacing w:after="0"/>
              <w:jc w:val="center"/>
              <w:rPr>
                <w:rFonts w:eastAsia="Times New Roman" w:cstheme="minorHAnsi"/>
                <w:sz w:val="22"/>
              </w:rPr>
            </w:pPr>
            <w:r w:rsidRPr="006D0778">
              <w:rPr>
                <w:rFonts w:eastAsia="Times New Roman" w:cstheme="minorHAnsi"/>
                <w:sz w:val="22"/>
              </w:rPr>
              <w:t>(68,8)</w:t>
            </w:r>
          </w:p>
        </w:tc>
        <w:tc>
          <w:tcPr>
            <w:tcW w:w="622" w:type="pct"/>
            <w:tcBorders>
              <w:top w:val="nil"/>
              <w:left w:val="nil"/>
              <w:bottom w:val="nil"/>
              <w:right w:val="nil"/>
            </w:tcBorders>
            <w:shd w:val="clear" w:color="000000" w:fill="FFFFFF"/>
            <w:noWrap/>
            <w:vAlign w:val="center"/>
            <w:hideMark/>
          </w:tcPr>
          <w:p w14:paraId="2CA88BC5" w14:textId="77777777" w:rsidR="006D0778" w:rsidRPr="006D0778" w:rsidRDefault="006D0778" w:rsidP="006D0778">
            <w:pPr>
              <w:spacing w:after="0"/>
              <w:jc w:val="center"/>
              <w:rPr>
                <w:rFonts w:eastAsia="Times New Roman" w:cstheme="minorHAnsi"/>
                <w:sz w:val="22"/>
              </w:rPr>
            </w:pPr>
            <w:r w:rsidRPr="006D0778">
              <w:rPr>
                <w:rFonts w:eastAsia="Times New Roman" w:cstheme="minorHAnsi"/>
                <w:sz w:val="22"/>
              </w:rPr>
              <w:t>114,3</w:t>
            </w:r>
          </w:p>
        </w:tc>
        <w:tc>
          <w:tcPr>
            <w:tcW w:w="753" w:type="pct"/>
            <w:tcBorders>
              <w:top w:val="nil"/>
              <w:left w:val="nil"/>
              <w:bottom w:val="nil"/>
              <w:right w:val="nil"/>
            </w:tcBorders>
            <w:shd w:val="clear" w:color="000000" w:fill="FFFFFF"/>
            <w:noWrap/>
            <w:vAlign w:val="center"/>
            <w:hideMark/>
          </w:tcPr>
          <w:p w14:paraId="5906BD96" w14:textId="77777777" w:rsidR="006D0778" w:rsidRPr="006D0778" w:rsidRDefault="006D0778" w:rsidP="006D0778">
            <w:pPr>
              <w:spacing w:after="0"/>
              <w:jc w:val="center"/>
              <w:rPr>
                <w:rFonts w:eastAsia="Times New Roman" w:cstheme="minorHAnsi"/>
                <w:sz w:val="22"/>
              </w:rPr>
            </w:pPr>
            <w:r w:rsidRPr="006D0778">
              <w:rPr>
                <w:rFonts w:eastAsia="Times New Roman" w:cstheme="minorHAnsi"/>
                <w:sz w:val="22"/>
              </w:rPr>
              <w:t>31,5</w:t>
            </w:r>
          </w:p>
        </w:tc>
      </w:tr>
      <w:tr w:rsidR="006D0778" w:rsidRPr="006D0778" w14:paraId="188132B7" w14:textId="77777777" w:rsidTr="00D2109C">
        <w:trPr>
          <w:trHeight w:val="20"/>
          <w:jc w:val="center"/>
        </w:trPr>
        <w:tc>
          <w:tcPr>
            <w:tcW w:w="2381" w:type="pct"/>
            <w:tcBorders>
              <w:top w:val="single" w:sz="4" w:space="0" w:color="002060"/>
              <w:left w:val="nil"/>
              <w:bottom w:val="single" w:sz="4" w:space="0" w:color="002060"/>
              <w:right w:val="nil"/>
            </w:tcBorders>
            <w:shd w:val="clear" w:color="auto" w:fill="FFFFFF" w:themeFill="background1"/>
            <w:noWrap/>
            <w:vAlign w:val="center"/>
            <w:hideMark/>
          </w:tcPr>
          <w:p w14:paraId="198AC86C" w14:textId="77777777" w:rsidR="006D0778" w:rsidRPr="006D0778" w:rsidRDefault="006D0778" w:rsidP="006D0778">
            <w:pPr>
              <w:spacing w:after="0"/>
              <w:jc w:val="left"/>
              <w:rPr>
                <w:rFonts w:eastAsia="Times New Roman" w:cstheme="minorHAnsi"/>
                <w:b/>
                <w:bCs/>
                <w:sz w:val="22"/>
              </w:rPr>
            </w:pPr>
            <w:r w:rsidRPr="006D0778">
              <w:rPr>
                <w:rFonts w:eastAsia="Times New Roman" w:cstheme="minorHAnsi"/>
                <w:b/>
                <w:bCs/>
                <w:sz w:val="22"/>
              </w:rPr>
              <w:t>Број ДП која су остварила добит</w:t>
            </w:r>
          </w:p>
        </w:tc>
        <w:tc>
          <w:tcPr>
            <w:tcW w:w="622" w:type="pct"/>
            <w:tcBorders>
              <w:top w:val="single" w:sz="4" w:space="0" w:color="002060"/>
              <w:left w:val="nil"/>
              <w:bottom w:val="single" w:sz="4" w:space="0" w:color="002060"/>
              <w:right w:val="nil"/>
            </w:tcBorders>
            <w:shd w:val="clear" w:color="auto" w:fill="FFFFFF" w:themeFill="background1"/>
            <w:noWrap/>
            <w:vAlign w:val="center"/>
            <w:hideMark/>
          </w:tcPr>
          <w:p w14:paraId="7C379AE4" w14:textId="77777777" w:rsidR="006D0778" w:rsidRPr="006D0778" w:rsidRDefault="006D0778" w:rsidP="006D0778">
            <w:pPr>
              <w:spacing w:after="0"/>
              <w:jc w:val="center"/>
              <w:rPr>
                <w:rFonts w:eastAsia="Times New Roman" w:cstheme="minorHAnsi"/>
                <w:b/>
                <w:bCs/>
                <w:sz w:val="22"/>
              </w:rPr>
            </w:pPr>
            <w:r w:rsidRPr="006D0778">
              <w:rPr>
                <w:rFonts w:eastAsia="Times New Roman" w:cstheme="minorHAnsi"/>
                <w:b/>
                <w:bCs/>
                <w:sz w:val="22"/>
              </w:rPr>
              <w:t>26</w:t>
            </w:r>
          </w:p>
        </w:tc>
        <w:tc>
          <w:tcPr>
            <w:tcW w:w="622" w:type="pct"/>
            <w:tcBorders>
              <w:top w:val="single" w:sz="4" w:space="0" w:color="002060"/>
              <w:left w:val="nil"/>
              <w:bottom w:val="single" w:sz="4" w:space="0" w:color="002060"/>
              <w:right w:val="nil"/>
            </w:tcBorders>
            <w:shd w:val="clear" w:color="auto" w:fill="FFFFFF" w:themeFill="background1"/>
            <w:noWrap/>
            <w:vAlign w:val="center"/>
            <w:hideMark/>
          </w:tcPr>
          <w:p w14:paraId="7C3E1DDA" w14:textId="77777777" w:rsidR="006D0778" w:rsidRPr="006D0778" w:rsidRDefault="006D0778" w:rsidP="006D0778">
            <w:pPr>
              <w:spacing w:after="0"/>
              <w:jc w:val="center"/>
              <w:rPr>
                <w:rFonts w:eastAsia="Times New Roman" w:cstheme="minorHAnsi"/>
                <w:b/>
                <w:bCs/>
                <w:sz w:val="22"/>
              </w:rPr>
            </w:pPr>
            <w:r w:rsidRPr="006D0778">
              <w:rPr>
                <w:rFonts w:eastAsia="Times New Roman" w:cstheme="minorHAnsi"/>
                <w:b/>
                <w:bCs/>
                <w:sz w:val="22"/>
              </w:rPr>
              <w:t>25</w:t>
            </w:r>
          </w:p>
        </w:tc>
        <w:tc>
          <w:tcPr>
            <w:tcW w:w="622" w:type="pct"/>
            <w:tcBorders>
              <w:top w:val="single" w:sz="4" w:space="0" w:color="002060"/>
              <w:left w:val="nil"/>
              <w:bottom w:val="single" w:sz="4" w:space="0" w:color="002060"/>
              <w:right w:val="nil"/>
            </w:tcBorders>
            <w:shd w:val="clear" w:color="auto" w:fill="FFFFFF" w:themeFill="background1"/>
            <w:noWrap/>
            <w:vAlign w:val="center"/>
            <w:hideMark/>
          </w:tcPr>
          <w:p w14:paraId="760C2C4D" w14:textId="77777777" w:rsidR="006D0778" w:rsidRPr="006D0778" w:rsidRDefault="006D0778" w:rsidP="006D0778">
            <w:pPr>
              <w:spacing w:after="0"/>
              <w:jc w:val="center"/>
              <w:rPr>
                <w:rFonts w:eastAsia="Times New Roman" w:cstheme="minorHAnsi"/>
                <w:b/>
                <w:bCs/>
                <w:sz w:val="22"/>
              </w:rPr>
            </w:pPr>
            <w:r w:rsidRPr="006D0778">
              <w:rPr>
                <w:rFonts w:eastAsia="Times New Roman" w:cstheme="minorHAnsi"/>
                <w:b/>
                <w:bCs/>
                <w:sz w:val="22"/>
              </w:rPr>
              <w:t>28</w:t>
            </w:r>
          </w:p>
        </w:tc>
        <w:tc>
          <w:tcPr>
            <w:tcW w:w="753" w:type="pct"/>
            <w:tcBorders>
              <w:top w:val="single" w:sz="4" w:space="0" w:color="002060"/>
              <w:left w:val="nil"/>
              <w:bottom w:val="single" w:sz="4" w:space="0" w:color="002060"/>
              <w:right w:val="nil"/>
            </w:tcBorders>
            <w:shd w:val="clear" w:color="auto" w:fill="FFFFFF" w:themeFill="background1"/>
            <w:noWrap/>
            <w:vAlign w:val="center"/>
            <w:hideMark/>
          </w:tcPr>
          <w:p w14:paraId="4C0C8CC5" w14:textId="77777777" w:rsidR="006D0778" w:rsidRPr="006D0778" w:rsidRDefault="006D0778" w:rsidP="006D0778">
            <w:pPr>
              <w:spacing w:after="0"/>
              <w:jc w:val="center"/>
              <w:rPr>
                <w:rFonts w:eastAsia="Times New Roman" w:cstheme="minorHAnsi"/>
                <w:b/>
                <w:bCs/>
                <w:sz w:val="22"/>
              </w:rPr>
            </w:pPr>
            <w:r w:rsidRPr="006D0778">
              <w:rPr>
                <w:rFonts w:eastAsia="Times New Roman" w:cstheme="minorHAnsi"/>
                <w:b/>
                <w:bCs/>
                <w:sz w:val="22"/>
              </w:rPr>
              <w:t>22</w:t>
            </w:r>
          </w:p>
        </w:tc>
      </w:tr>
      <w:tr w:rsidR="006D0778" w:rsidRPr="006D0778" w14:paraId="0857437D" w14:textId="77777777" w:rsidTr="00D2109C">
        <w:trPr>
          <w:trHeight w:val="20"/>
          <w:jc w:val="center"/>
        </w:trPr>
        <w:tc>
          <w:tcPr>
            <w:tcW w:w="2381" w:type="pct"/>
            <w:tcBorders>
              <w:top w:val="nil"/>
              <w:left w:val="nil"/>
              <w:bottom w:val="single" w:sz="4" w:space="0" w:color="002060"/>
              <w:right w:val="nil"/>
            </w:tcBorders>
            <w:shd w:val="clear" w:color="auto" w:fill="FFFFFF" w:themeFill="background1"/>
            <w:noWrap/>
            <w:vAlign w:val="center"/>
            <w:hideMark/>
          </w:tcPr>
          <w:p w14:paraId="2F836575" w14:textId="77777777" w:rsidR="006D0778" w:rsidRPr="006D0778" w:rsidRDefault="006D0778" w:rsidP="006D0778">
            <w:pPr>
              <w:spacing w:after="0"/>
              <w:jc w:val="left"/>
              <w:rPr>
                <w:rFonts w:eastAsia="Times New Roman" w:cstheme="minorHAnsi"/>
                <w:b/>
                <w:bCs/>
                <w:sz w:val="22"/>
              </w:rPr>
            </w:pPr>
            <w:r w:rsidRPr="006D0778">
              <w:rPr>
                <w:rFonts w:eastAsia="Times New Roman" w:cstheme="minorHAnsi"/>
                <w:b/>
                <w:bCs/>
                <w:sz w:val="22"/>
              </w:rPr>
              <w:t>Број ДП која су остварила губитак</w:t>
            </w:r>
          </w:p>
        </w:tc>
        <w:tc>
          <w:tcPr>
            <w:tcW w:w="622" w:type="pct"/>
            <w:tcBorders>
              <w:top w:val="nil"/>
              <w:left w:val="nil"/>
              <w:bottom w:val="single" w:sz="4" w:space="0" w:color="002060"/>
              <w:right w:val="nil"/>
            </w:tcBorders>
            <w:shd w:val="clear" w:color="auto" w:fill="FFFFFF" w:themeFill="background1"/>
            <w:noWrap/>
            <w:vAlign w:val="center"/>
            <w:hideMark/>
          </w:tcPr>
          <w:p w14:paraId="5ED7FE36" w14:textId="77777777" w:rsidR="006D0778" w:rsidRPr="006D0778" w:rsidRDefault="006D0778" w:rsidP="006D0778">
            <w:pPr>
              <w:spacing w:after="0"/>
              <w:jc w:val="center"/>
              <w:rPr>
                <w:rFonts w:eastAsia="Times New Roman" w:cstheme="minorHAnsi"/>
                <w:b/>
                <w:bCs/>
                <w:sz w:val="22"/>
              </w:rPr>
            </w:pPr>
            <w:r w:rsidRPr="006D0778">
              <w:rPr>
                <w:rFonts w:eastAsia="Times New Roman" w:cstheme="minorHAnsi"/>
                <w:b/>
                <w:bCs/>
                <w:sz w:val="22"/>
              </w:rPr>
              <w:t>10</w:t>
            </w:r>
          </w:p>
        </w:tc>
        <w:tc>
          <w:tcPr>
            <w:tcW w:w="622" w:type="pct"/>
            <w:tcBorders>
              <w:top w:val="nil"/>
              <w:left w:val="nil"/>
              <w:bottom w:val="single" w:sz="4" w:space="0" w:color="002060"/>
              <w:right w:val="nil"/>
            </w:tcBorders>
            <w:shd w:val="clear" w:color="auto" w:fill="FFFFFF" w:themeFill="background1"/>
            <w:noWrap/>
            <w:vAlign w:val="center"/>
            <w:hideMark/>
          </w:tcPr>
          <w:p w14:paraId="1F404D1D" w14:textId="77777777" w:rsidR="006D0778" w:rsidRPr="006D0778" w:rsidRDefault="006D0778" w:rsidP="006D0778">
            <w:pPr>
              <w:spacing w:after="0"/>
              <w:jc w:val="center"/>
              <w:rPr>
                <w:rFonts w:eastAsia="Times New Roman" w:cstheme="minorHAnsi"/>
                <w:b/>
                <w:bCs/>
                <w:sz w:val="22"/>
              </w:rPr>
            </w:pPr>
            <w:r w:rsidRPr="006D0778">
              <w:rPr>
                <w:rFonts w:eastAsia="Times New Roman" w:cstheme="minorHAnsi"/>
                <w:b/>
                <w:bCs/>
                <w:sz w:val="22"/>
              </w:rPr>
              <w:t>11</w:t>
            </w:r>
          </w:p>
        </w:tc>
        <w:tc>
          <w:tcPr>
            <w:tcW w:w="622" w:type="pct"/>
            <w:tcBorders>
              <w:top w:val="nil"/>
              <w:left w:val="nil"/>
              <w:bottom w:val="single" w:sz="4" w:space="0" w:color="002060"/>
              <w:right w:val="nil"/>
            </w:tcBorders>
            <w:shd w:val="clear" w:color="auto" w:fill="FFFFFF" w:themeFill="background1"/>
            <w:noWrap/>
            <w:vAlign w:val="center"/>
            <w:hideMark/>
          </w:tcPr>
          <w:p w14:paraId="00DB0FCE" w14:textId="77777777" w:rsidR="006D0778" w:rsidRPr="006D0778" w:rsidRDefault="006D0778" w:rsidP="006D0778">
            <w:pPr>
              <w:spacing w:after="0"/>
              <w:jc w:val="center"/>
              <w:rPr>
                <w:rFonts w:eastAsia="Times New Roman" w:cstheme="minorHAnsi"/>
                <w:b/>
                <w:bCs/>
                <w:sz w:val="22"/>
              </w:rPr>
            </w:pPr>
            <w:r w:rsidRPr="006D0778">
              <w:rPr>
                <w:rFonts w:eastAsia="Times New Roman" w:cstheme="minorHAnsi"/>
                <w:b/>
                <w:bCs/>
                <w:sz w:val="22"/>
              </w:rPr>
              <w:t>8</w:t>
            </w:r>
          </w:p>
        </w:tc>
        <w:tc>
          <w:tcPr>
            <w:tcW w:w="753" w:type="pct"/>
            <w:tcBorders>
              <w:top w:val="nil"/>
              <w:left w:val="nil"/>
              <w:bottom w:val="single" w:sz="4" w:space="0" w:color="002060"/>
              <w:right w:val="nil"/>
            </w:tcBorders>
            <w:shd w:val="clear" w:color="auto" w:fill="FFFFFF" w:themeFill="background1"/>
            <w:noWrap/>
            <w:vAlign w:val="center"/>
            <w:hideMark/>
          </w:tcPr>
          <w:p w14:paraId="6EFA0323" w14:textId="77777777" w:rsidR="006D0778" w:rsidRPr="006D0778" w:rsidRDefault="006D0778" w:rsidP="006D0778">
            <w:pPr>
              <w:spacing w:after="0"/>
              <w:jc w:val="center"/>
              <w:rPr>
                <w:rFonts w:eastAsia="Times New Roman" w:cstheme="minorHAnsi"/>
                <w:b/>
                <w:bCs/>
                <w:sz w:val="22"/>
              </w:rPr>
            </w:pPr>
            <w:r w:rsidRPr="006D0778">
              <w:rPr>
                <w:rFonts w:eastAsia="Times New Roman" w:cstheme="minorHAnsi"/>
                <w:b/>
                <w:bCs/>
                <w:sz w:val="22"/>
              </w:rPr>
              <w:t>14</w:t>
            </w:r>
          </w:p>
        </w:tc>
      </w:tr>
    </w:tbl>
    <w:p w14:paraId="16C4D579" w14:textId="77777777" w:rsidR="006D0778" w:rsidRPr="006D0778" w:rsidRDefault="006D0778" w:rsidP="006D0778">
      <w:pPr>
        <w:spacing w:after="0" w:line="276" w:lineRule="auto"/>
        <w:rPr>
          <w:rFonts w:eastAsia="MS PGothic" w:cs="Times New Roman"/>
          <w:sz w:val="16"/>
          <w:szCs w:val="16"/>
          <w:lang w:eastAsia="ja-JP"/>
        </w:rPr>
      </w:pPr>
      <w:r w:rsidRPr="006D0778">
        <w:rPr>
          <w:rFonts w:eastAsia="MS PGothic" w:cs="Times New Roman"/>
          <w:sz w:val="16"/>
          <w:szCs w:val="16"/>
          <w:lang w:eastAsia="ja-JP"/>
        </w:rPr>
        <w:t>Извор: Финансијски извештаји (АПР) и квартални извештај за 2024. годину</w:t>
      </w:r>
    </w:p>
    <w:p w14:paraId="183E4C3D" w14:textId="77777777" w:rsidR="006D0778" w:rsidRPr="006D0778" w:rsidRDefault="006D0778" w:rsidP="006D0778">
      <w:pPr>
        <w:rPr>
          <w:rFonts w:eastAsia="MS PGothic" w:cstheme="minorHAnsi"/>
          <w:szCs w:val="20"/>
          <w:lang w:val="sr-Cyrl-RS" w:eastAsia="ja-JP"/>
        </w:rPr>
      </w:pPr>
    </w:p>
    <w:p w14:paraId="28FF8C5D" w14:textId="77777777" w:rsidR="006D0778" w:rsidRPr="006D0778" w:rsidRDefault="006D0778" w:rsidP="006D0778">
      <w:pPr>
        <w:spacing w:after="240"/>
        <w:rPr>
          <w:rFonts w:eastAsia="MS PGothic" w:cstheme="minorHAnsi"/>
          <w:szCs w:val="20"/>
          <w:lang w:eastAsia="ja-JP"/>
        </w:rPr>
      </w:pPr>
      <w:r w:rsidRPr="006D0778">
        <w:rPr>
          <w:rFonts w:eastAsia="MS PGothic" w:cstheme="minorHAnsi"/>
          <w:szCs w:val="20"/>
          <w:lang w:eastAsia="ja-JP"/>
        </w:rPr>
        <w:t>Највећи део субвенција предузећа углавном користе за капиталне пројекте, док одређени број предузећа користи и за одржавање текуће ликвидности. Учешће исплаћених субвенција у укупним расходима буџета из године у годину креће се у распону 3-4%.</w:t>
      </w:r>
    </w:p>
    <w:p w14:paraId="6EB89B35" w14:textId="77777777" w:rsidR="006D0778" w:rsidRPr="006D0778" w:rsidRDefault="006D0778" w:rsidP="006D0778">
      <w:pPr>
        <w:jc w:val="left"/>
        <w:rPr>
          <w:rFonts w:eastAsia="MS PGothic" w:cstheme="minorHAnsi"/>
          <w:szCs w:val="20"/>
          <w:lang w:eastAsia="ja-JP"/>
        </w:rPr>
      </w:pPr>
      <w:r w:rsidRPr="006D0778">
        <w:rPr>
          <w:rFonts w:eastAsia="MS PGothic" w:cstheme="minorHAnsi"/>
          <w:szCs w:val="20"/>
          <w:lang w:eastAsia="ja-JP"/>
        </w:rPr>
        <w:t>Табела 13. Преглед корисника субвенције (36 ДП) и њихово учешће у укупним расходима буџета РС</w:t>
      </w:r>
    </w:p>
    <w:tbl>
      <w:tblPr>
        <w:tblW w:w="5000" w:type="pct"/>
        <w:tblLook w:val="04A0" w:firstRow="1" w:lastRow="0" w:firstColumn="1" w:lastColumn="0" w:noHBand="0" w:noVBand="1"/>
      </w:tblPr>
      <w:tblGrid>
        <w:gridCol w:w="4238"/>
        <w:gridCol w:w="1197"/>
        <w:gridCol w:w="1197"/>
        <w:gridCol w:w="1197"/>
        <w:gridCol w:w="1197"/>
      </w:tblGrid>
      <w:tr w:rsidR="006D0778" w:rsidRPr="006D0778" w14:paraId="40EC96A4" w14:textId="77777777" w:rsidTr="00D2109C">
        <w:trPr>
          <w:trHeight w:val="20"/>
        </w:trPr>
        <w:tc>
          <w:tcPr>
            <w:tcW w:w="2348" w:type="pct"/>
            <w:tcBorders>
              <w:top w:val="single" w:sz="4" w:space="0" w:color="002060"/>
              <w:left w:val="nil"/>
              <w:bottom w:val="single" w:sz="4" w:space="0" w:color="002060"/>
              <w:right w:val="nil"/>
            </w:tcBorders>
            <w:shd w:val="clear" w:color="auto" w:fill="FFFFFF" w:themeFill="background1"/>
            <w:noWrap/>
            <w:vAlign w:val="center"/>
            <w:hideMark/>
          </w:tcPr>
          <w:p w14:paraId="3B272EC6" w14:textId="77777777" w:rsidR="006D0778" w:rsidRPr="006D0778" w:rsidRDefault="006D0778" w:rsidP="006D0778">
            <w:pPr>
              <w:spacing w:after="0"/>
              <w:jc w:val="center"/>
              <w:rPr>
                <w:rFonts w:eastAsia="Times New Roman" w:cs="Times New Roman"/>
                <w:b/>
                <w:bCs/>
                <w:sz w:val="22"/>
              </w:rPr>
            </w:pPr>
            <w:r w:rsidRPr="006D0778">
              <w:rPr>
                <w:rFonts w:eastAsia="Times New Roman" w:cs="Times New Roman"/>
                <w:b/>
                <w:bCs/>
                <w:sz w:val="22"/>
              </w:rPr>
              <w:t>Године</w:t>
            </w:r>
          </w:p>
        </w:tc>
        <w:tc>
          <w:tcPr>
            <w:tcW w:w="663" w:type="pct"/>
            <w:tcBorders>
              <w:top w:val="single" w:sz="4" w:space="0" w:color="002060"/>
              <w:left w:val="nil"/>
              <w:bottom w:val="single" w:sz="4" w:space="0" w:color="002060"/>
              <w:right w:val="nil"/>
            </w:tcBorders>
            <w:shd w:val="clear" w:color="auto" w:fill="FFFFFF" w:themeFill="background1"/>
            <w:noWrap/>
            <w:vAlign w:val="center"/>
            <w:hideMark/>
          </w:tcPr>
          <w:p w14:paraId="693A38C5" w14:textId="77777777" w:rsidR="006D0778" w:rsidRPr="006D0778" w:rsidRDefault="006D0778" w:rsidP="006D0778">
            <w:pPr>
              <w:spacing w:after="0"/>
              <w:jc w:val="center"/>
              <w:rPr>
                <w:rFonts w:eastAsia="Times New Roman" w:cs="Times New Roman"/>
                <w:b/>
                <w:bCs/>
                <w:sz w:val="22"/>
              </w:rPr>
            </w:pPr>
            <w:r w:rsidRPr="006D0778">
              <w:rPr>
                <w:rFonts w:eastAsia="Times New Roman" w:cs="Times New Roman"/>
                <w:b/>
                <w:bCs/>
                <w:sz w:val="22"/>
              </w:rPr>
              <w:t>2020</w:t>
            </w:r>
          </w:p>
        </w:tc>
        <w:tc>
          <w:tcPr>
            <w:tcW w:w="663" w:type="pct"/>
            <w:tcBorders>
              <w:top w:val="single" w:sz="4" w:space="0" w:color="002060"/>
              <w:left w:val="nil"/>
              <w:bottom w:val="single" w:sz="4" w:space="0" w:color="002060"/>
              <w:right w:val="nil"/>
            </w:tcBorders>
            <w:shd w:val="clear" w:color="auto" w:fill="FFFFFF" w:themeFill="background1"/>
            <w:noWrap/>
            <w:vAlign w:val="center"/>
            <w:hideMark/>
          </w:tcPr>
          <w:p w14:paraId="79A0CB68" w14:textId="77777777" w:rsidR="006D0778" w:rsidRPr="006D0778" w:rsidRDefault="006D0778" w:rsidP="006D0778">
            <w:pPr>
              <w:spacing w:after="0"/>
              <w:jc w:val="center"/>
              <w:rPr>
                <w:rFonts w:eastAsia="Times New Roman" w:cs="Times New Roman"/>
                <w:b/>
                <w:bCs/>
                <w:sz w:val="22"/>
              </w:rPr>
            </w:pPr>
            <w:r w:rsidRPr="006D0778">
              <w:rPr>
                <w:rFonts w:eastAsia="Times New Roman" w:cs="Times New Roman"/>
                <w:b/>
                <w:bCs/>
                <w:sz w:val="22"/>
              </w:rPr>
              <w:t>2021</w:t>
            </w:r>
          </w:p>
        </w:tc>
        <w:tc>
          <w:tcPr>
            <w:tcW w:w="663" w:type="pct"/>
            <w:tcBorders>
              <w:top w:val="single" w:sz="4" w:space="0" w:color="002060"/>
              <w:left w:val="nil"/>
              <w:bottom w:val="single" w:sz="4" w:space="0" w:color="002060"/>
              <w:right w:val="nil"/>
            </w:tcBorders>
            <w:shd w:val="clear" w:color="auto" w:fill="FFFFFF" w:themeFill="background1"/>
            <w:noWrap/>
            <w:vAlign w:val="center"/>
            <w:hideMark/>
          </w:tcPr>
          <w:p w14:paraId="28A85FED" w14:textId="77777777" w:rsidR="006D0778" w:rsidRPr="006D0778" w:rsidRDefault="006D0778" w:rsidP="006D0778">
            <w:pPr>
              <w:spacing w:after="0"/>
              <w:jc w:val="center"/>
              <w:rPr>
                <w:rFonts w:eastAsia="Times New Roman" w:cs="Times New Roman"/>
                <w:b/>
                <w:bCs/>
                <w:sz w:val="22"/>
              </w:rPr>
            </w:pPr>
            <w:r w:rsidRPr="006D0778">
              <w:rPr>
                <w:rFonts w:eastAsia="Times New Roman" w:cs="Times New Roman"/>
                <w:b/>
                <w:bCs/>
                <w:sz w:val="22"/>
              </w:rPr>
              <w:t>2022</w:t>
            </w:r>
          </w:p>
        </w:tc>
        <w:tc>
          <w:tcPr>
            <w:tcW w:w="663" w:type="pct"/>
            <w:tcBorders>
              <w:top w:val="single" w:sz="4" w:space="0" w:color="002060"/>
              <w:left w:val="nil"/>
              <w:bottom w:val="single" w:sz="4" w:space="0" w:color="002060"/>
              <w:right w:val="nil"/>
            </w:tcBorders>
            <w:shd w:val="clear" w:color="auto" w:fill="FFFFFF" w:themeFill="background1"/>
            <w:noWrap/>
            <w:vAlign w:val="center"/>
            <w:hideMark/>
          </w:tcPr>
          <w:p w14:paraId="5E74C669" w14:textId="77777777" w:rsidR="006D0778" w:rsidRPr="006D0778" w:rsidRDefault="006D0778" w:rsidP="006D0778">
            <w:pPr>
              <w:spacing w:after="0"/>
              <w:jc w:val="center"/>
              <w:rPr>
                <w:rFonts w:eastAsia="Times New Roman" w:cs="Times New Roman"/>
                <w:b/>
                <w:bCs/>
                <w:sz w:val="22"/>
              </w:rPr>
            </w:pPr>
            <w:r w:rsidRPr="006D0778">
              <w:rPr>
                <w:rFonts w:eastAsia="Times New Roman" w:cs="Times New Roman"/>
                <w:b/>
                <w:bCs/>
                <w:sz w:val="22"/>
              </w:rPr>
              <w:t>2023</w:t>
            </w:r>
          </w:p>
        </w:tc>
      </w:tr>
      <w:tr w:rsidR="006D0778" w:rsidRPr="006D0778" w14:paraId="47439251" w14:textId="77777777" w:rsidTr="00D2109C">
        <w:trPr>
          <w:trHeight w:val="20"/>
        </w:trPr>
        <w:tc>
          <w:tcPr>
            <w:tcW w:w="2348" w:type="pct"/>
            <w:tcBorders>
              <w:top w:val="nil"/>
              <w:left w:val="nil"/>
              <w:bottom w:val="nil"/>
              <w:right w:val="nil"/>
            </w:tcBorders>
            <w:shd w:val="clear" w:color="000000" w:fill="FFFFFF"/>
            <w:noWrap/>
            <w:vAlign w:val="center"/>
            <w:hideMark/>
          </w:tcPr>
          <w:p w14:paraId="4F5BEC04" w14:textId="77777777" w:rsidR="006D0778" w:rsidRPr="006D0778" w:rsidRDefault="006D0778" w:rsidP="006D0778">
            <w:pPr>
              <w:spacing w:after="0"/>
              <w:jc w:val="left"/>
              <w:rPr>
                <w:rFonts w:eastAsia="Times New Roman" w:cs="Times New Roman"/>
                <w:sz w:val="22"/>
              </w:rPr>
            </w:pPr>
            <w:r w:rsidRPr="006D0778">
              <w:rPr>
                <w:rFonts w:eastAsia="Times New Roman" w:cs="Times New Roman"/>
                <w:sz w:val="22"/>
              </w:rPr>
              <w:t>Број корисника субвенција (од 36 ДП)</w:t>
            </w:r>
          </w:p>
        </w:tc>
        <w:tc>
          <w:tcPr>
            <w:tcW w:w="663" w:type="pct"/>
            <w:tcBorders>
              <w:top w:val="nil"/>
              <w:left w:val="nil"/>
              <w:bottom w:val="nil"/>
              <w:right w:val="nil"/>
            </w:tcBorders>
            <w:shd w:val="clear" w:color="000000" w:fill="FFFFFF"/>
            <w:noWrap/>
            <w:vAlign w:val="center"/>
            <w:hideMark/>
          </w:tcPr>
          <w:p w14:paraId="147A3883" w14:textId="77777777" w:rsidR="006D0778" w:rsidRPr="006D0778" w:rsidRDefault="006D0778" w:rsidP="006D0778">
            <w:pPr>
              <w:spacing w:after="0"/>
              <w:jc w:val="center"/>
              <w:rPr>
                <w:rFonts w:eastAsia="Times New Roman" w:cs="Times New Roman"/>
                <w:sz w:val="22"/>
              </w:rPr>
            </w:pPr>
            <w:r w:rsidRPr="006D0778">
              <w:rPr>
                <w:rFonts w:eastAsia="Times New Roman" w:cs="Times New Roman"/>
                <w:sz w:val="22"/>
              </w:rPr>
              <w:t>23</w:t>
            </w:r>
          </w:p>
        </w:tc>
        <w:tc>
          <w:tcPr>
            <w:tcW w:w="663" w:type="pct"/>
            <w:tcBorders>
              <w:top w:val="nil"/>
              <w:left w:val="nil"/>
              <w:bottom w:val="nil"/>
              <w:right w:val="nil"/>
            </w:tcBorders>
            <w:shd w:val="clear" w:color="000000" w:fill="FFFFFF"/>
            <w:noWrap/>
            <w:vAlign w:val="center"/>
            <w:hideMark/>
          </w:tcPr>
          <w:p w14:paraId="2FD6B203" w14:textId="77777777" w:rsidR="006D0778" w:rsidRPr="006D0778" w:rsidRDefault="006D0778" w:rsidP="006D0778">
            <w:pPr>
              <w:spacing w:after="0"/>
              <w:jc w:val="center"/>
              <w:rPr>
                <w:rFonts w:eastAsia="Times New Roman" w:cs="Times New Roman"/>
                <w:sz w:val="22"/>
              </w:rPr>
            </w:pPr>
            <w:r w:rsidRPr="006D0778">
              <w:rPr>
                <w:rFonts w:eastAsia="Times New Roman" w:cs="Times New Roman"/>
                <w:sz w:val="22"/>
              </w:rPr>
              <w:t>25</w:t>
            </w:r>
          </w:p>
        </w:tc>
        <w:tc>
          <w:tcPr>
            <w:tcW w:w="663" w:type="pct"/>
            <w:tcBorders>
              <w:top w:val="nil"/>
              <w:left w:val="nil"/>
              <w:bottom w:val="nil"/>
              <w:right w:val="nil"/>
            </w:tcBorders>
            <w:shd w:val="clear" w:color="000000" w:fill="FFFFFF"/>
            <w:noWrap/>
            <w:vAlign w:val="center"/>
            <w:hideMark/>
          </w:tcPr>
          <w:p w14:paraId="5A77EE50" w14:textId="77777777" w:rsidR="006D0778" w:rsidRPr="006D0778" w:rsidRDefault="006D0778" w:rsidP="006D0778">
            <w:pPr>
              <w:spacing w:after="0"/>
              <w:jc w:val="center"/>
              <w:rPr>
                <w:rFonts w:eastAsia="Times New Roman" w:cs="Times New Roman"/>
                <w:sz w:val="22"/>
              </w:rPr>
            </w:pPr>
            <w:r w:rsidRPr="006D0778">
              <w:rPr>
                <w:rFonts w:eastAsia="Times New Roman" w:cs="Times New Roman"/>
                <w:sz w:val="22"/>
              </w:rPr>
              <w:t>25</w:t>
            </w:r>
          </w:p>
        </w:tc>
        <w:tc>
          <w:tcPr>
            <w:tcW w:w="663" w:type="pct"/>
            <w:tcBorders>
              <w:top w:val="nil"/>
              <w:left w:val="nil"/>
              <w:bottom w:val="nil"/>
              <w:right w:val="nil"/>
            </w:tcBorders>
            <w:shd w:val="clear" w:color="000000" w:fill="FFFFFF"/>
            <w:noWrap/>
            <w:vAlign w:val="center"/>
            <w:hideMark/>
          </w:tcPr>
          <w:p w14:paraId="45FE4901" w14:textId="77777777" w:rsidR="006D0778" w:rsidRPr="006D0778" w:rsidRDefault="006D0778" w:rsidP="006D0778">
            <w:pPr>
              <w:spacing w:after="0"/>
              <w:jc w:val="center"/>
              <w:rPr>
                <w:rFonts w:eastAsia="Times New Roman" w:cs="Times New Roman"/>
                <w:sz w:val="22"/>
              </w:rPr>
            </w:pPr>
            <w:r w:rsidRPr="006D0778">
              <w:rPr>
                <w:rFonts w:eastAsia="Times New Roman" w:cs="Times New Roman"/>
                <w:sz w:val="22"/>
              </w:rPr>
              <w:t>27</w:t>
            </w:r>
          </w:p>
        </w:tc>
      </w:tr>
      <w:tr w:rsidR="006D0778" w:rsidRPr="006D0778" w14:paraId="3321EF1E" w14:textId="77777777" w:rsidTr="00D2109C">
        <w:trPr>
          <w:trHeight w:val="20"/>
        </w:trPr>
        <w:tc>
          <w:tcPr>
            <w:tcW w:w="2348" w:type="pct"/>
            <w:tcBorders>
              <w:top w:val="nil"/>
              <w:left w:val="nil"/>
              <w:bottom w:val="nil"/>
              <w:right w:val="nil"/>
            </w:tcBorders>
            <w:shd w:val="clear" w:color="000000" w:fill="FFFFFF"/>
            <w:noWrap/>
            <w:vAlign w:val="center"/>
            <w:hideMark/>
          </w:tcPr>
          <w:p w14:paraId="0650F6EF" w14:textId="77777777" w:rsidR="006D0778" w:rsidRPr="006D0778" w:rsidRDefault="006D0778" w:rsidP="006D0778">
            <w:pPr>
              <w:spacing w:after="0"/>
              <w:jc w:val="left"/>
              <w:rPr>
                <w:rFonts w:eastAsia="Times New Roman" w:cs="Times New Roman"/>
                <w:sz w:val="22"/>
              </w:rPr>
            </w:pPr>
            <w:r w:rsidRPr="006D0778">
              <w:rPr>
                <w:rFonts w:eastAsia="Times New Roman" w:cs="Times New Roman"/>
                <w:sz w:val="22"/>
              </w:rPr>
              <w:t>Исплаћене субвенције (млрд РСД)</w:t>
            </w:r>
          </w:p>
        </w:tc>
        <w:tc>
          <w:tcPr>
            <w:tcW w:w="663" w:type="pct"/>
            <w:tcBorders>
              <w:top w:val="nil"/>
              <w:left w:val="nil"/>
              <w:bottom w:val="nil"/>
              <w:right w:val="nil"/>
            </w:tcBorders>
            <w:shd w:val="clear" w:color="000000" w:fill="FFFFFF"/>
            <w:noWrap/>
            <w:vAlign w:val="center"/>
            <w:hideMark/>
          </w:tcPr>
          <w:p w14:paraId="6B1DE991" w14:textId="77777777" w:rsidR="006D0778" w:rsidRPr="006D0778" w:rsidRDefault="006D0778" w:rsidP="006D0778">
            <w:pPr>
              <w:spacing w:after="0"/>
              <w:jc w:val="center"/>
              <w:rPr>
                <w:rFonts w:eastAsia="Times New Roman" w:cs="Times New Roman"/>
                <w:sz w:val="22"/>
              </w:rPr>
            </w:pPr>
            <w:r w:rsidRPr="006D0778">
              <w:rPr>
                <w:rFonts w:eastAsia="Times New Roman" w:cs="Times New Roman"/>
                <w:sz w:val="22"/>
              </w:rPr>
              <w:t>66,7</w:t>
            </w:r>
          </w:p>
        </w:tc>
        <w:tc>
          <w:tcPr>
            <w:tcW w:w="663" w:type="pct"/>
            <w:tcBorders>
              <w:top w:val="nil"/>
              <w:left w:val="nil"/>
              <w:bottom w:val="nil"/>
              <w:right w:val="nil"/>
            </w:tcBorders>
            <w:shd w:val="clear" w:color="000000" w:fill="FFFFFF"/>
            <w:noWrap/>
            <w:vAlign w:val="center"/>
            <w:hideMark/>
          </w:tcPr>
          <w:p w14:paraId="75964919" w14:textId="77777777" w:rsidR="006D0778" w:rsidRPr="006D0778" w:rsidRDefault="006D0778" w:rsidP="006D0778">
            <w:pPr>
              <w:spacing w:after="0"/>
              <w:jc w:val="center"/>
              <w:rPr>
                <w:rFonts w:eastAsia="Times New Roman" w:cs="Times New Roman"/>
                <w:sz w:val="22"/>
              </w:rPr>
            </w:pPr>
            <w:r w:rsidRPr="006D0778">
              <w:rPr>
                <w:rFonts w:eastAsia="Times New Roman" w:cs="Times New Roman"/>
                <w:sz w:val="22"/>
              </w:rPr>
              <w:t>67,3</w:t>
            </w:r>
          </w:p>
        </w:tc>
        <w:tc>
          <w:tcPr>
            <w:tcW w:w="663" w:type="pct"/>
            <w:tcBorders>
              <w:top w:val="nil"/>
              <w:left w:val="nil"/>
              <w:bottom w:val="nil"/>
              <w:right w:val="nil"/>
            </w:tcBorders>
            <w:shd w:val="clear" w:color="000000" w:fill="FFFFFF"/>
            <w:noWrap/>
            <w:vAlign w:val="center"/>
            <w:hideMark/>
          </w:tcPr>
          <w:p w14:paraId="217F33CD" w14:textId="77777777" w:rsidR="006D0778" w:rsidRPr="006D0778" w:rsidRDefault="006D0778" w:rsidP="006D0778">
            <w:pPr>
              <w:spacing w:after="0"/>
              <w:jc w:val="center"/>
              <w:rPr>
                <w:rFonts w:eastAsia="Times New Roman" w:cs="Times New Roman"/>
                <w:sz w:val="22"/>
              </w:rPr>
            </w:pPr>
            <w:r w:rsidRPr="006D0778">
              <w:rPr>
                <w:rFonts w:eastAsia="Times New Roman" w:cs="Times New Roman"/>
                <w:sz w:val="22"/>
              </w:rPr>
              <w:t>56,0</w:t>
            </w:r>
          </w:p>
        </w:tc>
        <w:tc>
          <w:tcPr>
            <w:tcW w:w="663" w:type="pct"/>
            <w:tcBorders>
              <w:top w:val="nil"/>
              <w:left w:val="nil"/>
              <w:bottom w:val="nil"/>
              <w:right w:val="nil"/>
            </w:tcBorders>
            <w:shd w:val="clear" w:color="000000" w:fill="FFFFFF"/>
            <w:noWrap/>
            <w:vAlign w:val="center"/>
            <w:hideMark/>
          </w:tcPr>
          <w:p w14:paraId="27F312B8" w14:textId="77777777" w:rsidR="006D0778" w:rsidRPr="006D0778" w:rsidRDefault="006D0778" w:rsidP="006D0778">
            <w:pPr>
              <w:spacing w:after="0"/>
              <w:jc w:val="center"/>
              <w:rPr>
                <w:rFonts w:eastAsia="Times New Roman" w:cs="Times New Roman"/>
                <w:sz w:val="22"/>
              </w:rPr>
            </w:pPr>
            <w:r w:rsidRPr="006D0778">
              <w:rPr>
                <w:rFonts w:eastAsia="Times New Roman" w:cs="Times New Roman"/>
                <w:sz w:val="22"/>
              </w:rPr>
              <w:t>67,9</w:t>
            </w:r>
          </w:p>
        </w:tc>
      </w:tr>
      <w:tr w:rsidR="006D0778" w:rsidRPr="006D0778" w14:paraId="504D7FBC" w14:textId="77777777" w:rsidTr="00D2109C">
        <w:trPr>
          <w:trHeight w:val="20"/>
        </w:trPr>
        <w:tc>
          <w:tcPr>
            <w:tcW w:w="2348" w:type="pct"/>
            <w:tcBorders>
              <w:top w:val="nil"/>
              <w:left w:val="nil"/>
              <w:bottom w:val="nil"/>
              <w:right w:val="nil"/>
            </w:tcBorders>
            <w:shd w:val="clear" w:color="000000" w:fill="FFFFFF"/>
            <w:noWrap/>
            <w:vAlign w:val="center"/>
            <w:hideMark/>
          </w:tcPr>
          <w:p w14:paraId="37DF164F" w14:textId="77777777" w:rsidR="006D0778" w:rsidRPr="006D0778" w:rsidRDefault="006D0778" w:rsidP="006D0778">
            <w:pPr>
              <w:spacing w:after="0"/>
              <w:jc w:val="left"/>
              <w:rPr>
                <w:rFonts w:eastAsia="Times New Roman" w:cs="Times New Roman"/>
                <w:sz w:val="22"/>
              </w:rPr>
            </w:pPr>
            <w:r w:rsidRPr="006D0778">
              <w:rPr>
                <w:rFonts w:eastAsia="Times New Roman" w:cs="Times New Roman"/>
                <w:sz w:val="22"/>
              </w:rPr>
              <w:t>Укупни расходи буџета РС (млрд РСД)</w:t>
            </w:r>
          </w:p>
        </w:tc>
        <w:tc>
          <w:tcPr>
            <w:tcW w:w="663" w:type="pct"/>
            <w:tcBorders>
              <w:top w:val="nil"/>
              <w:left w:val="nil"/>
              <w:bottom w:val="nil"/>
              <w:right w:val="nil"/>
            </w:tcBorders>
            <w:shd w:val="clear" w:color="000000" w:fill="FFFFFF"/>
            <w:noWrap/>
            <w:vAlign w:val="center"/>
            <w:hideMark/>
          </w:tcPr>
          <w:p w14:paraId="0467A853" w14:textId="77777777" w:rsidR="006D0778" w:rsidRPr="006D0778" w:rsidRDefault="006D0778" w:rsidP="006D0778">
            <w:pPr>
              <w:spacing w:after="0"/>
              <w:jc w:val="center"/>
              <w:rPr>
                <w:rFonts w:eastAsia="Times New Roman" w:cs="Times New Roman"/>
                <w:sz w:val="22"/>
              </w:rPr>
            </w:pPr>
            <w:r w:rsidRPr="006D0778">
              <w:rPr>
                <w:rFonts w:eastAsia="Times New Roman" w:cs="Times New Roman"/>
                <w:sz w:val="22"/>
              </w:rPr>
              <w:t>1.717</w:t>
            </w:r>
          </w:p>
        </w:tc>
        <w:tc>
          <w:tcPr>
            <w:tcW w:w="663" w:type="pct"/>
            <w:tcBorders>
              <w:top w:val="nil"/>
              <w:left w:val="nil"/>
              <w:bottom w:val="nil"/>
              <w:right w:val="nil"/>
            </w:tcBorders>
            <w:shd w:val="clear" w:color="000000" w:fill="FFFFFF"/>
            <w:noWrap/>
            <w:vAlign w:val="center"/>
            <w:hideMark/>
          </w:tcPr>
          <w:p w14:paraId="17B1208B" w14:textId="77777777" w:rsidR="006D0778" w:rsidRPr="006D0778" w:rsidRDefault="006D0778" w:rsidP="006D0778">
            <w:pPr>
              <w:spacing w:after="0"/>
              <w:jc w:val="center"/>
              <w:rPr>
                <w:rFonts w:eastAsia="Times New Roman" w:cs="Times New Roman"/>
                <w:sz w:val="22"/>
              </w:rPr>
            </w:pPr>
            <w:r w:rsidRPr="006D0778">
              <w:rPr>
                <w:rFonts w:eastAsia="Times New Roman" w:cs="Times New Roman"/>
                <w:sz w:val="22"/>
              </w:rPr>
              <w:t>1.751</w:t>
            </w:r>
          </w:p>
        </w:tc>
        <w:tc>
          <w:tcPr>
            <w:tcW w:w="663" w:type="pct"/>
            <w:tcBorders>
              <w:top w:val="nil"/>
              <w:left w:val="nil"/>
              <w:bottom w:val="nil"/>
              <w:right w:val="nil"/>
            </w:tcBorders>
            <w:shd w:val="clear" w:color="000000" w:fill="FFFFFF"/>
            <w:noWrap/>
            <w:vAlign w:val="center"/>
            <w:hideMark/>
          </w:tcPr>
          <w:p w14:paraId="013A244E" w14:textId="77777777" w:rsidR="006D0778" w:rsidRPr="006D0778" w:rsidRDefault="006D0778" w:rsidP="006D0778">
            <w:pPr>
              <w:spacing w:after="0"/>
              <w:jc w:val="center"/>
              <w:rPr>
                <w:rFonts w:eastAsia="Times New Roman" w:cs="Times New Roman"/>
                <w:sz w:val="22"/>
              </w:rPr>
            </w:pPr>
            <w:r w:rsidRPr="006D0778">
              <w:rPr>
                <w:rFonts w:eastAsia="Times New Roman" w:cs="Times New Roman"/>
                <w:sz w:val="22"/>
              </w:rPr>
              <w:t>1.915</w:t>
            </w:r>
          </w:p>
        </w:tc>
        <w:tc>
          <w:tcPr>
            <w:tcW w:w="663" w:type="pct"/>
            <w:tcBorders>
              <w:top w:val="nil"/>
              <w:left w:val="nil"/>
              <w:bottom w:val="nil"/>
              <w:right w:val="nil"/>
            </w:tcBorders>
            <w:shd w:val="clear" w:color="000000" w:fill="FFFFFF"/>
            <w:noWrap/>
            <w:vAlign w:val="center"/>
            <w:hideMark/>
          </w:tcPr>
          <w:p w14:paraId="2E8F7378" w14:textId="77777777" w:rsidR="006D0778" w:rsidRPr="006D0778" w:rsidRDefault="006D0778" w:rsidP="006D0778">
            <w:pPr>
              <w:spacing w:after="0"/>
              <w:jc w:val="center"/>
              <w:rPr>
                <w:rFonts w:eastAsia="Times New Roman" w:cs="Times New Roman"/>
                <w:sz w:val="22"/>
              </w:rPr>
            </w:pPr>
            <w:r w:rsidRPr="006D0778">
              <w:rPr>
                <w:rFonts w:eastAsia="Times New Roman" w:cs="Times New Roman"/>
                <w:sz w:val="22"/>
              </w:rPr>
              <w:t>2.068</w:t>
            </w:r>
          </w:p>
        </w:tc>
      </w:tr>
      <w:tr w:rsidR="006D0778" w:rsidRPr="006D0778" w14:paraId="14C28DC1" w14:textId="77777777" w:rsidTr="00D2109C">
        <w:trPr>
          <w:trHeight w:val="20"/>
        </w:trPr>
        <w:tc>
          <w:tcPr>
            <w:tcW w:w="2348" w:type="pct"/>
            <w:tcBorders>
              <w:top w:val="nil"/>
              <w:left w:val="nil"/>
              <w:bottom w:val="single" w:sz="4" w:space="0" w:color="002060"/>
              <w:right w:val="nil"/>
            </w:tcBorders>
            <w:shd w:val="clear" w:color="000000" w:fill="FFFFFF"/>
            <w:noWrap/>
            <w:vAlign w:val="center"/>
            <w:hideMark/>
          </w:tcPr>
          <w:p w14:paraId="482A3D07" w14:textId="77777777" w:rsidR="006D0778" w:rsidRPr="006D0778" w:rsidRDefault="006D0778" w:rsidP="006D0778">
            <w:pPr>
              <w:spacing w:after="0"/>
              <w:jc w:val="left"/>
              <w:rPr>
                <w:rFonts w:eastAsia="Times New Roman" w:cs="Times New Roman"/>
                <w:b/>
                <w:bCs/>
                <w:i/>
                <w:iCs/>
                <w:sz w:val="22"/>
              </w:rPr>
            </w:pPr>
            <w:r w:rsidRPr="006D0778">
              <w:rPr>
                <w:rFonts w:eastAsia="Times New Roman" w:cs="Times New Roman"/>
                <w:b/>
                <w:bCs/>
                <w:i/>
                <w:iCs/>
                <w:sz w:val="22"/>
              </w:rPr>
              <w:t>% исплаћене субвенције/расходи буџета</w:t>
            </w:r>
          </w:p>
        </w:tc>
        <w:tc>
          <w:tcPr>
            <w:tcW w:w="663" w:type="pct"/>
            <w:tcBorders>
              <w:top w:val="nil"/>
              <w:left w:val="nil"/>
              <w:bottom w:val="single" w:sz="4" w:space="0" w:color="002060"/>
              <w:right w:val="nil"/>
            </w:tcBorders>
            <w:shd w:val="clear" w:color="000000" w:fill="FFFFFF"/>
            <w:noWrap/>
            <w:vAlign w:val="center"/>
            <w:hideMark/>
          </w:tcPr>
          <w:p w14:paraId="17742317" w14:textId="77777777" w:rsidR="006D0778" w:rsidRPr="006D0778" w:rsidRDefault="006D0778" w:rsidP="006D0778">
            <w:pPr>
              <w:spacing w:after="0"/>
              <w:jc w:val="center"/>
              <w:rPr>
                <w:rFonts w:eastAsia="Times New Roman" w:cs="Times New Roman"/>
                <w:b/>
                <w:bCs/>
                <w:i/>
                <w:iCs/>
                <w:sz w:val="22"/>
              </w:rPr>
            </w:pPr>
            <w:r w:rsidRPr="006D0778">
              <w:rPr>
                <w:rFonts w:eastAsia="Times New Roman" w:cs="Times New Roman"/>
                <w:b/>
                <w:bCs/>
                <w:i/>
                <w:iCs/>
                <w:sz w:val="22"/>
              </w:rPr>
              <w:t>3,9%</w:t>
            </w:r>
          </w:p>
        </w:tc>
        <w:tc>
          <w:tcPr>
            <w:tcW w:w="663" w:type="pct"/>
            <w:tcBorders>
              <w:top w:val="nil"/>
              <w:left w:val="nil"/>
              <w:bottom w:val="single" w:sz="4" w:space="0" w:color="002060"/>
              <w:right w:val="nil"/>
            </w:tcBorders>
            <w:shd w:val="clear" w:color="000000" w:fill="FFFFFF"/>
            <w:noWrap/>
            <w:vAlign w:val="center"/>
            <w:hideMark/>
          </w:tcPr>
          <w:p w14:paraId="5D72F242" w14:textId="77777777" w:rsidR="006D0778" w:rsidRPr="006D0778" w:rsidRDefault="006D0778" w:rsidP="006D0778">
            <w:pPr>
              <w:spacing w:after="0"/>
              <w:jc w:val="center"/>
              <w:rPr>
                <w:rFonts w:eastAsia="Times New Roman" w:cs="Times New Roman"/>
                <w:b/>
                <w:bCs/>
                <w:i/>
                <w:iCs/>
                <w:sz w:val="22"/>
              </w:rPr>
            </w:pPr>
            <w:r w:rsidRPr="006D0778">
              <w:rPr>
                <w:rFonts w:eastAsia="Times New Roman" w:cs="Times New Roman"/>
                <w:b/>
                <w:bCs/>
                <w:i/>
                <w:iCs/>
                <w:sz w:val="22"/>
              </w:rPr>
              <w:t>3,8%</w:t>
            </w:r>
          </w:p>
        </w:tc>
        <w:tc>
          <w:tcPr>
            <w:tcW w:w="663" w:type="pct"/>
            <w:tcBorders>
              <w:top w:val="nil"/>
              <w:left w:val="nil"/>
              <w:bottom w:val="single" w:sz="4" w:space="0" w:color="002060"/>
              <w:right w:val="nil"/>
            </w:tcBorders>
            <w:shd w:val="clear" w:color="000000" w:fill="FFFFFF"/>
            <w:noWrap/>
            <w:vAlign w:val="center"/>
            <w:hideMark/>
          </w:tcPr>
          <w:p w14:paraId="1DC4C411" w14:textId="77777777" w:rsidR="006D0778" w:rsidRPr="006D0778" w:rsidRDefault="006D0778" w:rsidP="006D0778">
            <w:pPr>
              <w:spacing w:after="0"/>
              <w:jc w:val="center"/>
              <w:rPr>
                <w:rFonts w:eastAsia="Times New Roman" w:cs="Times New Roman"/>
                <w:b/>
                <w:bCs/>
                <w:i/>
                <w:iCs/>
                <w:sz w:val="22"/>
              </w:rPr>
            </w:pPr>
            <w:r w:rsidRPr="006D0778">
              <w:rPr>
                <w:rFonts w:eastAsia="Times New Roman" w:cs="Times New Roman"/>
                <w:b/>
                <w:bCs/>
                <w:i/>
                <w:iCs/>
                <w:sz w:val="22"/>
              </w:rPr>
              <w:t>2,9%</w:t>
            </w:r>
          </w:p>
        </w:tc>
        <w:tc>
          <w:tcPr>
            <w:tcW w:w="663" w:type="pct"/>
            <w:tcBorders>
              <w:top w:val="nil"/>
              <w:left w:val="nil"/>
              <w:bottom w:val="single" w:sz="4" w:space="0" w:color="002060"/>
              <w:right w:val="nil"/>
            </w:tcBorders>
            <w:shd w:val="clear" w:color="000000" w:fill="FFFFFF"/>
            <w:noWrap/>
            <w:vAlign w:val="center"/>
            <w:hideMark/>
          </w:tcPr>
          <w:p w14:paraId="20A27DD8" w14:textId="77777777" w:rsidR="006D0778" w:rsidRPr="006D0778" w:rsidRDefault="006D0778" w:rsidP="006D0778">
            <w:pPr>
              <w:spacing w:after="0"/>
              <w:jc w:val="center"/>
              <w:rPr>
                <w:rFonts w:eastAsia="Times New Roman" w:cs="Times New Roman"/>
                <w:b/>
                <w:bCs/>
                <w:i/>
                <w:iCs/>
                <w:sz w:val="22"/>
              </w:rPr>
            </w:pPr>
            <w:r w:rsidRPr="006D0778">
              <w:rPr>
                <w:rFonts w:eastAsia="Times New Roman" w:cs="Times New Roman"/>
                <w:b/>
                <w:bCs/>
                <w:i/>
                <w:iCs/>
                <w:sz w:val="22"/>
              </w:rPr>
              <w:t>3,3%</w:t>
            </w:r>
          </w:p>
        </w:tc>
      </w:tr>
    </w:tbl>
    <w:p w14:paraId="06C4E721" w14:textId="77777777" w:rsidR="006D0778" w:rsidRPr="006D0778" w:rsidRDefault="006D0778" w:rsidP="006D0778">
      <w:pPr>
        <w:spacing w:after="0" w:line="276" w:lineRule="auto"/>
        <w:rPr>
          <w:rFonts w:eastAsia="MS PGothic" w:cstheme="minorHAnsi"/>
          <w:sz w:val="16"/>
          <w:szCs w:val="16"/>
          <w:lang w:eastAsia="ja-JP"/>
        </w:rPr>
      </w:pPr>
      <w:r w:rsidRPr="006D0778">
        <w:rPr>
          <w:rFonts w:eastAsia="MS PGothic" w:cstheme="minorHAnsi"/>
          <w:sz w:val="16"/>
          <w:szCs w:val="16"/>
          <w:lang w:eastAsia="ja-JP"/>
        </w:rPr>
        <w:t xml:space="preserve"> Извор: Министарство финансија</w:t>
      </w:r>
    </w:p>
    <w:p w14:paraId="4AE39170" w14:textId="77777777" w:rsidR="006D0778" w:rsidRPr="006D0778" w:rsidRDefault="006D0778" w:rsidP="006D0778">
      <w:pPr>
        <w:rPr>
          <w:rFonts w:eastAsia="MS PGothic" w:cstheme="minorHAnsi"/>
          <w:szCs w:val="20"/>
          <w:lang w:val="sr-Cyrl-RS" w:eastAsia="ja-JP"/>
        </w:rPr>
      </w:pPr>
      <w:r w:rsidRPr="006D0778">
        <w:rPr>
          <w:rFonts w:eastAsia="MS PGothic" w:cstheme="minorHAnsi"/>
          <w:szCs w:val="20"/>
          <w:lang w:val="sr-Cyrl-RS" w:eastAsia="ja-JP"/>
        </w:rPr>
        <w:t xml:space="preserve">Нови Закон о управљању привредним друштвима у власништву Републике Србије, чија je примена почела у септембру 2024. године, требало би да допринесе смањењу фискалних ризика и унапређењу рада државних предузећа. Овим законом ће се кроз централизовано управљање омогућити боље праћење рада државних предузећа, а промена правне форме јавних предузећа у акционарска друштва или друштва са ограниченом одговорношћу допринеће професионализацији корпоративног управљања, чиме ће се повећати економска ефикасност и конкурентност привреде. Општи циљ овог закона је да се створи одрживо и ефикасно управљање предузећима у власништву Републике Србије. </w:t>
      </w:r>
    </w:p>
    <w:p w14:paraId="174F5539" w14:textId="3EDE8291" w:rsidR="006D0778" w:rsidRPr="006D0778" w:rsidRDefault="002B1F9D" w:rsidP="006D0778">
      <w:pPr>
        <w:rPr>
          <w:rFonts w:eastAsia="MS PGothic" w:cstheme="minorHAnsi"/>
          <w:szCs w:val="20"/>
          <w:lang w:val="sr-Cyrl-RS" w:eastAsia="ja-JP"/>
        </w:rPr>
      </w:pPr>
      <w:r>
        <w:rPr>
          <w:rFonts w:eastAsia="MS PGothic" w:cstheme="minorHAnsi"/>
          <w:szCs w:val="20"/>
          <w:lang w:val="sr-Cyrl-RS" w:eastAsia="ja-JP"/>
        </w:rPr>
        <w:t>Процена</w:t>
      </w:r>
      <w:r w:rsidR="006D0778" w:rsidRPr="006D0778">
        <w:rPr>
          <w:rFonts w:eastAsia="MS PGothic" w:cstheme="minorHAnsi"/>
          <w:szCs w:val="20"/>
          <w:lang w:val="sr-Cyrl-RS" w:eastAsia="ja-JP"/>
        </w:rPr>
        <w:t xml:space="preserve"> фискалних ризика државних предузећа</w:t>
      </w:r>
      <w:r>
        <w:rPr>
          <w:rFonts w:eastAsia="MS PGothic" w:cstheme="minorHAnsi"/>
          <w:szCs w:val="20"/>
          <w:lang w:val="sr-Cyrl-RS" w:eastAsia="ja-JP"/>
        </w:rPr>
        <w:t xml:space="preserve"> израђује се</w:t>
      </w:r>
      <w:r w:rsidR="006D0778" w:rsidRPr="006D0778">
        <w:rPr>
          <w:rFonts w:eastAsia="MS PGothic" w:cstheme="minorHAnsi"/>
          <w:szCs w:val="20"/>
          <w:lang w:val="sr-Cyrl-RS" w:eastAsia="ja-JP"/>
        </w:rPr>
        <w:t xml:space="preserve"> уз помоћ Алтман З-скор модела. Поред основног модела користи се и прилагођени Алтман З" који се примењује углавном за тржишта у развоју, односно примењује се у оним земљама које немају развијено тржиште капитала. Прилагођени Алтман З"-скор модел представља линеарну комбинацију од 4 финансијска рацио показатеља којима су додељени одговарајући коефицијенти.</w:t>
      </w:r>
    </w:p>
    <w:p w14:paraId="598535E3" w14:textId="77777777" w:rsidR="006D0778" w:rsidRPr="006D0778" w:rsidRDefault="006D0778" w:rsidP="006D0778">
      <w:pPr>
        <w:spacing w:before="160"/>
        <w:rPr>
          <w:rFonts w:eastAsia="MS PGothic" w:cstheme="minorHAnsi"/>
          <w:szCs w:val="20"/>
          <w:lang w:eastAsia="ja-JP"/>
        </w:rPr>
      </w:pPr>
      <w:r w:rsidRPr="006D0778">
        <w:rPr>
          <w:rFonts w:eastAsia="MS PGothic" w:cstheme="minorHAnsi"/>
          <w:szCs w:val="20"/>
          <w:lang w:eastAsia="ja-JP"/>
        </w:rPr>
        <w:t xml:space="preserve">Према подацима из званичних финансијских извештаја достављених на дан 31. децембра 2023. године, од 36 државних предузећа, применом овог модела идентификовано је учешће 19,4% државних предузећа која су високоризична, 16,7% државних предузећа имају умерен ризик док преостала државна предузећа (63,9%) имају низак ризик у пословању. Државна предузећа код којих је идентификован висок ризик пословања су из енергетског сектора, железничког саобраћаја и грађевинско-техничке гране. Посматрано кроз годишње периоде, приметан је опадајући тренд код високоризичних </w:t>
      </w:r>
      <w:r w:rsidRPr="006D0778">
        <w:rPr>
          <w:rFonts w:eastAsia="MS PGothic" w:cstheme="minorHAnsi"/>
          <w:szCs w:val="20"/>
          <w:lang w:eastAsia="ja-JP"/>
        </w:rPr>
        <w:lastRenderedPageBreak/>
        <w:t>предузећа, где је у 2021. години било 10 високоризичних предузећа, док се на крају 2023. године тај број смањио на 7.</w:t>
      </w:r>
    </w:p>
    <w:p w14:paraId="6671188F" w14:textId="787DB66D" w:rsidR="006D0778" w:rsidRPr="006D0778" w:rsidRDefault="006D0778" w:rsidP="006D0778">
      <w:pPr>
        <w:rPr>
          <w:rFonts w:eastAsia="MS PGothic" w:cstheme="minorHAnsi"/>
          <w:szCs w:val="20"/>
          <w:lang w:eastAsia="ja-JP"/>
        </w:rPr>
      </w:pPr>
      <w:r w:rsidRPr="006D0778">
        <w:rPr>
          <w:rFonts w:eastAsia="MS PGothic" w:cstheme="minorHAnsi"/>
          <w:szCs w:val="20"/>
          <w:lang w:eastAsia="ja-JP"/>
        </w:rPr>
        <w:t>Квантификација ризика представља један од главних изазова у процени ризика и његовом материјалном изражавању. Према моделу који</w:t>
      </w:r>
      <w:r w:rsidR="007D5448">
        <w:rPr>
          <w:rFonts w:eastAsia="MS PGothic" w:cstheme="minorHAnsi"/>
          <w:szCs w:val="20"/>
          <w:lang w:val="sr-Cyrl-RS" w:eastAsia="ja-JP"/>
        </w:rPr>
        <w:t xml:space="preserve"> се</w:t>
      </w:r>
      <w:r w:rsidRPr="006D0778">
        <w:rPr>
          <w:rFonts w:eastAsia="MS PGothic" w:cstheme="minorHAnsi"/>
          <w:szCs w:val="20"/>
          <w:lang w:eastAsia="ja-JP"/>
        </w:rPr>
        <w:t xml:space="preserve"> примењује, квантификација ризика подразумева идентификовање и приказ потенцијалних издатака који могу настати за појединачна предузећа, односно представљају потенцијалну претњу за буџет Републике Србије, јер могу довести до непланираних интервенција у отплати обавеза државним предузећима. Ови издаци се најче</w:t>
      </w:r>
      <w:r w:rsidR="007D5448">
        <w:rPr>
          <w:rFonts w:eastAsia="MS PGothic" w:cstheme="minorHAnsi"/>
          <w:szCs w:val="20"/>
          <w:lang w:eastAsia="ja-JP"/>
        </w:rPr>
        <w:t xml:space="preserve">шће називају „очекивани </w:t>
      </w:r>
      <w:proofErr w:type="gramStart"/>
      <w:r w:rsidR="007D5448">
        <w:rPr>
          <w:rFonts w:eastAsia="MS PGothic" w:cstheme="minorHAnsi"/>
          <w:szCs w:val="20"/>
          <w:lang w:eastAsia="ja-JP"/>
        </w:rPr>
        <w:t>издаци“</w:t>
      </w:r>
      <w:proofErr w:type="gramEnd"/>
      <w:r w:rsidRPr="006D0778">
        <w:rPr>
          <w:rFonts w:eastAsia="MS PGothic" w:cstheme="minorHAnsi"/>
          <w:szCs w:val="20"/>
          <w:lang w:eastAsia="ja-JP"/>
        </w:rPr>
        <w:t>и они представљају статистички прорачун, који укључује комбинацију вероватноће настанка издатка и величине годишњих обавеза по кредитима, као једних од најосетљивијих и највећих издатaка који могу захтевати подршку из буџета.</w:t>
      </w:r>
    </w:p>
    <w:p w14:paraId="1BC810A6" w14:textId="77777777" w:rsidR="006D0778" w:rsidRPr="006D0778" w:rsidRDefault="006D0778" w:rsidP="006D0778">
      <w:pPr>
        <w:rPr>
          <w:rFonts w:eastAsia="MS PGothic" w:cstheme="minorHAnsi"/>
          <w:szCs w:val="20"/>
          <w:lang w:eastAsia="ja-JP"/>
        </w:rPr>
      </w:pPr>
      <w:r w:rsidRPr="006D0778">
        <w:rPr>
          <w:rFonts w:eastAsia="MS PGothic" w:cstheme="minorHAnsi"/>
          <w:szCs w:val="20"/>
          <w:lang w:eastAsia="ja-JP"/>
        </w:rPr>
        <w:t>Према резултатима модела, укупан фискални ризик односно очекивани издатака за 36 државних предузећа за 2024. годину процењује се на око 5,1 млрд динара. Ови резултати указују на неопходност континуираног праћења и управљања ризиком како би се ублажиле потенцијалне финансијске последице по јавне финансије, уз истовремено развијање мера које би ојачале стабилност ових предузећа.</w:t>
      </w:r>
    </w:p>
    <w:p w14:paraId="65337CF4" w14:textId="77777777" w:rsidR="006D0778" w:rsidRPr="006D0778" w:rsidRDefault="006D0778" w:rsidP="006D0778">
      <w:pPr>
        <w:rPr>
          <w:rFonts w:eastAsia="MS PGothic" w:cstheme="minorHAnsi"/>
          <w:szCs w:val="20"/>
          <w:lang w:eastAsia="ja-JP"/>
        </w:rPr>
      </w:pPr>
      <w:r w:rsidRPr="006D0778">
        <w:rPr>
          <w:rFonts w:eastAsia="MS PGothic" w:cstheme="minorHAnsi"/>
          <w:szCs w:val="20"/>
          <w:lang w:eastAsia="ja-JP"/>
        </w:rPr>
        <w:t>Очекивани издаци у наредне три године пројектовани су на незнатно нижем нивоу. Процене указују да ће у 2025. години износити 4,8 млрд динара, у 2026. такође 4,8 млрд динара, док се за 2027. годину предвиђа смањење на 4,6 млрд динара. Имајући у виду да на величину очекиваног издатка директно утичу годишње обавезе по кредитима, свако ново задуживање предузећа довело би до повећања очекиваног издатка, што указује на значај контроле дуга и одрживог управљања финансијским обавезама.</w:t>
      </w:r>
    </w:p>
    <w:p w14:paraId="034D95E1" w14:textId="3FD5AC7A" w:rsidR="006D0778" w:rsidRPr="006D0778" w:rsidRDefault="006D0778" w:rsidP="006D0778">
      <w:pPr>
        <w:rPr>
          <w:rFonts w:eastAsia="MS PGothic" w:cstheme="minorHAnsi"/>
          <w:szCs w:val="20"/>
          <w:lang w:eastAsia="ja-JP"/>
        </w:rPr>
      </w:pPr>
      <w:r w:rsidRPr="006D0778">
        <w:rPr>
          <w:rFonts w:eastAsia="MS PGothic" w:cstheme="minorHAnsi"/>
          <w:szCs w:val="20"/>
          <w:lang w:eastAsia="ja-JP"/>
        </w:rPr>
        <w:t>Министарство финансија у наредном периоду наставиће са даљим унапређењем анализа, прикупљањем квалитативни</w:t>
      </w:r>
      <w:r w:rsidRPr="006D0778">
        <w:rPr>
          <w:rFonts w:eastAsia="MS PGothic" w:cstheme="minorHAnsi"/>
          <w:szCs w:val="20"/>
          <w:lang w:val="sr-Cyrl-RS" w:eastAsia="ja-JP"/>
        </w:rPr>
        <w:t>х</w:t>
      </w:r>
      <w:r w:rsidRPr="006D0778">
        <w:rPr>
          <w:rFonts w:eastAsia="MS PGothic" w:cstheme="minorHAnsi"/>
          <w:szCs w:val="20"/>
          <w:lang w:eastAsia="ja-JP"/>
        </w:rPr>
        <w:t xml:space="preserve"> информаци</w:t>
      </w:r>
      <w:r w:rsidR="007D5448">
        <w:rPr>
          <w:rFonts w:eastAsia="MS PGothic" w:cstheme="minorHAnsi"/>
          <w:szCs w:val="20"/>
          <w:lang w:eastAsia="ja-JP"/>
        </w:rPr>
        <w:t>ја, унапређењем модела, а све у</w:t>
      </w:r>
      <w:r w:rsidRPr="006D0778">
        <w:rPr>
          <w:rFonts w:eastAsia="MS PGothic" w:cstheme="minorHAnsi"/>
          <w:szCs w:val="20"/>
          <w:lang w:eastAsia="ja-JP"/>
        </w:rPr>
        <w:t xml:space="preserve"> циљу да се модел учини свеобухватнијим и прецизнијим, како би се обезбедила поуздана основа за управљање ризицима и подржала одрживост јавних финансија.</w:t>
      </w:r>
    </w:p>
    <w:p w14:paraId="527B882B" w14:textId="6E36F112" w:rsidR="006D0778" w:rsidRPr="006D0778" w:rsidRDefault="006D0778" w:rsidP="006D0778">
      <w:pPr>
        <w:rPr>
          <w:rFonts w:ascii="Calibri" w:eastAsia="MS PGothic" w:hAnsi="Calibri" w:cs="Calibri"/>
          <w:color w:val="44546A"/>
          <w:szCs w:val="20"/>
          <w:lang w:eastAsia="ja-JP"/>
        </w:rPr>
      </w:pPr>
      <w:r w:rsidRPr="006D0778">
        <w:rPr>
          <w:lang w:val="sr-Cyrl-RS" w:eastAsia="ja-JP"/>
        </w:rPr>
        <w:t xml:space="preserve">Уплата добити од стране јавних предузећа и дивиденди друштава капитала у којима држава има власништво представљају значајан део непореских прихода. </w:t>
      </w:r>
      <w:r w:rsidRPr="006D0778">
        <w:rPr>
          <w:rFonts w:eastAsia="MS PGothic" w:cstheme="minorHAnsi"/>
          <w:szCs w:val="20"/>
          <w:lang w:val="sr-Cyrl-RS" w:eastAsia="ja-JP"/>
        </w:rPr>
        <w:t xml:space="preserve">Привредна друштва чији је оснивач Република Србија или у којима Република Србија има учешће у власништву дужна су да најкасније до 30. новембра текуће буџетске године у буџет Републике Србије уплате најмање 50% сразмерног дела добити по завршном рачуну за 2022. годину, који у складу са законом који уређује привредна друштва припада Републици </w:t>
      </w:r>
      <w:r w:rsidRPr="006D0778">
        <w:rPr>
          <w:rFonts w:eastAsia="MS PGothic" w:cs="Times New Roman"/>
          <w:szCs w:val="20"/>
          <w:lang w:val="sr-Cyrl-RS" w:eastAsia="ja-JP"/>
        </w:rPr>
        <w:t>Србији као члану друштва.</w:t>
      </w:r>
      <w:r w:rsidRPr="006D0778">
        <w:rPr>
          <w:rFonts w:eastAsia="MS PGothic" w:cs="Times New Roman"/>
          <w:szCs w:val="20"/>
          <w:lang w:eastAsia="ja-JP"/>
        </w:rPr>
        <w:t xml:space="preserve"> Од стране 36 државних предузећа, у току 2023. године по овом основу уплаћено је 4,3 млрд динара у буџет Републике.</w:t>
      </w:r>
    </w:p>
    <w:p w14:paraId="6823B2A3" w14:textId="77777777" w:rsidR="006D0778" w:rsidRPr="006D0778" w:rsidRDefault="006D0778" w:rsidP="006D0778">
      <w:pPr>
        <w:rPr>
          <w:lang w:val="sr-Cyrl-RS" w:eastAsia="ja-JP"/>
        </w:rPr>
      </w:pPr>
      <w:r w:rsidRPr="006D0778">
        <w:rPr>
          <w:lang w:val="sr-Cyrl-RS" w:eastAsia="ja-JP"/>
        </w:rPr>
        <w:t>Пре периода фискалне консолидације Република Србија имала је значајне фискалне трошкове спашавања државних банака. Укупни трошкови државних интервенција у банкарском сектору у периоду 2012–2015. године износили су око 900 милиона евра. То је износ издвојен за докапитализацију банака, различите финансијске трансакције приликом припајања неуспешних банака успешнијим, укључујући и исплату осигураних и неосигураних депозита (за шта су коришћена и средства Фонда за осигурање депозита).</w:t>
      </w:r>
    </w:p>
    <w:p w14:paraId="3C88FFF7" w14:textId="77777777" w:rsidR="006D0778" w:rsidRPr="006D0778" w:rsidRDefault="006D0778" w:rsidP="006D0778">
      <w:pPr>
        <w:rPr>
          <w:lang w:val="sr-Cyrl-RS" w:eastAsia="ja-JP"/>
        </w:rPr>
      </w:pPr>
      <w:r w:rsidRPr="006D0778">
        <w:rPr>
          <w:lang w:val="sr-Cyrl-RS" w:eastAsia="ja-JP"/>
        </w:rPr>
        <w:t>Република Србија данас у банкарском сектору земље има директан удео у капиталу Банке Поштанска штедионица а.д. Београд (78,54%) и Српске банке а.д. Београд (76,69%).</w:t>
      </w:r>
    </w:p>
    <w:p w14:paraId="6ED07E05" w14:textId="77777777" w:rsidR="006D0778" w:rsidRPr="006D0778" w:rsidRDefault="006D0778" w:rsidP="006D0778">
      <w:pPr>
        <w:rPr>
          <w:lang w:val="sr-Cyrl-RS" w:eastAsia="ja-JP"/>
        </w:rPr>
      </w:pPr>
      <w:r w:rsidRPr="006D0778">
        <w:rPr>
          <w:lang w:val="sr-Cyrl-RS" w:eastAsia="ja-JP"/>
        </w:rPr>
        <w:t>У циљу доследног спровођења излазне стратегије и смањења фискалних ризика по овом основу настављају се реформске активности у области државних финансијских институција започете 2012. године, односно 2015. године.</w:t>
      </w:r>
    </w:p>
    <w:p w14:paraId="4F7F771B" w14:textId="77777777" w:rsidR="006D0778" w:rsidRPr="006D0778" w:rsidRDefault="006D0778" w:rsidP="006D0778">
      <w:pPr>
        <w:rPr>
          <w:lang w:val="sr-Cyrl-CS" w:eastAsia="ja-JP"/>
        </w:rPr>
      </w:pPr>
      <w:r w:rsidRPr="006D0778">
        <w:rPr>
          <w:lang w:val="sr-Cyrl-CS" w:eastAsia="ja-JP"/>
        </w:rPr>
        <w:lastRenderedPageBreak/>
        <w:t xml:space="preserve">Пословну стратегију за период 2024-2026. година усвојила је Скупштина </w:t>
      </w:r>
      <w:r w:rsidRPr="006D0778">
        <w:rPr>
          <w:lang w:val="sr-Cyrl-RS" w:eastAsia="ja-JP"/>
        </w:rPr>
        <w:t>Банке Поштанска штедионица (</w:t>
      </w:r>
      <w:r w:rsidRPr="006D0778">
        <w:rPr>
          <w:lang w:val="sr-Cyrl-CS" w:eastAsia="ja-JP"/>
        </w:rPr>
        <w:t>БПШ) у децембру 2023. године. Према пословној стратегији, БПШ ће наставити са реализацијом активности са акцентом на даље унапређење и развој у следећим областима: пословање са физичким лицима, предузетницима, микро, малим и средњим правним лицима, јединицама локалне самоуправе, јавним предузећима чији је оснивач Република Србија или аутономна покрајина или јединица локалне самоуправе и привредним друштвима у којима Република Србија или аутономна покрајина или јединица локалне самоуправе има власништво; побољшање интерне организације банке, корпоративног управљања и управљања ризиком; јачање ИТ инфраструктуре.</w:t>
      </w:r>
    </w:p>
    <w:p w14:paraId="68093939" w14:textId="77777777" w:rsidR="006D0778" w:rsidRPr="006D0778" w:rsidRDefault="006D0778" w:rsidP="006D0778">
      <w:pPr>
        <w:rPr>
          <w:lang w:val="sr-Cyrl-CS" w:eastAsia="ja-JP"/>
        </w:rPr>
      </w:pPr>
      <w:r w:rsidRPr="006D0778">
        <w:rPr>
          <w:lang w:val="sr-Cyrl-CS" w:eastAsia="ja-JP"/>
        </w:rPr>
        <w:t>Како би се омогућило ублажавање економских и финансијских последица, насталих услед пандемије COVID-19, Банка поступа у складу са Законом о утврђивању гарантне шеме као мере подршке привреди за ублажавање последица пандемије болести COVID-19 изазване вирусом SARS-CoV-2 („Службени гласник РС”, бр. 153/20 и 40/21) и Законом о утврђивању друге гарантне шеме као мера додатне подршке привреди услед продуженог негативног утицаја пандемије болести COVID-19 изазване вирусом SARS-CoV-2 („Службени гласник РС”, бр. 40/21 и 129/21).</w:t>
      </w:r>
    </w:p>
    <w:p w14:paraId="44E5278F" w14:textId="77777777" w:rsidR="006D0778" w:rsidRPr="006D0778" w:rsidRDefault="006D0778" w:rsidP="006D0778">
      <w:pPr>
        <w:rPr>
          <w:lang w:val="sr-Cyrl-CS" w:eastAsia="ja-JP"/>
        </w:rPr>
      </w:pPr>
      <w:r w:rsidRPr="006D0778">
        <w:rPr>
          <w:lang w:val="sr-Cyrl-CS" w:eastAsia="ja-JP"/>
        </w:rPr>
        <w:t>У складу са Владином стратегијом за државне банке, формирана је Стручна радна група за трансформацију Српске банке у специјализовану финансијску институцију за пружање свих врста финансијских услуга и подршке наменској индустрији Републике Србије дана 21. јануара 2019. године и почела је са формалним радом у марту 2019. године када је одржана конститутивна седница. Због наставка пандемије COVID-19, као и кризе изазване ратом у Украјини и текућих активности у оквиру Министарства финансија, очекује се да ће активности усмерене на трансформацију Српске банке бити настављене</w:t>
      </w:r>
      <w:r w:rsidRPr="006D0778">
        <w:rPr>
          <w:lang w:val="sr-Cyrl-RS" w:eastAsia="ja-JP"/>
        </w:rPr>
        <w:t xml:space="preserve"> </w:t>
      </w:r>
      <w:r w:rsidRPr="006D0778">
        <w:rPr>
          <w:lang w:val="sr-Cyrl-CS" w:eastAsia="ja-JP"/>
        </w:rPr>
        <w:t>у наредном периоду.</w:t>
      </w:r>
    </w:p>
    <w:p w14:paraId="262B6959" w14:textId="77777777" w:rsidR="006D0778" w:rsidRPr="006D0778" w:rsidRDefault="006D0778" w:rsidP="006D0778">
      <w:pPr>
        <w:rPr>
          <w:lang w:val="sr-Cyrl-RS" w:eastAsia="ja-JP"/>
        </w:rPr>
      </w:pPr>
      <w:r w:rsidRPr="006D0778">
        <w:rPr>
          <w:lang w:val="sr-Cyrl-RS" w:eastAsia="ja-JP"/>
        </w:rPr>
        <w:t>Реформа прописа који уређују српски финансијски систем спроведена је фебруара 2015. године. Једна од карактеристика те реформе јесте и пренос надлежности праћења резултата пословања и рада органа управљања у банкама, друштвима за осигурање и другим финансијским институцијама чији је акционар Република Србија, као и организовање и спровођење поступка продаје акција у њима, са АОД на Министарство финансија, почев од 1. априла 2015. године. Реформом прописа је у домаћу регулативу транспонована и Директива о реструктурирању банака (</w:t>
      </w:r>
      <w:r w:rsidRPr="006D0778">
        <w:rPr>
          <w:i/>
          <w:lang w:val="sr-Cyrl-RS" w:eastAsia="ja-JP"/>
        </w:rPr>
        <w:t>Bank Recovery and Resolution Directive – BRRD</w:t>
      </w:r>
      <w:r w:rsidRPr="006D0778">
        <w:rPr>
          <w:lang w:val="sr-Cyrl-RS" w:eastAsia="ja-JP"/>
        </w:rPr>
        <w:t>) и функција реструктурирања банака поверена је НБС. У децембру 2016. године усвојен је сет прописа којима се у домаћи регулаторни оквир имплементирају Базел III стандарди, чиме је постигнут значајан степен усклађености домаћих прописа са релевантним прописима ЕУ у овој области, а током 2017. године се наставило са активностима на унапређењу домаћих прописа којима се уређује пословање банака, а у циљу њиховог даљег усклађивања са прописима ЕУ. Основни циљеви усвајања ових прописа су повећање отпорности банкарског сектора повећањем квалитета капитала и увођењем заштитних слојева капитала, боље праћење и контрола изложености банке ризику ликвидности, даље јачање тржишне дисциплине и транспарентности пословања банака у Републици Србији објављивањем свих релевантних информација о пословању банке, као и прилагођавање извештајног система новим регулаторним решењима.</w:t>
      </w:r>
    </w:p>
    <w:p w14:paraId="6A755159" w14:textId="77777777" w:rsidR="006D0778" w:rsidRPr="006D0778" w:rsidRDefault="006D0778" w:rsidP="006D0778">
      <w:pPr>
        <w:rPr>
          <w:highlight w:val="yellow"/>
          <w:lang w:val="sr-Cyrl-RS" w:eastAsia="ja-JP"/>
        </w:rPr>
      </w:pPr>
      <w:r w:rsidRPr="006D0778">
        <w:rPr>
          <w:lang w:val="sr-Cyrl-RS" w:eastAsia="ja-JP"/>
        </w:rPr>
        <w:t xml:space="preserve">Један од ограничавајућих фактора за раст кредитне активности представљао је релативно висок ниво проблематичних кредита. У августу 2015. године усвојена је Стратегија за решавање проблематичних кредита која се спроводи имплементацијом два трогодишња акциона плана, један припремљен од стране Владе и други припремљен од стране НБС, у циљу спуштања нивоа проблематичних кредита. Кључне области </w:t>
      </w:r>
      <w:r w:rsidRPr="006D0778">
        <w:rPr>
          <w:lang w:val="sr-Cyrl-RS" w:eastAsia="ja-JP"/>
        </w:rPr>
        <w:lastRenderedPageBreak/>
        <w:t>имплементације подразумевале су јачање капацитета банака за решавање проблематичних кредита, унапређење регулативе за процену вредности средстава обезбеђења, развој тржишта проблематичних кредита и др.</w:t>
      </w:r>
    </w:p>
    <w:p w14:paraId="31BEB141" w14:textId="77777777" w:rsidR="006D0778" w:rsidRPr="006D0778" w:rsidRDefault="006D0778" w:rsidP="006D0778">
      <w:pPr>
        <w:spacing w:after="60" w:line="238" w:lineRule="auto"/>
        <w:rPr>
          <w:rFonts w:eastAsia="MS PGothic" w:cs="Times New Roman"/>
          <w:szCs w:val="24"/>
          <w:lang w:val="sr-Cyrl-RS" w:eastAsia="ja-JP"/>
        </w:rPr>
      </w:pPr>
      <w:r w:rsidRPr="006D0778">
        <w:rPr>
          <w:rFonts w:eastAsia="MS PGothic" w:cs="Times New Roman"/>
          <w:szCs w:val="24"/>
          <w:lang w:val="sr-Cyrl-RS" w:eastAsia="ja-JP"/>
        </w:rPr>
        <w:t>Од доношења поменуте стратегије, усвојен је и измењен већи број законских и подзаконских аката, унапређен је институционални капацитет и спроведене су бројне мере за лакши отпис и пренос ненаплативих потраживања. Стварањем стабилних услова пословања, српска економија је ушла у инвестициони циклус 2015. године, и од тада инвестиције по обиму представљају добар део раста економије. Профитабилност привреде расте у условима ниске и стабилне инфлације и релативно</w:t>
      </w:r>
      <w:r w:rsidRPr="006D0778">
        <w:rPr>
          <w:rFonts w:eastAsia="Calibri" w:cs="Times New Roman"/>
          <w:szCs w:val="24"/>
          <w:lang w:val="sr-Cyrl-RS" w:eastAsia="ja-JP"/>
        </w:rPr>
        <w:t xml:space="preserve"> </w:t>
      </w:r>
      <w:r w:rsidRPr="006D0778">
        <w:rPr>
          <w:rFonts w:eastAsia="MS PGothic" w:cs="Times New Roman"/>
          <w:szCs w:val="24"/>
          <w:lang w:val="sr-Cyrl-RS" w:eastAsia="ja-JP"/>
        </w:rPr>
        <w:t>стабилног курса. Све су то били кључни фактори за одрживо решавање питања проблематичних кредита. То се јасно види и из чињенице да је у гранама које су и носиоци раста, забележен и највећи пад проблематичних кредита – што је евидентно у прерађивачкој индустрији и грађевинарству.</w:t>
      </w:r>
    </w:p>
    <w:p w14:paraId="7BA2CFFE" w14:textId="77777777" w:rsidR="006D0778" w:rsidRPr="006D0778" w:rsidRDefault="006D0778" w:rsidP="006D0778">
      <w:pPr>
        <w:spacing w:after="60" w:line="238" w:lineRule="auto"/>
        <w:rPr>
          <w:rFonts w:eastAsia="MS PGothic" w:cs="Times New Roman"/>
          <w:szCs w:val="24"/>
          <w:lang w:val="sr-Cyrl-RS" w:eastAsia="ja-JP"/>
        </w:rPr>
      </w:pPr>
      <w:r w:rsidRPr="006D0778">
        <w:rPr>
          <w:rFonts w:eastAsia="MS PGothic" w:cs="Times New Roman"/>
          <w:szCs w:val="24"/>
          <w:lang w:val="sr-Cyrl-RS" w:eastAsia="ja-JP"/>
        </w:rPr>
        <w:t>Осигурање депозита је механизам који доприноси очувању финансијске стабилности и обезбеђује заштиту депонената. Систем осигурања депозита обезбеђује да се сваком заштићеном депоненту исплати целокупан износ улога у свакој банци до осигураног износа од 50.000 евра у случају стечаја или ликвидације банке. Осигурање депозита регулисано је Законом о осигурању депозита. Гаранција исплате осигураних депозита од стране државе, било директно средствима из буџета, или индиректно издавањем гаранција за задуживање АОД, извор је фискалних ризика и могућих фискалних трошкова. Међутим, захваљујући постигнутој стабилности банкарског сектора, од 2015. године није било потребе за коришћењем средстава фонда за осигурање депозита, нити државе по основу исплата осигураних износа депозита.</w:t>
      </w:r>
    </w:p>
    <w:p w14:paraId="30124B1F" w14:textId="77777777" w:rsidR="006D0778" w:rsidRPr="006D0778" w:rsidRDefault="006D0778" w:rsidP="006D0778">
      <w:pPr>
        <w:spacing w:after="60" w:line="238" w:lineRule="auto"/>
        <w:rPr>
          <w:lang w:val="sr-Cyrl-RS" w:eastAsia="ja-JP"/>
        </w:rPr>
      </w:pPr>
      <w:r w:rsidRPr="006D0778">
        <w:rPr>
          <w:lang w:val="sr-Cyrl-RS" w:eastAsia="ja-JP"/>
        </w:rPr>
        <w:t>Имајући у виду ситуацију насталу проглашењем ванредног стања у Републици Србији, како би се омогућило ублажавање економских и финансијских последица насталих услед пандемије COVID-19 предузете су мере подршке привреди које су имале за циљ повећање ликвидности привредних субјеката. Једна од мера јесте била и доношење Закона о утврђивању гарантне шеме као мере подршке привреди за ублажавање последица пандемије болести COVID-19 изазване вирусом SARS-CоV-2, док је током 2021. године донет Закон о утврђивању друге гарантне шеме којим је одобрено додатних 500 милина евра помоћи. Укупно, у склопу обе гарантне шеме, банке су пласирале око 2,5 млрд евра кредита.</w:t>
      </w:r>
    </w:p>
    <w:p w14:paraId="48D8A3E0" w14:textId="77777777" w:rsidR="006D0778" w:rsidRPr="006D0778" w:rsidRDefault="006D0778" w:rsidP="006D0778">
      <w:pPr>
        <w:rPr>
          <w:rFonts w:eastAsia="MS PGothic" w:cstheme="minorHAnsi"/>
          <w:szCs w:val="20"/>
          <w:lang w:eastAsia="ja-JP"/>
        </w:rPr>
      </w:pPr>
      <w:r w:rsidRPr="006D0778">
        <w:rPr>
          <w:lang w:val="sr-Cyrl-RS" w:eastAsia="ja-JP"/>
        </w:rPr>
        <w:t xml:space="preserve">Постоје значајни фискални ризици по основу судских одлука, домаћих и међународних судова, казни и накнада штете од стране државних органа. </w:t>
      </w:r>
      <w:r w:rsidRPr="006D0778">
        <w:rPr>
          <w:rFonts w:eastAsia="MS PGothic" w:cstheme="minorHAnsi"/>
          <w:szCs w:val="20"/>
          <w:lang w:val="sr-Cyrl-RS" w:eastAsia="ja-JP"/>
        </w:rPr>
        <w:t>Република Србија је по основу новчаних казни и пенала по решењу судова и накнаде штете за повреде или штету нанету од стране државних органа у периоду 2009–2020 из републичког буџета укупно платила 121 млрд динара. У 2021. години из буџета Републике Србије по том основу је плаћено 16,6 млрд динара, у 2022. години је плаћено 26,8 млрд динара,</w:t>
      </w:r>
      <w:r w:rsidRPr="006D0778">
        <w:rPr>
          <w:rFonts w:eastAsia="MS PGothic" w:cstheme="minorHAnsi"/>
          <w:szCs w:val="20"/>
          <w:lang w:val="sr-Latn-RS" w:eastAsia="ja-JP"/>
        </w:rPr>
        <w:t xml:space="preserve"> </w:t>
      </w:r>
      <w:r w:rsidRPr="006D0778">
        <w:rPr>
          <w:rFonts w:eastAsia="MS PGothic" w:cstheme="minorHAnsi"/>
          <w:szCs w:val="20"/>
          <w:lang w:val="sr-Cyrl-RS" w:eastAsia="ja-JP"/>
        </w:rPr>
        <w:t xml:space="preserve">у 2023. години 25,4 млрд динара, док је и 2024. години планирано 32,8 млрд динара. </w:t>
      </w:r>
      <w:r w:rsidRPr="006D0778">
        <w:rPr>
          <w:rFonts w:eastAsia="MS PGothic" w:cstheme="minorHAnsi"/>
          <w:szCs w:val="20"/>
          <w:lang w:eastAsia="ja-JP"/>
        </w:rPr>
        <w:t xml:space="preserve">У складу са постојећим трендом кретања извршења републичког буџета у периоду од 2018. до 2023. године може </w:t>
      </w:r>
      <w:r w:rsidRPr="006D0778">
        <w:rPr>
          <w:rFonts w:eastAsia="MS PGothic" w:cstheme="minorHAnsi"/>
          <w:szCs w:val="20"/>
          <w:lang w:val="sr-Cyrl-RS" w:eastAsia="ja-JP"/>
        </w:rPr>
        <w:t>се</w:t>
      </w:r>
      <w:r w:rsidRPr="006D0778">
        <w:rPr>
          <w:rFonts w:eastAsia="MS PGothic" w:cstheme="minorHAnsi"/>
          <w:szCs w:val="20"/>
          <w:lang w:eastAsia="ja-JP"/>
        </w:rPr>
        <w:t xml:space="preserve"> очекивати да ће се у наредне 3 године расходи републичког буџета по основу судских поступака, базирано на пројекцијама по изведеној константној стопи раста у наведеном периоду, кретати на нивоу од 28,0 до 33,9 млрд динара, односно оквирно 30,0 млрд динара просечно годишње, са могућом тенденцијом благог раста.</w:t>
      </w:r>
      <w:r w:rsidRPr="006D0778">
        <w:rPr>
          <w:rFonts w:eastAsia="MS PGothic" w:cstheme="minorHAnsi"/>
          <w:szCs w:val="20"/>
          <w:lang w:val="sr-Cyrl-RS" w:eastAsia="ja-JP"/>
        </w:rPr>
        <w:t xml:space="preserve"> </w:t>
      </w:r>
      <w:r w:rsidRPr="006D0778">
        <w:rPr>
          <w:lang w:val="sr-Cyrl-RS" w:eastAsia="ja-JP"/>
        </w:rPr>
        <w:t xml:space="preserve">Одлука Европског суда за људска права обавезала је Републику Србију да исплати јавни дуг по основу неисплаћене девизне штедње коју су држављани бивших република СФРЈ и држављани Републике Србије положили код банака са седиштем на територији Републике Србије и њиховим филијалама на територијама бивших република СФРЈ. Такође, потенцијалне обавезе могу проистећи и из одлука Уставног суда по основу </w:t>
      </w:r>
      <w:r w:rsidRPr="006D0778">
        <w:rPr>
          <w:lang w:val="sr-Cyrl-RS" w:eastAsia="ja-JP"/>
        </w:rPr>
        <w:lastRenderedPageBreak/>
        <w:t>поднетих уставних жалби и одлука Европског суда за људска права по поднетим представкама радника некадашњих друштвених предузећа (неисплаћене зараде, доприноси за обавезно социјално осигурање, затезне камате, трошкови поступка, потраживања по основу комерцијалних трансакција).</w:t>
      </w:r>
    </w:p>
    <w:p w14:paraId="3A13AA62" w14:textId="77777777" w:rsidR="006D0778" w:rsidRPr="006D0778" w:rsidRDefault="006D0778" w:rsidP="006D0778">
      <w:pPr>
        <w:rPr>
          <w:rFonts w:eastAsia="MS PGothic" w:cstheme="minorHAnsi"/>
          <w:szCs w:val="20"/>
          <w:lang w:eastAsia="ja-JP"/>
        </w:rPr>
      </w:pPr>
      <w:r w:rsidRPr="006D0778">
        <w:rPr>
          <w:lang w:val="sr-Cyrl-RS" w:eastAsia="ja-JP"/>
        </w:rPr>
        <w:t>Стално присутан ризик од елементарних непогода и природних катастрофа обавезује улагање у програме превенције како би се умањили потенцијални фискални трошкови за отклањање штета насталих по том основу. Под превенцијом се мисли на укључивање ширег спектра финансијских инструмената (као што су резервни фондови, потенцијалне кредитне линије, а нарочито осигурање) који треба да буду на располагању држави. Република Србија се у 2014. суочила са катастрофалним последицама поплава, чија је укупна штета (са губицима) процењена на више од 1,7 млрд евра. Влада је у децембру 2014. усвојила Национални програм за управљање ризицима од елементарних непогода, који ће бити реализован у сарадњи са Светском банком, Уједињеним нацијама и ЕУ. У оквиру Националног програма, новембра 2018. године је донет још један кровни закон који се бави проблематиком елементарних непогода и катастрофа, Закон о смањењу ризика од катастрофа и управљању ванредним ситуацијама.</w:t>
      </w:r>
      <w:r w:rsidRPr="006D0778">
        <w:rPr>
          <w:rFonts w:eastAsia="MS PGothic" w:cstheme="minorHAnsi"/>
          <w:szCs w:val="20"/>
          <w:lang w:eastAsia="ja-JP"/>
        </w:rPr>
        <w:t xml:space="preserve"> </w:t>
      </w:r>
    </w:p>
    <w:p w14:paraId="1F7C3B8F" w14:textId="630F3C62" w:rsidR="006D0778" w:rsidRPr="006D0778" w:rsidRDefault="006D0778" w:rsidP="006D0778">
      <w:pPr>
        <w:rPr>
          <w:rFonts w:eastAsia="MS PGothic" w:cstheme="minorHAnsi"/>
          <w:szCs w:val="20"/>
          <w:lang w:eastAsia="ja-JP"/>
        </w:rPr>
      </w:pPr>
      <w:r w:rsidRPr="006D0778">
        <w:rPr>
          <w:rFonts w:eastAsia="MS PGothic" w:cstheme="minorHAnsi"/>
          <w:szCs w:val="20"/>
          <w:lang w:eastAsia="ja-JP"/>
        </w:rPr>
        <w:t xml:space="preserve">Све већа учесталост и интензитет елементарних и других непогода као и повећање расхода за санирање последица истих, наглашава потребу за константним опрезом када је ова врста фискалних ризика у питању. </w:t>
      </w:r>
      <w:r w:rsidRPr="006D0778">
        <w:rPr>
          <w:rFonts w:eastAsia="MS PGothic" w:cstheme="minorHAnsi"/>
          <w:szCs w:val="20"/>
          <w:lang w:val="sr-Cyrl-RS" w:eastAsia="ja-JP"/>
        </w:rPr>
        <w:t xml:space="preserve">Током </w:t>
      </w:r>
      <w:r w:rsidRPr="006D0778">
        <w:rPr>
          <w:rFonts w:eastAsia="MS PGothic" w:cstheme="minorHAnsi"/>
          <w:szCs w:val="20"/>
          <w:lang w:eastAsia="ja-JP"/>
        </w:rPr>
        <w:t>2021. године усвојена је Јединствена методологија за праћење фискалних ризика у Републици Србији која, између осталог, обухвата и Методологију за праћење фискалних ризика који се јављају као последица елементарних непогода, а токо</w:t>
      </w:r>
      <w:r w:rsidRPr="006D0778">
        <w:rPr>
          <w:rFonts w:eastAsia="MS PGothic" w:cstheme="minorHAnsi"/>
          <w:szCs w:val="20"/>
          <w:lang w:val="sr-Cyrl-RS" w:eastAsia="ja-JP"/>
        </w:rPr>
        <w:t xml:space="preserve">м </w:t>
      </w:r>
      <w:r w:rsidRPr="006D0778">
        <w:rPr>
          <w:rFonts w:eastAsia="MS PGothic" w:cstheme="minorHAnsi"/>
          <w:szCs w:val="20"/>
          <w:lang w:eastAsia="ja-JP"/>
        </w:rPr>
        <w:t>2022. године је, у сарадњи са Светском банком, развијен</w:t>
      </w:r>
      <w:r w:rsidRPr="006D0778">
        <w:rPr>
          <w:rFonts w:eastAsia="MS PGothic" w:cstheme="minorHAnsi"/>
          <w:szCs w:val="20"/>
          <w:lang w:val="sr-Cyrl-RS" w:eastAsia="ja-JP"/>
        </w:rPr>
        <w:t xml:space="preserve"> и</w:t>
      </w:r>
      <w:r w:rsidRPr="006D0778">
        <w:rPr>
          <w:rFonts w:eastAsia="MS PGothic" w:cstheme="minorHAnsi"/>
          <w:szCs w:val="20"/>
          <w:lang w:eastAsia="ja-JP"/>
        </w:rPr>
        <w:t xml:space="preserve"> модел за процену фискалних ризика од елементарних непогода</w:t>
      </w:r>
      <w:r w:rsidRPr="006D0778">
        <w:rPr>
          <w:rFonts w:eastAsia="MS PGothic" w:cstheme="minorHAnsi"/>
          <w:szCs w:val="20"/>
          <w:lang w:val="sr-Cyrl-RS" w:eastAsia="ja-JP"/>
        </w:rPr>
        <w:t xml:space="preserve">. </w:t>
      </w:r>
      <w:r w:rsidRPr="006D0778">
        <w:rPr>
          <w:rFonts w:eastAsia="MS PGothic" w:cstheme="minorHAnsi"/>
          <w:szCs w:val="20"/>
          <w:lang w:eastAsia="ja-JP"/>
        </w:rPr>
        <w:t>Модел за праћење фискалних ризика од елементарних непогода даје квантификовану процену негативног ефекта елементарне непогоде на бруто домаћи производ земље, фискални дефицит и последично јавни дуг.</w:t>
      </w:r>
      <w:r w:rsidR="00CF6476">
        <w:rPr>
          <w:rFonts w:eastAsia="MS PGothic" w:cstheme="minorHAnsi"/>
          <w:szCs w:val="20"/>
          <w:lang w:eastAsia="ja-JP"/>
        </w:rPr>
        <w:t xml:space="preserve"> </w:t>
      </w:r>
    </w:p>
    <w:p w14:paraId="7C059B23" w14:textId="574BC3FA" w:rsidR="006D0778" w:rsidRPr="006D0778" w:rsidRDefault="006D0778" w:rsidP="006D0778">
      <w:pPr>
        <w:rPr>
          <w:rFonts w:eastAsia="MS PGothic" w:cstheme="minorHAnsi"/>
          <w:szCs w:val="20"/>
          <w:lang w:eastAsia="ja-JP"/>
        </w:rPr>
      </w:pPr>
      <w:r w:rsidRPr="006D0778">
        <w:rPr>
          <w:rFonts w:eastAsia="MS PGothic" w:cstheme="minorHAnsi"/>
          <w:szCs w:val="20"/>
          <w:lang w:eastAsia="ja-JP"/>
        </w:rPr>
        <w:t xml:space="preserve">У складу са наведеним, процене изведене на основу података компаније за моделирање ризика „Applied Research Institute Worldwide </w:t>
      </w:r>
      <w:proofErr w:type="gramStart"/>
      <w:r w:rsidRPr="006D0778">
        <w:rPr>
          <w:rFonts w:eastAsia="MS PGothic" w:cstheme="minorHAnsi"/>
          <w:szCs w:val="20"/>
          <w:lang w:eastAsia="ja-JP"/>
        </w:rPr>
        <w:t>Corporation“ -</w:t>
      </w:r>
      <w:proofErr w:type="gramEnd"/>
      <w:r w:rsidRPr="006D0778">
        <w:rPr>
          <w:rFonts w:eastAsia="MS PGothic" w:cstheme="minorHAnsi"/>
          <w:szCs w:val="20"/>
          <w:lang w:eastAsia="ja-JP"/>
        </w:rPr>
        <w:t xml:space="preserve"> из тзв. „А</w:t>
      </w:r>
      <w:proofErr w:type="gramStart"/>
      <w:r w:rsidRPr="006D0778">
        <w:rPr>
          <w:rFonts w:eastAsia="MS PGothic" w:cstheme="minorHAnsi"/>
          <w:szCs w:val="20"/>
          <w:lang w:eastAsia="ja-JP"/>
        </w:rPr>
        <w:t>IR“ модела</w:t>
      </w:r>
      <w:proofErr w:type="gramEnd"/>
      <w:r w:rsidRPr="006D0778">
        <w:rPr>
          <w:rFonts w:eastAsia="MS PGothic" w:cstheme="minorHAnsi"/>
          <w:szCs w:val="20"/>
          <w:lang w:eastAsia="ja-JP"/>
        </w:rPr>
        <w:t>, показују да штете повезане са поплавама, зависно од интензитета и вероватноће дешавања, могу да се крећу од 135 милиона долара до 5,7 милијарди долара. Иако се ризици од земљотреса сматрају умереним, према истим проценама, штете повезане са земљотресима могу се кретати од 132 милиона долара до чак 7,6 милијарди долара. Зависно од врсте и интензитета елементарне непогоде, разликује се и очекивана контракција БДП, односно остваривање мањег раста БДП у години манифестовања елементарне непогоде, у односу на раст БДП који би се остварио да се</w:t>
      </w:r>
      <w:r w:rsidR="00CF6476">
        <w:rPr>
          <w:rFonts w:eastAsia="MS PGothic" w:cstheme="minorHAnsi"/>
          <w:szCs w:val="20"/>
          <w:lang w:eastAsia="ja-JP"/>
        </w:rPr>
        <w:t xml:space="preserve"> </w:t>
      </w:r>
      <w:r w:rsidRPr="006D0778">
        <w:rPr>
          <w:rFonts w:eastAsia="MS PGothic" w:cstheme="minorHAnsi"/>
          <w:szCs w:val="20"/>
          <w:lang w:eastAsia="ja-JP"/>
        </w:rPr>
        <w:t>елементарна непогода није догодила. Тако у случају земљотреса, стопа раста БДП се може смањити од 0,02% за земљотресе слабијег интензитета до значајних 1,39% за ређе земљотресе великих размера. Када су у питању поплаве, контракција раста БДП се може кретати од 0,02% за поплаве слабијег интензитета до, на</w:t>
      </w:r>
      <w:r w:rsidRPr="006D0778">
        <w:rPr>
          <w:rFonts w:eastAsia="MS PGothic" w:cstheme="minorHAnsi"/>
          <w:szCs w:val="20"/>
          <w:lang w:val="sr-Cyrl-RS" w:eastAsia="ja-JP"/>
        </w:rPr>
        <w:t>јј</w:t>
      </w:r>
      <w:r w:rsidRPr="006D0778">
        <w:rPr>
          <w:rFonts w:eastAsia="MS PGothic" w:cstheme="minorHAnsi"/>
          <w:szCs w:val="20"/>
          <w:lang w:eastAsia="ja-JP"/>
        </w:rPr>
        <w:t>а</w:t>
      </w:r>
      <w:r w:rsidRPr="006D0778">
        <w:rPr>
          <w:rFonts w:eastAsia="MS PGothic" w:cstheme="minorHAnsi"/>
          <w:szCs w:val="20"/>
          <w:lang w:val="sr-Cyrl-RS" w:eastAsia="ja-JP"/>
        </w:rPr>
        <w:t>ч</w:t>
      </w:r>
      <w:r w:rsidRPr="006D0778">
        <w:rPr>
          <w:rFonts w:eastAsia="MS PGothic" w:cstheme="minorHAnsi"/>
          <w:szCs w:val="20"/>
          <w:lang w:eastAsia="ja-JP"/>
        </w:rPr>
        <w:t>их 1,05% за ређе поплаве великих размера. На бази модела за процену фискалних ризика од елементарних непогода за Републику Србију, може се закључити да се, у случају земљотреса, фискални дефицит може повећати у интервалу 0,04% до 2,5% БДП годишње, што даље може утицати на раст јавног дуга од 0,05% до преко 6,4% БДП у годинама након шока, проузрокованог земљотресом већег интензитета. У случају поплава, имамо сличну ситуацију, односно фискални дефицит се може повећати у интервалу 0,04% до 1,9% БДП годишње, што даље може утицати на раст јавног дуга од 0,06% до преко 4,8%</w:t>
      </w:r>
      <w:r w:rsidRPr="006D0778">
        <w:rPr>
          <w:rFonts w:eastAsia="MS PGothic" w:cstheme="minorHAnsi"/>
          <w:bCs/>
          <w:color w:val="1F3864" w:themeColor="accent5" w:themeShade="80"/>
          <w:szCs w:val="20"/>
          <w:lang w:eastAsia="ja-JP"/>
        </w:rPr>
        <w:t xml:space="preserve"> Б</w:t>
      </w:r>
      <w:r w:rsidRPr="006D0778">
        <w:rPr>
          <w:rFonts w:eastAsia="MS PGothic" w:cstheme="minorHAnsi"/>
          <w:szCs w:val="20"/>
          <w:lang w:eastAsia="ja-JP"/>
        </w:rPr>
        <w:t>ДП у годинама након шока, проузрокованог поплавама већих размера.</w:t>
      </w:r>
    </w:p>
    <w:p w14:paraId="7E1D84C6" w14:textId="77777777" w:rsidR="006D0778" w:rsidRPr="006D0778" w:rsidRDefault="006D0778" w:rsidP="006D0778">
      <w:pPr>
        <w:rPr>
          <w:rFonts w:eastAsia="MS PGothic" w:cstheme="minorHAnsi"/>
          <w:szCs w:val="20"/>
          <w:lang w:val="sr-Cyrl-RS" w:eastAsia="ja-JP"/>
        </w:rPr>
      </w:pPr>
      <w:r w:rsidRPr="006D0778">
        <w:rPr>
          <w:rFonts w:eastAsia="MS PGothic" w:cstheme="minorHAnsi"/>
          <w:szCs w:val="20"/>
          <w:lang w:val="sr-Cyrl-RS" w:eastAsia="ja-JP"/>
        </w:rPr>
        <w:lastRenderedPageBreak/>
        <w:t>Табела 14. П</w:t>
      </w:r>
      <w:r w:rsidRPr="006D0778">
        <w:rPr>
          <w:rFonts w:eastAsia="MS PGothic" w:cstheme="minorHAnsi"/>
          <w:szCs w:val="20"/>
          <w:lang w:eastAsia="ja-JP"/>
        </w:rPr>
        <w:t>ромене фискалних варијабли зависно од врсте елементарних непогода</w:t>
      </w:r>
      <w:r w:rsidRPr="006D0778">
        <w:rPr>
          <w:rFonts w:eastAsia="MS PGothic" w:cstheme="minorHAnsi"/>
          <w:szCs w:val="20"/>
          <w:lang w:val="sr-Cyrl-RS" w:eastAsia="ja-JP"/>
        </w:rPr>
        <w:t xml:space="preserve">, </w:t>
      </w:r>
      <w:r w:rsidRPr="006D0778">
        <w:rPr>
          <w:rFonts w:eastAsia="MS PGothic" w:cstheme="minorHAnsi"/>
          <w:szCs w:val="20"/>
          <w:lang w:eastAsia="ja-JP"/>
        </w:rPr>
        <w:t>у % БДП</w:t>
      </w:r>
    </w:p>
    <w:tbl>
      <w:tblPr>
        <w:tblW w:w="9065" w:type="dxa"/>
        <w:tblLook w:val="04A0" w:firstRow="1" w:lastRow="0" w:firstColumn="1" w:lastColumn="0" w:noHBand="0" w:noVBand="1"/>
      </w:tblPr>
      <w:tblGrid>
        <w:gridCol w:w="517"/>
        <w:gridCol w:w="1592"/>
        <w:gridCol w:w="1422"/>
        <w:gridCol w:w="1382"/>
        <w:gridCol w:w="1384"/>
        <w:gridCol w:w="1384"/>
        <w:gridCol w:w="1384"/>
      </w:tblGrid>
      <w:tr w:rsidR="006D0778" w:rsidRPr="006D0778" w14:paraId="67B0B0F1" w14:textId="77777777" w:rsidTr="00D2109C">
        <w:trPr>
          <w:trHeight w:val="716"/>
        </w:trPr>
        <w:tc>
          <w:tcPr>
            <w:tcW w:w="2109" w:type="dxa"/>
            <w:gridSpan w:val="2"/>
            <w:tcBorders>
              <w:top w:val="nil"/>
              <w:left w:val="nil"/>
              <w:bottom w:val="single" w:sz="4" w:space="0" w:color="auto"/>
              <w:right w:val="nil"/>
            </w:tcBorders>
            <w:shd w:val="clear" w:color="auto" w:fill="auto"/>
            <w:vAlign w:val="center"/>
            <w:hideMark/>
          </w:tcPr>
          <w:p w14:paraId="4D7B91E5" w14:textId="77777777" w:rsidR="006D0778" w:rsidRPr="006D0778" w:rsidRDefault="006D0778" w:rsidP="006D0778">
            <w:pPr>
              <w:spacing w:after="0"/>
              <w:jc w:val="center"/>
              <w:rPr>
                <w:rFonts w:eastAsia="Times New Roman" w:cs="Times New Roman"/>
                <w:szCs w:val="24"/>
              </w:rPr>
            </w:pPr>
            <w:r w:rsidRPr="006D0778">
              <w:rPr>
                <w:rFonts w:eastAsia="Times New Roman" w:cs="Times New Roman"/>
                <w:szCs w:val="24"/>
              </w:rPr>
              <w:t>Сценарио</w:t>
            </w:r>
          </w:p>
        </w:tc>
        <w:tc>
          <w:tcPr>
            <w:tcW w:w="1422" w:type="dxa"/>
            <w:tcBorders>
              <w:top w:val="nil"/>
              <w:left w:val="nil"/>
              <w:bottom w:val="single" w:sz="4" w:space="0" w:color="auto"/>
              <w:right w:val="nil"/>
            </w:tcBorders>
            <w:shd w:val="clear" w:color="auto" w:fill="auto"/>
            <w:vAlign w:val="center"/>
            <w:hideMark/>
          </w:tcPr>
          <w:p w14:paraId="1898E2AC" w14:textId="77777777" w:rsidR="006D0778" w:rsidRPr="006D0778" w:rsidRDefault="006D0778" w:rsidP="006D0778">
            <w:pPr>
              <w:spacing w:after="0"/>
              <w:jc w:val="center"/>
              <w:rPr>
                <w:rFonts w:eastAsia="Times New Roman" w:cs="Times New Roman"/>
                <w:sz w:val="20"/>
                <w:szCs w:val="20"/>
              </w:rPr>
            </w:pPr>
            <w:r w:rsidRPr="006D0778">
              <w:rPr>
                <w:rFonts w:eastAsia="Times New Roman" w:cs="Times New Roman"/>
                <w:sz w:val="20"/>
                <w:szCs w:val="20"/>
              </w:rPr>
              <w:t>Вероватноћа догађаја</w:t>
            </w:r>
          </w:p>
        </w:tc>
        <w:tc>
          <w:tcPr>
            <w:tcW w:w="1382" w:type="dxa"/>
            <w:tcBorders>
              <w:top w:val="nil"/>
              <w:left w:val="nil"/>
              <w:bottom w:val="single" w:sz="4" w:space="0" w:color="auto"/>
              <w:right w:val="nil"/>
            </w:tcBorders>
            <w:shd w:val="clear" w:color="auto" w:fill="auto"/>
            <w:vAlign w:val="center"/>
            <w:hideMark/>
          </w:tcPr>
          <w:p w14:paraId="3C3CAA37" w14:textId="77777777" w:rsidR="006D0778" w:rsidRPr="006D0778" w:rsidRDefault="006D0778" w:rsidP="006D0778">
            <w:pPr>
              <w:spacing w:after="0"/>
              <w:jc w:val="center"/>
              <w:rPr>
                <w:rFonts w:eastAsia="Times New Roman" w:cs="Times New Roman"/>
                <w:sz w:val="20"/>
                <w:szCs w:val="20"/>
              </w:rPr>
            </w:pPr>
            <w:r w:rsidRPr="006D0778">
              <w:rPr>
                <w:rFonts w:eastAsia="Times New Roman" w:cs="Times New Roman"/>
                <w:sz w:val="20"/>
                <w:szCs w:val="20"/>
              </w:rPr>
              <w:t>2024</w:t>
            </w:r>
          </w:p>
        </w:tc>
        <w:tc>
          <w:tcPr>
            <w:tcW w:w="1384" w:type="dxa"/>
            <w:tcBorders>
              <w:top w:val="nil"/>
              <w:left w:val="nil"/>
              <w:bottom w:val="single" w:sz="4" w:space="0" w:color="auto"/>
              <w:right w:val="nil"/>
            </w:tcBorders>
            <w:shd w:val="clear" w:color="auto" w:fill="auto"/>
            <w:vAlign w:val="center"/>
            <w:hideMark/>
          </w:tcPr>
          <w:p w14:paraId="7E5ACFA0" w14:textId="77777777" w:rsidR="006D0778" w:rsidRPr="006D0778" w:rsidRDefault="006D0778" w:rsidP="006D0778">
            <w:pPr>
              <w:spacing w:after="0"/>
              <w:jc w:val="center"/>
              <w:rPr>
                <w:rFonts w:eastAsia="Times New Roman" w:cs="Times New Roman"/>
                <w:sz w:val="20"/>
                <w:szCs w:val="20"/>
              </w:rPr>
            </w:pPr>
            <w:r w:rsidRPr="006D0778">
              <w:rPr>
                <w:rFonts w:eastAsia="Times New Roman" w:cs="Times New Roman"/>
                <w:sz w:val="20"/>
                <w:szCs w:val="20"/>
              </w:rPr>
              <w:t>2025</w:t>
            </w:r>
          </w:p>
        </w:tc>
        <w:tc>
          <w:tcPr>
            <w:tcW w:w="1384" w:type="dxa"/>
            <w:tcBorders>
              <w:top w:val="nil"/>
              <w:left w:val="nil"/>
              <w:bottom w:val="single" w:sz="4" w:space="0" w:color="auto"/>
              <w:right w:val="nil"/>
            </w:tcBorders>
            <w:shd w:val="clear" w:color="auto" w:fill="auto"/>
            <w:vAlign w:val="center"/>
            <w:hideMark/>
          </w:tcPr>
          <w:p w14:paraId="7CDC308C" w14:textId="77777777" w:rsidR="006D0778" w:rsidRPr="006D0778" w:rsidRDefault="006D0778" w:rsidP="006D0778">
            <w:pPr>
              <w:spacing w:after="0"/>
              <w:jc w:val="center"/>
              <w:rPr>
                <w:rFonts w:eastAsia="Times New Roman" w:cs="Times New Roman"/>
                <w:sz w:val="20"/>
                <w:szCs w:val="20"/>
              </w:rPr>
            </w:pPr>
            <w:r w:rsidRPr="006D0778">
              <w:rPr>
                <w:rFonts w:eastAsia="Times New Roman" w:cs="Times New Roman"/>
                <w:sz w:val="20"/>
                <w:szCs w:val="20"/>
              </w:rPr>
              <w:t>2026</w:t>
            </w:r>
          </w:p>
        </w:tc>
        <w:tc>
          <w:tcPr>
            <w:tcW w:w="1384" w:type="dxa"/>
            <w:tcBorders>
              <w:top w:val="nil"/>
              <w:left w:val="nil"/>
              <w:bottom w:val="single" w:sz="4" w:space="0" w:color="auto"/>
              <w:right w:val="nil"/>
            </w:tcBorders>
            <w:shd w:val="clear" w:color="auto" w:fill="auto"/>
            <w:vAlign w:val="center"/>
            <w:hideMark/>
          </w:tcPr>
          <w:p w14:paraId="263F5BC7" w14:textId="77777777" w:rsidR="006D0778" w:rsidRPr="006D0778" w:rsidRDefault="006D0778" w:rsidP="006D0778">
            <w:pPr>
              <w:spacing w:after="0"/>
              <w:jc w:val="center"/>
              <w:rPr>
                <w:rFonts w:eastAsia="Times New Roman" w:cs="Times New Roman"/>
                <w:sz w:val="20"/>
                <w:szCs w:val="20"/>
              </w:rPr>
            </w:pPr>
            <w:r w:rsidRPr="006D0778">
              <w:rPr>
                <w:rFonts w:eastAsia="Times New Roman" w:cs="Times New Roman"/>
                <w:sz w:val="20"/>
                <w:szCs w:val="20"/>
              </w:rPr>
              <w:t>2027</w:t>
            </w:r>
          </w:p>
        </w:tc>
      </w:tr>
      <w:tr w:rsidR="006D0778" w:rsidRPr="006D0778" w14:paraId="31DB34F3" w14:textId="77777777" w:rsidTr="00D2109C">
        <w:trPr>
          <w:trHeight w:val="238"/>
        </w:trPr>
        <w:tc>
          <w:tcPr>
            <w:tcW w:w="517" w:type="dxa"/>
            <w:vMerge w:val="restart"/>
            <w:tcBorders>
              <w:top w:val="nil"/>
              <w:left w:val="nil"/>
              <w:bottom w:val="single" w:sz="4" w:space="0" w:color="000000"/>
              <w:right w:val="nil"/>
            </w:tcBorders>
            <w:shd w:val="clear" w:color="auto" w:fill="auto"/>
            <w:noWrap/>
            <w:textDirection w:val="btLr"/>
            <w:vAlign w:val="center"/>
            <w:hideMark/>
          </w:tcPr>
          <w:p w14:paraId="0080EA9E" w14:textId="77777777" w:rsidR="006D0778" w:rsidRPr="006D0778" w:rsidRDefault="006D0778" w:rsidP="006D0778">
            <w:pPr>
              <w:spacing w:after="0"/>
              <w:jc w:val="center"/>
              <w:rPr>
                <w:rFonts w:eastAsia="Times New Roman" w:cs="Times New Roman"/>
                <w:sz w:val="22"/>
              </w:rPr>
            </w:pPr>
            <w:r w:rsidRPr="006D0778">
              <w:rPr>
                <w:rFonts w:eastAsia="Times New Roman" w:cs="Times New Roman"/>
                <w:sz w:val="22"/>
              </w:rPr>
              <w:t>ЗЕМЉОТРЕСИ</w:t>
            </w:r>
          </w:p>
        </w:tc>
        <w:tc>
          <w:tcPr>
            <w:tcW w:w="1592" w:type="dxa"/>
            <w:vMerge w:val="restart"/>
            <w:tcBorders>
              <w:top w:val="nil"/>
              <w:left w:val="nil"/>
              <w:bottom w:val="nil"/>
              <w:right w:val="single" w:sz="4" w:space="0" w:color="auto"/>
            </w:tcBorders>
            <w:shd w:val="clear" w:color="auto" w:fill="auto"/>
            <w:vAlign w:val="center"/>
            <w:hideMark/>
          </w:tcPr>
          <w:p w14:paraId="6CB55370" w14:textId="77777777" w:rsidR="006D0778" w:rsidRPr="006D0778" w:rsidRDefault="006D0778" w:rsidP="006D0778">
            <w:pPr>
              <w:spacing w:after="0"/>
              <w:jc w:val="center"/>
              <w:rPr>
                <w:rFonts w:eastAsia="Times New Roman" w:cs="Times New Roman"/>
                <w:sz w:val="20"/>
                <w:szCs w:val="20"/>
              </w:rPr>
            </w:pPr>
            <w:r w:rsidRPr="006D0778">
              <w:rPr>
                <w:rFonts w:eastAsia="Times New Roman" w:cs="Times New Roman"/>
                <w:sz w:val="20"/>
                <w:szCs w:val="20"/>
              </w:rPr>
              <w:t>Фискални биланс</w:t>
            </w:r>
          </w:p>
        </w:tc>
        <w:tc>
          <w:tcPr>
            <w:tcW w:w="1422" w:type="dxa"/>
            <w:tcBorders>
              <w:top w:val="nil"/>
              <w:left w:val="nil"/>
              <w:bottom w:val="nil"/>
              <w:right w:val="nil"/>
            </w:tcBorders>
            <w:shd w:val="clear" w:color="auto" w:fill="auto"/>
            <w:vAlign w:val="center"/>
            <w:hideMark/>
          </w:tcPr>
          <w:p w14:paraId="034ED7B1"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50%</w:t>
            </w:r>
          </w:p>
        </w:tc>
        <w:tc>
          <w:tcPr>
            <w:tcW w:w="1382" w:type="dxa"/>
            <w:tcBorders>
              <w:top w:val="nil"/>
              <w:left w:val="nil"/>
              <w:bottom w:val="nil"/>
              <w:right w:val="nil"/>
            </w:tcBorders>
            <w:shd w:val="clear" w:color="auto" w:fill="auto"/>
            <w:vAlign w:val="center"/>
            <w:hideMark/>
          </w:tcPr>
          <w:p w14:paraId="02B564D1"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0,00</w:t>
            </w:r>
          </w:p>
        </w:tc>
        <w:tc>
          <w:tcPr>
            <w:tcW w:w="1384" w:type="dxa"/>
            <w:tcBorders>
              <w:top w:val="nil"/>
              <w:left w:val="nil"/>
              <w:bottom w:val="nil"/>
              <w:right w:val="nil"/>
            </w:tcBorders>
            <w:shd w:val="clear" w:color="auto" w:fill="auto"/>
            <w:vAlign w:val="center"/>
            <w:hideMark/>
          </w:tcPr>
          <w:p w14:paraId="03E94C4C"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0,00</w:t>
            </w:r>
          </w:p>
        </w:tc>
        <w:tc>
          <w:tcPr>
            <w:tcW w:w="1384" w:type="dxa"/>
            <w:tcBorders>
              <w:top w:val="nil"/>
              <w:left w:val="nil"/>
              <w:bottom w:val="nil"/>
              <w:right w:val="nil"/>
            </w:tcBorders>
            <w:shd w:val="clear" w:color="auto" w:fill="auto"/>
            <w:vAlign w:val="center"/>
            <w:hideMark/>
          </w:tcPr>
          <w:p w14:paraId="2820A3B9"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0,00</w:t>
            </w:r>
          </w:p>
        </w:tc>
        <w:tc>
          <w:tcPr>
            <w:tcW w:w="1384" w:type="dxa"/>
            <w:tcBorders>
              <w:top w:val="nil"/>
              <w:left w:val="nil"/>
              <w:bottom w:val="nil"/>
              <w:right w:val="nil"/>
            </w:tcBorders>
            <w:shd w:val="clear" w:color="auto" w:fill="auto"/>
            <w:vAlign w:val="center"/>
            <w:hideMark/>
          </w:tcPr>
          <w:p w14:paraId="0735B130"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0,00</w:t>
            </w:r>
          </w:p>
        </w:tc>
      </w:tr>
      <w:tr w:rsidR="006D0778" w:rsidRPr="006D0778" w14:paraId="25282227" w14:textId="77777777" w:rsidTr="00D2109C">
        <w:trPr>
          <w:trHeight w:val="238"/>
        </w:trPr>
        <w:tc>
          <w:tcPr>
            <w:tcW w:w="517" w:type="dxa"/>
            <w:vMerge/>
            <w:tcBorders>
              <w:top w:val="nil"/>
              <w:left w:val="nil"/>
              <w:bottom w:val="single" w:sz="4" w:space="0" w:color="000000"/>
              <w:right w:val="nil"/>
            </w:tcBorders>
            <w:vAlign w:val="center"/>
            <w:hideMark/>
          </w:tcPr>
          <w:p w14:paraId="418B1A71" w14:textId="77777777" w:rsidR="006D0778" w:rsidRPr="006D0778" w:rsidRDefault="006D0778" w:rsidP="006D0778">
            <w:pPr>
              <w:spacing w:after="0"/>
              <w:jc w:val="left"/>
              <w:rPr>
                <w:rFonts w:eastAsia="Times New Roman" w:cs="Times New Roman"/>
                <w:sz w:val="22"/>
              </w:rPr>
            </w:pPr>
          </w:p>
        </w:tc>
        <w:tc>
          <w:tcPr>
            <w:tcW w:w="1592" w:type="dxa"/>
            <w:vMerge/>
            <w:tcBorders>
              <w:top w:val="nil"/>
              <w:left w:val="nil"/>
              <w:bottom w:val="nil"/>
              <w:right w:val="single" w:sz="4" w:space="0" w:color="auto"/>
            </w:tcBorders>
            <w:vAlign w:val="center"/>
            <w:hideMark/>
          </w:tcPr>
          <w:p w14:paraId="1082402D" w14:textId="77777777" w:rsidR="006D0778" w:rsidRPr="006D0778" w:rsidRDefault="006D0778" w:rsidP="006D0778">
            <w:pPr>
              <w:spacing w:after="0"/>
              <w:jc w:val="left"/>
              <w:rPr>
                <w:rFonts w:eastAsia="Times New Roman" w:cs="Times New Roman"/>
                <w:sz w:val="20"/>
                <w:szCs w:val="20"/>
              </w:rPr>
            </w:pPr>
          </w:p>
        </w:tc>
        <w:tc>
          <w:tcPr>
            <w:tcW w:w="1422" w:type="dxa"/>
            <w:tcBorders>
              <w:top w:val="nil"/>
              <w:left w:val="nil"/>
              <w:bottom w:val="nil"/>
              <w:right w:val="nil"/>
            </w:tcBorders>
            <w:shd w:val="clear" w:color="auto" w:fill="auto"/>
            <w:vAlign w:val="center"/>
            <w:hideMark/>
          </w:tcPr>
          <w:p w14:paraId="6FE4B558"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10%</w:t>
            </w:r>
          </w:p>
        </w:tc>
        <w:tc>
          <w:tcPr>
            <w:tcW w:w="1382" w:type="dxa"/>
            <w:tcBorders>
              <w:top w:val="nil"/>
              <w:left w:val="nil"/>
              <w:bottom w:val="nil"/>
              <w:right w:val="nil"/>
            </w:tcBorders>
            <w:shd w:val="clear" w:color="auto" w:fill="auto"/>
            <w:vAlign w:val="center"/>
            <w:hideMark/>
          </w:tcPr>
          <w:p w14:paraId="340DD73F"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-0,04</w:t>
            </w:r>
          </w:p>
        </w:tc>
        <w:tc>
          <w:tcPr>
            <w:tcW w:w="1384" w:type="dxa"/>
            <w:tcBorders>
              <w:top w:val="nil"/>
              <w:left w:val="nil"/>
              <w:bottom w:val="nil"/>
              <w:right w:val="nil"/>
            </w:tcBorders>
            <w:shd w:val="clear" w:color="auto" w:fill="auto"/>
            <w:vAlign w:val="center"/>
            <w:hideMark/>
          </w:tcPr>
          <w:p w14:paraId="1207637B"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-0,04</w:t>
            </w:r>
          </w:p>
        </w:tc>
        <w:tc>
          <w:tcPr>
            <w:tcW w:w="1384" w:type="dxa"/>
            <w:tcBorders>
              <w:top w:val="nil"/>
              <w:left w:val="nil"/>
              <w:bottom w:val="nil"/>
              <w:right w:val="nil"/>
            </w:tcBorders>
            <w:shd w:val="clear" w:color="auto" w:fill="auto"/>
            <w:vAlign w:val="center"/>
            <w:hideMark/>
          </w:tcPr>
          <w:p w14:paraId="4080261F"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-0,03</w:t>
            </w:r>
          </w:p>
        </w:tc>
        <w:tc>
          <w:tcPr>
            <w:tcW w:w="1384" w:type="dxa"/>
            <w:tcBorders>
              <w:top w:val="nil"/>
              <w:left w:val="nil"/>
              <w:bottom w:val="nil"/>
              <w:right w:val="nil"/>
            </w:tcBorders>
            <w:shd w:val="clear" w:color="auto" w:fill="auto"/>
            <w:vAlign w:val="center"/>
            <w:hideMark/>
          </w:tcPr>
          <w:p w14:paraId="0F435532"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-0,02</w:t>
            </w:r>
          </w:p>
        </w:tc>
      </w:tr>
      <w:tr w:rsidR="006D0778" w:rsidRPr="006D0778" w14:paraId="1461179C" w14:textId="77777777" w:rsidTr="00D2109C">
        <w:trPr>
          <w:trHeight w:val="238"/>
        </w:trPr>
        <w:tc>
          <w:tcPr>
            <w:tcW w:w="517" w:type="dxa"/>
            <w:vMerge/>
            <w:tcBorders>
              <w:top w:val="nil"/>
              <w:left w:val="nil"/>
              <w:bottom w:val="single" w:sz="4" w:space="0" w:color="000000"/>
              <w:right w:val="nil"/>
            </w:tcBorders>
            <w:vAlign w:val="center"/>
            <w:hideMark/>
          </w:tcPr>
          <w:p w14:paraId="0FB2F47C" w14:textId="77777777" w:rsidR="006D0778" w:rsidRPr="006D0778" w:rsidRDefault="006D0778" w:rsidP="006D0778">
            <w:pPr>
              <w:spacing w:after="0"/>
              <w:jc w:val="left"/>
              <w:rPr>
                <w:rFonts w:eastAsia="Times New Roman" w:cs="Times New Roman"/>
                <w:sz w:val="22"/>
              </w:rPr>
            </w:pPr>
          </w:p>
        </w:tc>
        <w:tc>
          <w:tcPr>
            <w:tcW w:w="1592" w:type="dxa"/>
            <w:vMerge/>
            <w:tcBorders>
              <w:top w:val="nil"/>
              <w:left w:val="nil"/>
              <w:bottom w:val="nil"/>
              <w:right w:val="single" w:sz="4" w:space="0" w:color="auto"/>
            </w:tcBorders>
            <w:vAlign w:val="center"/>
            <w:hideMark/>
          </w:tcPr>
          <w:p w14:paraId="5F59E301" w14:textId="77777777" w:rsidR="006D0778" w:rsidRPr="006D0778" w:rsidRDefault="006D0778" w:rsidP="006D0778">
            <w:pPr>
              <w:spacing w:after="0"/>
              <w:jc w:val="left"/>
              <w:rPr>
                <w:rFonts w:eastAsia="Times New Roman" w:cs="Times New Roman"/>
                <w:sz w:val="20"/>
                <w:szCs w:val="20"/>
              </w:rPr>
            </w:pPr>
          </w:p>
        </w:tc>
        <w:tc>
          <w:tcPr>
            <w:tcW w:w="1422" w:type="dxa"/>
            <w:tcBorders>
              <w:top w:val="nil"/>
              <w:left w:val="nil"/>
              <w:bottom w:val="nil"/>
              <w:right w:val="nil"/>
            </w:tcBorders>
            <w:shd w:val="clear" w:color="auto" w:fill="auto"/>
            <w:vAlign w:val="center"/>
            <w:hideMark/>
          </w:tcPr>
          <w:p w14:paraId="166692C7"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2%</w:t>
            </w:r>
          </w:p>
        </w:tc>
        <w:tc>
          <w:tcPr>
            <w:tcW w:w="1382" w:type="dxa"/>
            <w:tcBorders>
              <w:top w:val="nil"/>
              <w:left w:val="nil"/>
              <w:bottom w:val="nil"/>
              <w:right w:val="nil"/>
            </w:tcBorders>
            <w:shd w:val="clear" w:color="auto" w:fill="auto"/>
            <w:vAlign w:val="center"/>
            <w:hideMark/>
          </w:tcPr>
          <w:p w14:paraId="7819A7F8"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-0,40</w:t>
            </w:r>
          </w:p>
        </w:tc>
        <w:tc>
          <w:tcPr>
            <w:tcW w:w="1384" w:type="dxa"/>
            <w:tcBorders>
              <w:top w:val="nil"/>
              <w:left w:val="nil"/>
              <w:bottom w:val="nil"/>
              <w:right w:val="nil"/>
            </w:tcBorders>
            <w:shd w:val="clear" w:color="auto" w:fill="auto"/>
            <w:vAlign w:val="center"/>
            <w:hideMark/>
          </w:tcPr>
          <w:p w14:paraId="0B4DC078"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-0,39</w:t>
            </w:r>
          </w:p>
        </w:tc>
        <w:tc>
          <w:tcPr>
            <w:tcW w:w="1384" w:type="dxa"/>
            <w:tcBorders>
              <w:top w:val="nil"/>
              <w:left w:val="nil"/>
              <w:bottom w:val="nil"/>
              <w:right w:val="nil"/>
            </w:tcBorders>
            <w:shd w:val="clear" w:color="auto" w:fill="auto"/>
            <w:vAlign w:val="center"/>
            <w:hideMark/>
          </w:tcPr>
          <w:p w14:paraId="40DD7A4F"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-0,23</w:t>
            </w:r>
          </w:p>
        </w:tc>
        <w:tc>
          <w:tcPr>
            <w:tcW w:w="1384" w:type="dxa"/>
            <w:tcBorders>
              <w:top w:val="nil"/>
              <w:left w:val="nil"/>
              <w:bottom w:val="nil"/>
              <w:right w:val="nil"/>
            </w:tcBorders>
            <w:shd w:val="clear" w:color="auto" w:fill="auto"/>
            <w:vAlign w:val="center"/>
            <w:hideMark/>
          </w:tcPr>
          <w:p w14:paraId="0BAA03D1"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-0,15</w:t>
            </w:r>
          </w:p>
        </w:tc>
      </w:tr>
      <w:tr w:rsidR="006D0778" w:rsidRPr="006D0778" w14:paraId="3910590C" w14:textId="77777777" w:rsidTr="00D2109C">
        <w:trPr>
          <w:trHeight w:val="238"/>
        </w:trPr>
        <w:tc>
          <w:tcPr>
            <w:tcW w:w="517" w:type="dxa"/>
            <w:vMerge/>
            <w:tcBorders>
              <w:top w:val="nil"/>
              <w:left w:val="nil"/>
              <w:bottom w:val="single" w:sz="4" w:space="0" w:color="000000"/>
              <w:right w:val="nil"/>
            </w:tcBorders>
            <w:vAlign w:val="center"/>
            <w:hideMark/>
          </w:tcPr>
          <w:p w14:paraId="6BD3755D" w14:textId="77777777" w:rsidR="006D0778" w:rsidRPr="006D0778" w:rsidRDefault="006D0778" w:rsidP="006D0778">
            <w:pPr>
              <w:spacing w:after="0"/>
              <w:jc w:val="left"/>
              <w:rPr>
                <w:rFonts w:eastAsia="Times New Roman" w:cs="Times New Roman"/>
                <w:sz w:val="22"/>
              </w:rPr>
            </w:pPr>
          </w:p>
        </w:tc>
        <w:tc>
          <w:tcPr>
            <w:tcW w:w="1592" w:type="dxa"/>
            <w:vMerge/>
            <w:tcBorders>
              <w:top w:val="nil"/>
              <w:left w:val="nil"/>
              <w:bottom w:val="nil"/>
              <w:right w:val="single" w:sz="4" w:space="0" w:color="auto"/>
            </w:tcBorders>
            <w:vAlign w:val="center"/>
            <w:hideMark/>
          </w:tcPr>
          <w:p w14:paraId="2A4A6BBE" w14:textId="77777777" w:rsidR="006D0778" w:rsidRPr="006D0778" w:rsidRDefault="006D0778" w:rsidP="006D0778">
            <w:pPr>
              <w:spacing w:after="0"/>
              <w:jc w:val="left"/>
              <w:rPr>
                <w:rFonts w:eastAsia="Times New Roman" w:cs="Times New Roman"/>
                <w:sz w:val="20"/>
                <w:szCs w:val="20"/>
              </w:rPr>
            </w:pPr>
          </w:p>
        </w:tc>
        <w:tc>
          <w:tcPr>
            <w:tcW w:w="1422" w:type="dxa"/>
            <w:tcBorders>
              <w:top w:val="nil"/>
              <w:left w:val="nil"/>
              <w:bottom w:val="nil"/>
              <w:right w:val="nil"/>
            </w:tcBorders>
            <w:shd w:val="clear" w:color="auto" w:fill="auto"/>
            <w:vAlign w:val="center"/>
            <w:hideMark/>
          </w:tcPr>
          <w:p w14:paraId="041434B7"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1%</w:t>
            </w:r>
          </w:p>
        </w:tc>
        <w:tc>
          <w:tcPr>
            <w:tcW w:w="1382" w:type="dxa"/>
            <w:tcBorders>
              <w:top w:val="nil"/>
              <w:left w:val="nil"/>
              <w:bottom w:val="nil"/>
              <w:right w:val="nil"/>
            </w:tcBorders>
            <w:shd w:val="clear" w:color="auto" w:fill="auto"/>
            <w:vAlign w:val="center"/>
            <w:hideMark/>
          </w:tcPr>
          <w:p w14:paraId="1636F80C"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-0,78</w:t>
            </w:r>
          </w:p>
        </w:tc>
        <w:tc>
          <w:tcPr>
            <w:tcW w:w="1384" w:type="dxa"/>
            <w:tcBorders>
              <w:top w:val="nil"/>
              <w:left w:val="nil"/>
              <w:bottom w:val="nil"/>
              <w:right w:val="nil"/>
            </w:tcBorders>
            <w:shd w:val="clear" w:color="auto" w:fill="auto"/>
            <w:vAlign w:val="center"/>
            <w:hideMark/>
          </w:tcPr>
          <w:p w14:paraId="55D6943D"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-0,77</w:t>
            </w:r>
          </w:p>
        </w:tc>
        <w:tc>
          <w:tcPr>
            <w:tcW w:w="1384" w:type="dxa"/>
            <w:tcBorders>
              <w:top w:val="nil"/>
              <w:left w:val="nil"/>
              <w:bottom w:val="nil"/>
              <w:right w:val="nil"/>
            </w:tcBorders>
            <w:shd w:val="clear" w:color="auto" w:fill="auto"/>
            <w:vAlign w:val="center"/>
            <w:hideMark/>
          </w:tcPr>
          <w:p w14:paraId="2401C4A0"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-0,45</w:t>
            </w:r>
          </w:p>
        </w:tc>
        <w:tc>
          <w:tcPr>
            <w:tcW w:w="1384" w:type="dxa"/>
            <w:tcBorders>
              <w:top w:val="nil"/>
              <w:left w:val="nil"/>
              <w:bottom w:val="nil"/>
              <w:right w:val="nil"/>
            </w:tcBorders>
            <w:shd w:val="clear" w:color="auto" w:fill="auto"/>
            <w:vAlign w:val="center"/>
            <w:hideMark/>
          </w:tcPr>
          <w:p w14:paraId="72E0E725"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-0,30</w:t>
            </w:r>
          </w:p>
        </w:tc>
      </w:tr>
      <w:tr w:rsidR="006D0778" w:rsidRPr="006D0778" w14:paraId="5887080D" w14:textId="77777777" w:rsidTr="00D2109C">
        <w:trPr>
          <w:trHeight w:val="238"/>
        </w:trPr>
        <w:tc>
          <w:tcPr>
            <w:tcW w:w="517" w:type="dxa"/>
            <w:vMerge/>
            <w:tcBorders>
              <w:top w:val="nil"/>
              <w:left w:val="nil"/>
              <w:bottom w:val="single" w:sz="4" w:space="0" w:color="000000"/>
              <w:right w:val="nil"/>
            </w:tcBorders>
            <w:vAlign w:val="center"/>
            <w:hideMark/>
          </w:tcPr>
          <w:p w14:paraId="4334FCB2" w14:textId="77777777" w:rsidR="006D0778" w:rsidRPr="006D0778" w:rsidRDefault="006D0778" w:rsidP="006D0778">
            <w:pPr>
              <w:spacing w:after="0"/>
              <w:jc w:val="left"/>
              <w:rPr>
                <w:rFonts w:eastAsia="Times New Roman" w:cs="Times New Roman"/>
                <w:sz w:val="22"/>
              </w:rPr>
            </w:pPr>
          </w:p>
        </w:tc>
        <w:tc>
          <w:tcPr>
            <w:tcW w:w="1592" w:type="dxa"/>
            <w:vMerge/>
            <w:tcBorders>
              <w:top w:val="nil"/>
              <w:left w:val="nil"/>
              <w:bottom w:val="nil"/>
              <w:right w:val="single" w:sz="4" w:space="0" w:color="auto"/>
            </w:tcBorders>
            <w:vAlign w:val="center"/>
            <w:hideMark/>
          </w:tcPr>
          <w:p w14:paraId="62CF229C" w14:textId="77777777" w:rsidR="006D0778" w:rsidRPr="006D0778" w:rsidRDefault="006D0778" w:rsidP="006D0778">
            <w:pPr>
              <w:spacing w:after="0"/>
              <w:jc w:val="left"/>
              <w:rPr>
                <w:rFonts w:eastAsia="Times New Roman" w:cs="Times New Roman"/>
                <w:sz w:val="20"/>
                <w:szCs w:val="20"/>
              </w:rPr>
            </w:pPr>
          </w:p>
        </w:tc>
        <w:tc>
          <w:tcPr>
            <w:tcW w:w="1422" w:type="dxa"/>
            <w:tcBorders>
              <w:top w:val="nil"/>
              <w:left w:val="nil"/>
              <w:bottom w:val="single" w:sz="4" w:space="0" w:color="auto"/>
              <w:right w:val="nil"/>
            </w:tcBorders>
            <w:shd w:val="clear" w:color="auto" w:fill="auto"/>
            <w:vAlign w:val="center"/>
            <w:hideMark/>
          </w:tcPr>
          <w:p w14:paraId="3F6FB4BB"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0,4%</w:t>
            </w:r>
          </w:p>
        </w:tc>
        <w:tc>
          <w:tcPr>
            <w:tcW w:w="1382" w:type="dxa"/>
            <w:tcBorders>
              <w:top w:val="nil"/>
              <w:left w:val="nil"/>
              <w:bottom w:val="single" w:sz="4" w:space="0" w:color="auto"/>
              <w:right w:val="nil"/>
            </w:tcBorders>
            <w:shd w:val="clear" w:color="auto" w:fill="auto"/>
            <w:vAlign w:val="center"/>
            <w:hideMark/>
          </w:tcPr>
          <w:p w14:paraId="3B753FA7"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-2,52</w:t>
            </w:r>
          </w:p>
        </w:tc>
        <w:tc>
          <w:tcPr>
            <w:tcW w:w="1384" w:type="dxa"/>
            <w:tcBorders>
              <w:top w:val="nil"/>
              <w:left w:val="nil"/>
              <w:bottom w:val="single" w:sz="4" w:space="0" w:color="auto"/>
              <w:right w:val="nil"/>
            </w:tcBorders>
            <w:shd w:val="clear" w:color="auto" w:fill="auto"/>
            <w:vAlign w:val="center"/>
            <w:hideMark/>
          </w:tcPr>
          <w:p w14:paraId="1C17BBB8"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-2,50</w:t>
            </w:r>
          </w:p>
        </w:tc>
        <w:tc>
          <w:tcPr>
            <w:tcW w:w="1384" w:type="dxa"/>
            <w:tcBorders>
              <w:top w:val="nil"/>
              <w:left w:val="nil"/>
              <w:bottom w:val="single" w:sz="4" w:space="0" w:color="auto"/>
              <w:right w:val="nil"/>
            </w:tcBorders>
            <w:shd w:val="clear" w:color="auto" w:fill="auto"/>
            <w:vAlign w:val="center"/>
            <w:hideMark/>
          </w:tcPr>
          <w:p w14:paraId="55893159"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-1,47</w:t>
            </w:r>
          </w:p>
        </w:tc>
        <w:tc>
          <w:tcPr>
            <w:tcW w:w="1384" w:type="dxa"/>
            <w:tcBorders>
              <w:top w:val="nil"/>
              <w:left w:val="nil"/>
              <w:bottom w:val="single" w:sz="4" w:space="0" w:color="auto"/>
              <w:right w:val="nil"/>
            </w:tcBorders>
            <w:shd w:val="clear" w:color="auto" w:fill="auto"/>
            <w:vAlign w:val="center"/>
            <w:hideMark/>
          </w:tcPr>
          <w:p w14:paraId="0B370352"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-0,98</w:t>
            </w:r>
          </w:p>
        </w:tc>
      </w:tr>
      <w:tr w:rsidR="006D0778" w:rsidRPr="006D0778" w14:paraId="589B51E2" w14:textId="77777777" w:rsidTr="00D2109C">
        <w:trPr>
          <w:trHeight w:val="238"/>
        </w:trPr>
        <w:tc>
          <w:tcPr>
            <w:tcW w:w="517" w:type="dxa"/>
            <w:vMerge/>
            <w:tcBorders>
              <w:top w:val="nil"/>
              <w:left w:val="nil"/>
              <w:bottom w:val="single" w:sz="4" w:space="0" w:color="000000"/>
              <w:right w:val="nil"/>
            </w:tcBorders>
            <w:vAlign w:val="center"/>
            <w:hideMark/>
          </w:tcPr>
          <w:p w14:paraId="4F4CBB74" w14:textId="77777777" w:rsidR="006D0778" w:rsidRPr="006D0778" w:rsidRDefault="006D0778" w:rsidP="006D0778">
            <w:pPr>
              <w:spacing w:after="0"/>
              <w:jc w:val="left"/>
              <w:rPr>
                <w:rFonts w:eastAsia="Times New Roman" w:cs="Times New Roman"/>
                <w:sz w:val="22"/>
              </w:rPr>
            </w:pPr>
          </w:p>
        </w:tc>
        <w:tc>
          <w:tcPr>
            <w:tcW w:w="1592" w:type="dxa"/>
            <w:vMerge w:val="restart"/>
            <w:tcBorders>
              <w:top w:val="nil"/>
              <w:left w:val="nil"/>
              <w:bottom w:val="single" w:sz="4" w:space="0" w:color="000000"/>
              <w:right w:val="single" w:sz="4" w:space="0" w:color="auto"/>
            </w:tcBorders>
            <w:shd w:val="clear" w:color="auto" w:fill="auto"/>
            <w:vAlign w:val="center"/>
            <w:hideMark/>
          </w:tcPr>
          <w:p w14:paraId="4DC03E16" w14:textId="77777777" w:rsidR="006D0778" w:rsidRPr="006D0778" w:rsidRDefault="006D0778" w:rsidP="006D0778">
            <w:pPr>
              <w:spacing w:after="0"/>
              <w:jc w:val="center"/>
              <w:rPr>
                <w:rFonts w:eastAsia="Times New Roman" w:cs="Times New Roman"/>
                <w:sz w:val="20"/>
                <w:szCs w:val="20"/>
              </w:rPr>
            </w:pPr>
            <w:r w:rsidRPr="006D0778">
              <w:rPr>
                <w:rFonts w:eastAsia="Times New Roman" w:cs="Times New Roman"/>
                <w:sz w:val="20"/>
                <w:szCs w:val="20"/>
              </w:rPr>
              <w:t>Јавни дуг</w:t>
            </w:r>
          </w:p>
        </w:tc>
        <w:tc>
          <w:tcPr>
            <w:tcW w:w="1422" w:type="dxa"/>
            <w:tcBorders>
              <w:top w:val="single" w:sz="4" w:space="0" w:color="auto"/>
              <w:left w:val="nil"/>
              <w:bottom w:val="nil"/>
              <w:right w:val="nil"/>
            </w:tcBorders>
            <w:shd w:val="clear" w:color="auto" w:fill="auto"/>
            <w:vAlign w:val="center"/>
            <w:hideMark/>
          </w:tcPr>
          <w:p w14:paraId="631AAFE0"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50%</w:t>
            </w:r>
          </w:p>
        </w:tc>
        <w:tc>
          <w:tcPr>
            <w:tcW w:w="1382" w:type="dxa"/>
            <w:tcBorders>
              <w:top w:val="single" w:sz="4" w:space="0" w:color="auto"/>
              <w:left w:val="nil"/>
              <w:bottom w:val="nil"/>
              <w:right w:val="nil"/>
            </w:tcBorders>
            <w:shd w:val="clear" w:color="auto" w:fill="auto"/>
            <w:vAlign w:val="center"/>
            <w:hideMark/>
          </w:tcPr>
          <w:p w14:paraId="11DA1512"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0,00</w:t>
            </w:r>
          </w:p>
        </w:tc>
        <w:tc>
          <w:tcPr>
            <w:tcW w:w="1384" w:type="dxa"/>
            <w:tcBorders>
              <w:top w:val="single" w:sz="4" w:space="0" w:color="auto"/>
              <w:left w:val="nil"/>
              <w:bottom w:val="nil"/>
              <w:right w:val="nil"/>
            </w:tcBorders>
            <w:shd w:val="clear" w:color="auto" w:fill="auto"/>
            <w:vAlign w:val="center"/>
            <w:hideMark/>
          </w:tcPr>
          <w:p w14:paraId="76670E34"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0,00</w:t>
            </w:r>
          </w:p>
        </w:tc>
        <w:tc>
          <w:tcPr>
            <w:tcW w:w="1384" w:type="dxa"/>
            <w:tcBorders>
              <w:top w:val="single" w:sz="4" w:space="0" w:color="auto"/>
              <w:left w:val="nil"/>
              <w:bottom w:val="nil"/>
              <w:right w:val="nil"/>
            </w:tcBorders>
            <w:shd w:val="clear" w:color="auto" w:fill="auto"/>
            <w:vAlign w:val="center"/>
            <w:hideMark/>
          </w:tcPr>
          <w:p w14:paraId="6A98E9B5"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0,00</w:t>
            </w:r>
          </w:p>
        </w:tc>
        <w:tc>
          <w:tcPr>
            <w:tcW w:w="1384" w:type="dxa"/>
            <w:tcBorders>
              <w:top w:val="single" w:sz="4" w:space="0" w:color="auto"/>
              <w:left w:val="nil"/>
              <w:bottom w:val="nil"/>
              <w:right w:val="nil"/>
            </w:tcBorders>
            <w:shd w:val="clear" w:color="auto" w:fill="auto"/>
            <w:vAlign w:val="center"/>
            <w:hideMark/>
          </w:tcPr>
          <w:p w14:paraId="074AB8AC"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0,00</w:t>
            </w:r>
          </w:p>
        </w:tc>
      </w:tr>
      <w:tr w:rsidR="006D0778" w:rsidRPr="006D0778" w14:paraId="6BA29ABE" w14:textId="77777777" w:rsidTr="00D2109C">
        <w:trPr>
          <w:trHeight w:val="238"/>
        </w:trPr>
        <w:tc>
          <w:tcPr>
            <w:tcW w:w="517" w:type="dxa"/>
            <w:vMerge/>
            <w:tcBorders>
              <w:top w:val="nil"/>
              <w:left w:val="nil"/>
              <w:bottom w:val="single" w:sz="4" w:space="0" w:color="000000"/>
              <w:right w:val="nil"/>
            </w:tcBorders>
            <w:vAlign w:val="center"/>
            <w:hideMark/>
          </w:tcPr>
          <w:p w14:paraId="59A13C2B" w14:textId="77777777" w:rsidR="006D0778" w:rsidRPr="006D0778" w:rsidRDefault="006D0778" w:rsidP="006D0778">
            <w:pPr>
              <w:spacing w:after="0"/>
              <w:jc w:val="left"/>
              <w:rPr>
                <w:rFonts w:eastAsia="Times New Roman" w:cs="Times New Roman"/>
                <w:sz w:val="22"/>
              </w:rPr>
            </w:pPr>
          </w:p>
        </w:tc>
        <w:tc>
          <w:tcPr>
            <w:tcW w:w="1592" w:type="dxa"/>
            <w:vMerge/>
            <w:tcBorders>
              <w:top w:val="nil"/>
              <w:left w:val="nil"/>
              <w:bottom w:val="single" w:sz="4" w:space="0" w:color="000000"/>
              <w:right w:val="single" w:sz="4" w:space="0" w:color="auto"/>
            </w:tcBorders>
            <w:vAlign w:val="center"/>
            <w:hideMark/>
          </w:tcPr>
          <w:p w14:paraId="198E1B22" w14:textId="77777777" w:rsidR="006D0778" w:rsidRPr="006D0778" w:rsidRDefault="006D0778" w:rsidP="006D0778">
            <w:pPr>
              <w:spacing w:after="0"/>
              <w:jc w:val="left"/>
              <w:rPr>
                <w:rFonts w:eastAsia="Times New Roman" w:cs="Times New Roman"/>
                <w:sz w:val="20"/>
                <w:szCs w:val="20"/>
              </w:rPr>
            </w:pPr>
          </w:p>
        </w:tc>
        <w:tc>
          <w:tcPr>
            <w:tcW w:w="1422" w:type="dxa"/>
            <w:tcBorders>
              <w:top w:val="nil"/>
              <w:left w:val="nil"/>
              <w:bottom w:val="nil"/>
              <w:right w:val="nil"/>
            </w:tcBorders>
            <w:shd w:val="clear" w:color="auto" w:fill="auto"/>
            <w:vAlign w:val="center"/>
            <w:hideMark/>
          </w:tcPr>
          <w:p w14:paraId="7BB3B533"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10%</w:t>
            </w:r>
          </w:p>
        </w:tc>
        <w:tc>
          <w:tcPr>
            <w:tcW w:w="1382" w:type="dxa"/>
            <w:tcBorders>
              <w:top w:val="nil"/>
              <w:left w:val="nil"/>
              <w:bottom w:val="nil"/>
              <w:right w:val="nil"/>
            </w:tcBorders>
            <w:shd w:val="clear" w:color="auto" w:fill="auto"/>
            <w:vAlign w:val="center"/>
            <w:hideMark/>
          </w:tcPr>
          <w:p w14:paraId="383B5B2A"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0,05</w:t>
            </w:r>
          </w:p>
        </w:tc>
        <w:tc>
          <w:tcPr>
            <w:tcW w:w="1384" w:type="dxa"/>
            <w:tcBorders>
              <w:top w:val="nil"/>
              <w:left w:val="nil"/>
              <w:bottom w:val="nil"/>
              <w:right w:val="nil"/>
            </w:tcBorders>
            <w:shd w:val="clear" w:color="auto" w:fill="auto"/>
            <w:vAlign w:val="center"/>
            <w:hideMark/>
          </w:tcPr>
          <w:p w14:paraId="58253AFD"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0,09</w:t>
            </w:r>
          </w:p>
        </w:tc>
        <w:tc>
          <w:tcPr>
            <w:tcW w:w="1384" w:type="dxa"/>
            <w:tcBorders>
              <w:top w:val="nil"/>
              <w:left w:val="nil"/>
              <w:bottom w:val="nil"/>
              <w:right w:val="nil"/>
            </w:tcBorders>
            <w:shd w:val="clear" w:color="auto" w:fill="auto"/>
            <w:vAlign w:val="center"/>
            <w:hideMark/>
          </w:tcPr>
          <w:p w14:paraId="2754E8DC"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0,11</w:t>
            </w:r>
          </w:p>
        </w:tc>
        <w:tc>
          <w:tcPr>
            <w:tcW w:w="1384" w:type="dxa"/>
            <w:tcBorders>
              <w:top w:val="nil"/>
              <w:left w:val="nil"/>
              <w:bottom w:val="nil"/>
              <w:right w:val="nil"/>
            </w:tcBorders>
            <w:shd w:val="clear" w:color="auto" w:fill="auto"/>
            <w:vAlign w:val="center"/>
            <w:hideMark/>
          </w:tcPr>
          <w:p w14:paraId="7F75F771"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0,11</w:t>
            </w:r>
          </w:p>
        </w:tc>
      </w:tr>
      <w:tr w:rsidR="006D0778" w:rsidRPr="006D0778" w14:paraId="368E9F4F" w14:textId="77777777" w:rsidTr="00D2109C">
        <w:trPr>
          <w:trHeight w:val="238"/>
        </w:trPr>
        <w:tc>
          <w:tcPr>
            <w:tcW w:w="517" w:type="dxa"/>
            <w:vMerge/>
            <w:tcBorders>
              <w:top w:val="nil"/>
              <w:left w:val="nil"/>
              <w:bottom w:val="single" w:sz="4" w:space="0" w:color="000000"/>
              <w:right w:val="nil"/>
            </w:tcBorders>
            <w:vAlign w:val="center"/>
            <w:hideMark/>
          </w:tcPr>
          <w:p w14:paraId="58174C0E" w14:textId="77777777" w:rsidR="006D0778" w:rsidRPr="006D0778" w:rsidRDefault="006D0778" w:rsidP="006D0778">
            <w:pPr>
              <w:spacing w:after="0"/>
              <w:jc w:val="left"/>
              <w:rPr>
                <w:rFonts w:eastAsia="Times New Roman" w:cs="Times New Roman"/>
                <w:sz w:val="22"/>
              </w:rPr>
            </w:pPr>
          </w:p>
        </w:tc>
        <w:tc>
          <w:tcPr>
            <w:tcW w:w="1592" w:type="dxa"/>
            <w:vMerge/>
            <w:tcBorders>
              <w:top w:val="nil"/>
              <w:left w:val="nil"/>
              <w:bottom w:val="single" w:sz="4" w:space="0" w:color="000000"/>
              <w:right w:val="single" w:sz="4" w:space="0" w:color="auto"/>
            </w:tcBorders>
            <w:vAlign w:val="center"/>
            <w:hideMark/>
          </w:tcPr>
          <w:p w14:paraId="10CD979F" w14:textId="77777777" w:rsidR="006D0778" w:rsidRPr="006D0778" w:rsidRDefault="006D0778" w:rsidP="006D0778">
            <w:pPr>
              <w:spacing w:after="0"/>
              <w:jc w:val="left"/>
              <w:rPr>
                <w:rFonts w:eastAsia="Times New Roman" w:cs="Times New Roman"/>
                <w:sz w:val="20"/>
                <w:szCs w:val="20"/>
              </w:rPr>
            </w:pPr>
          </w:p>
        </w:tc>
        <w:tc>
          <w:tcPr>
            <w:tcW w:w="1422" w:type="dxa"/>
            <w:tcBorders>
              <w:top w:val="nil"/>
              <w:left w:val="nil"/>
              <w:bottom w:val="nil"/>
              <w:right w:val="nil"/>
            </w:tcBorders>
            <w:shd w:val="clear" w:color="auto" w:fill="auto"/>
            <w:vAlign w:val="center"/>
            <w:hideMark/>
          </w:tcPr>
          <w:p w14:paraId="3A3E5CC5"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2%</w:t>
            </w:r>
          </w:p>
        </w:tc>
        <w:tc>
          <w:tcPr>
            <w:tcW w:w="1382" w:type="dxa"/>
            <w:tcBorders>
              <w:top w:val="nil"/>
              <w:left w:val="nil"/>
              <w:bottom w:val="nil"/>
              <w:right w:val="nil"/>
            </w:tcBorders>
            <w:shd w:val="clear" w:color="auto" w:fill="auto"/>
            <w:vAlign w:val="center"/>
            <w:hideMark/>
          </w:tcPr>
          <w:p w14:paraId="0579B947"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0,50</w:t>
            </w:r>
          </w:p>
        </w:tc>
        <w:tc>
          <w:tcPr>
            <w:tcW w:w="1384" w:type="dxa"/>
            <w:tcBorders>
              <w:top w:val="nil"/>
              <w:left w:val="nil"/>
              <w:bottom w:val="nil"/>
              <w:right w:val="nil"/>
            </w:tcBorders>
            <w:shd w:val="clear" w:color="auto" w:fill="auto"/>
            <w:vAlign w:val="center"/>
            <w:hideMark/>
          </w:tcPr>
          <w:p w14:paraId="29C585C0"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0,83</w:t>
            </w:r>
          </w:p>
        </w:tc>
        <w:tc>
          <w:tcPr>
            <w:tcW w:w="1384" w:type="dxa"/>
            <w:tcBorders>
              <w:top w:val="nil"/>
              <w:left w:val="nil"/>
              <w:bottom w:val="nil"/>
              <w:right w:val="nil"/>
            </w:tcBorders>
            <w:shd w:val="clear" w:color="auto" w:fill="auto"/>
            <w:vAlign w:val="center"/>
            <w:hideMark/>
          </w:tcPr>
          <w:p w14:paraId="19A8EFFE"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0,97</w:t>
            </w:r>
          </w:p>
        </w:tc>
        <w:tc>
          <w:tcPr>
            <w:tcW w:w="1384" w:type="dxa"/>
            <w:tcBorders>
              <w:top w:val="nil"/>
              <w:left w:val="nil"/>
              <w:bottom w:val="nil"/>
              <w:right w:val="nil"/>
            </w:tcBorders>
            <w:shd w:val="clear" w:color="auto" w:fill="auto"/>
            <w:vAlign w:val="center"/>
            <w:hideMark/>
          </w:tcPr>
          <w:p w14:paraId="010BA391"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1,02</w:t>
            </w:r>
          </w:p>
        </w:tc>
      </w:tr>
      <w:tr w:rsidR="006D0778" w:rsidRPr="006D0778" w14:paraId="5FC15D5A" w14:textId="77777777" w:rsidTr="00D2109C">
        <w:trPr>
          <w:trHeight w:val="238"/>
        </w:trPr>
        <w:tc>
          <w:tcPr>
            <w:tcW w:w="517" w:type="dxa"/>
            <w:vMerge/>
            <w:tcBorders>
              <w:top w:val="nil"/>
              <w:left w:val="nil"/>
              <w:bottom w:val="single" w:sz="4" w:space="0" w:color="000000"/>
              <w:right w:val="nil"/>
            </w:tcBorders>
            <w:vAlign w:val="center"/>
            <w:hideMark/>
          </w:tcPr>
          <w:p w14:paraId="188264EE" w14:textId="77777777" w:rsidR="006D0778" w:rsidRPr="006D0778" w:rsidRDefault="006D0778" w:rsidP="006D0778">
            <w:pPr>
              <w:spacing w:after="0"/>
              <w:jc w:val="left"/>
              <w:rPr>
                <w:rFonts w:eastAsia="Times New Roman" w:cs="Times New Roman"/>
                <w:sz w:val="22"/>
              </w:rPr>
            </w:pPr>
          </w:p>
        </w:tc>
        <w:tc>
          <w:tcPr>
            <w:tcW w:w="1592" w:type="dxa"/>
            <w:vMerge/>
            <w:tcBorders>
              <w:top w:val="nil"/>
              <w:left w:val="nil"/>
              <w:bottom w:val="single" w:sz="4" w:space="0" w:color="000000"/>
              <w:right w:val="single" w:sz="4" w:space="0" w:color="auto"/>
            </w:tcBorders>
            <w:vAlign w:val="center"/>
            <w:hideMark/>
          </w:tcPr>
          <w:p w14:paraId="5D66CB7C" w14:textId="77777777" w:rsidR="006D0778" w:rsidRPr="006D0778" w:rsidRDefault="006D0778" w:rsidP="006D0778">
            <w:pPr>
              <w:spacing w:after="0"/>
              <w:jc w:val="left"/>
              <w:rPr>
                <w:rFonts w:eastAsia="Times New Roman" w:cs="Times New Roman"/>
                <w:sz w:val="20"/>
                <w:szCs w:val="20"/>
              </w:rPr>
            </w:pPr>
          </w:p>
        </w:tc>
        <w:tc>
          <w:tcPr>
            <w:tcW w:w="1422" w:type="dxa"/>
            <w:tcBorders>
              <w:top w:val="nil"/>
              <w:left w:val="nil"/>
              <w:bottom w:val="nil"/>
              <w:right w:val="nil"/>
            </w:tcBorders>
            <w:shd w:val="clear" w:color="auto" w:fill="auto"/>
            <w:vAlign w:val="center"/>
            <w:hideMark/>
          </w:tcPr>
          <w:p w14:paraId="4B9949C2"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1%</w:t>
            </w:r>
          </w:p>
        </w:tc>
        <w:tc>
          <w:tcPr>
            <w:tcW w:w="1382" w:type="dxa"/>
            <w:tcBorders>
              <w:top w:val="nil"/>
              <w:left w:val="nil"/>
              <w:bottom w:val="nil"/>
              <w:right w:val="nil"/>
            </w:tcBorders>
            <w:shd w:val="clear" w:color="auto" w:fill="auto"/>
            <w:vAlign w:val="center"/>
            <w:hideMark/>
          </w:tcPr>
          <w:p w14:paraId="52AF7F07"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0,97</w:t>
            </w:r>
          </w:p>
        </w:tc>
        <w:tc>
          <w:tcPr>
            <w:tcW w:w="1384" w:type="dxa"/>
            <w:tcBorders>
              <w:top w:val="nil"/>
              <w:left w:val="nil"/>
              <w:bottom w:val="nil"/>
              <w:right w:val="nil"/>
            </w:tcBorders>
            <w:shd w:val="clear" w:color="auto" w:fill="auto"/>
            <w:vAlign w:val="center"/>
            <w:hideMark/>
          </w:tcPr>
          <w:p w14:paraId="31A90A6F"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1,63</w:t>
            </w:r>
          </w:p>
        </w:tc>
        <w:tc>
          <w:tcPr>
            <w:tcW w:w="1384" w:type="dxa"/>
            <w:tcBorders>
              <w:top w:val="nil"/>
              <w:left w:val="nil"/>
              <w:bottom w:val="nil"/>
              <w:right w:val="nil"/>
            </w:tcBorders>
            <w:shd w:val="clear" w:color="auto" w:fill="auto"/>
            <w:vAlign w:val="center"/>
            <w:hideMark/>
          </w:tcPr>
          <w:p w14:paraId="3D020477"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1,90</w:t>
            </w:r>
          </w:p>
        </w:tc>
        <w:tc>
          <w:tcPr>
            <w:tcW w:w="1384" w:type="dxa"/>
            <w:tcBorders>
              <w:top w:val="nil"/>
              <w:left w:val="nil"/>
              <w:bottom w:val="nil"/>
              <w:right w:val="nil"/>
            </w:tcBorders>
            <w:shd w:val="clear" w:color="auto" w:fill="auto"/>
            <w:vAlign w:val="center"/>
            <w:hideMark/>
          </w:tcPr>
          <w:p w14:paraId="11720F4B"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1,98</w:t>
            </w:r>
          </w:p>
        </w:tc>
      </w:tr>
      <w:tr w:rsidR="006D0778" w:rsidRPr="006D0778" w14:paraId="4E4746F5" w14:textId="77777777" w:rsidTr="00D2109C">
        <w:trPr>
          <w:trHeight w:val="238"/>
        </w:trPr>
        <w:tc>
          <w:tcPr>
            <w:tcW w:w="517" w:type="dxa"/>
            <w:vMerge/>
            <w:tcBorders>
              <w:top w:val="nil"/>
              <w:left w:val="nil"/>
              <w:bottom w:val="single" w:sz="4" w:space="0" w:color="000000"/>
              <w:right w:val="nil"/>
            </w:tcBorders>
            <w:vAlign w:val="center"/>
            <w:hideMark/>
          </w:tcPr>
          <w:p w14:paraId="18272CE0" w14:textId="77777777" w:rsidR="006D0778" w:rsidRPr="006D0778" w:rsidRDefault="006D0778" w:rsidP="006D0778">
            <w:pPr>
              <w:spacing w:after="0"/>
              <w:jc w:val="left"/>
              <w:rPr>
                <w:rFonts w:eastAsia="Times New Roman" w:cs="Times New Roman"/>
                <w:sz w:val="22"/>
              </w:rPr>
            </w:pPr>
          </w:p>
        </w:tc>
        <w:tc>
          <w:tcPr>
            <w:tcW w:w="1592" w:type="dxa"/>
            <w:vMerge/>
            <w:tcBorders>
              <w:top w:val="nil"/>
              <w:left w:val="nil"/>
              <w:bottom w:val="single" w:sz="4" w:space="0" w:color="000000"/>
              <w:right w:val="single" w:sz="4" w:space="0" w:color="auto"/>
            </w:tcBorders>
            <w:vAlign w:val="center"/>
            <w:hideMark/>
          </w:tcPr>
          <w:p w14:paraId="31F1456C" w14:textId="77777777" w:rsidR="006D0778" w:rsidRPr="006D0778" w:rsidRDefault="006D0778" w:rsidP="006D0778">
            <w:pPr>
              <w:spacing w:after="0"/>
              <w:jc w:val="left"/>
              <w:rPr>
                <w:rFonts w:eastAsia="Times New Roman" w:cs="Times New Roman"/>
                <w:sz w:val="20"/>
                <w:szCs w:val="20"/>
              </w:rPr>
            </w:pPr>
          </w:p>
        </w:tc>
        <w:tc>
          <w:tcPr>
            <w:tcW w:w="1422" w:type="dxa"/>
            <w:tcBorders>
              <w:top w:val="nil"/>
              <w:left w:val="nil"/>
              <w:bottom w:val="single" w:sz="4" w:space="0" w:color="auto"/>
              <w:right w:val="nil"/>
            </w:tcBorders>
            <w:shd w:val="clear" w:color="auto" w:fill="auto"/>
            <w:vAlign w:val="center"/>
            <w:hideMark/>
          </w:tcPr>
          <w:p w14:paraId="100114FB"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0,4%</w:t>
            </w:r>
          </w:p>
        </w:tc>
        <w:tc>
          <w:tcPr>
            <w:tcW w:w="1382" w:type="dxa"/>
            <w:tcBorders>
              <w:top w:val="nil"/>
              <w:left w:val="nil"/>
              <w:bottom w:val="single" w:sz="4" w:space="0" w:color="auto"/>
              <w:right w:val="nil"/>
            </w:tcBorders>
            <w:shd w:val="clear" w:color="auto" w:fill="auto"/>
            <w:vAlign w:val="center"/>
            <w:hideMark/>
          </w:tcPr>
          <w:p w14:paraId="148EA55F"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3,15</w:t>
            </w:r>
          </w:p>
        </w:tc>
        <w:tc>
          <w:tcPr>
            <w:tcW w:w="1384" w:type="dxa"/>
            <w:tcBorders>
              <w:top w:val="nil"/>
              <w:left w:val="nil"/>
              <w:bottom w:val="single" w:sz="4" w:space="0" w:color="auto"/>
              <w:right w:val="nil"/>
            </w:tcBorders>
            <w:shd w:val="clear" w:color="auto" w:fill="auto"/>
            <w:vAlign w:val="center"/>
            <w:hideMark/>
          </w:tcPr>
          <w:p w14:paraId="3F6AEC3A"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5,28</w:t>
            </w:r>
          </w:p>
        </w:tc>
        <w:tc>
          <w:tcPr>
            <w:tcW w:w="1384" w:type="dxa"/>
            <w:tcBorders>
              <w:top w:val="nil"/>
              <w:left w:val="nil"/>
              <w:bottom w:val="single" w:sz="4" w:space="0" w:color="auto"/>
              <w:right w:val="nil"/>
            </w:tcBorders>
            <w:shd w:val="clear" w:color="auto" w:fill="auto"/>
            <w:vAlign w:val="center"/>
            <w:hideMark/>
          </w:tcPr>
          <w:p w14:paraId="03F54830"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6,16</w:t>
            </w:r>
          </w:p>
        </w:tc>
        <w:tc>
          <w:tcPr>
            <w:tcW w:w="1384" w:type="dxa"/>
            <w:tcBorders>
              <w:top w:val="nil"/>
              <w:left w:val="nil"/>
              <w:bottom w:val="single" w:sz="4" w:space="0" w:color="auto"/>
              <w:right w:val="nil"/>
            </w:tcBorders>
            <w:shd w:val="clear" w:color="auto" w:fill="auto"/>
            <w:vAlign w:val="center"/>
            <w:hideMark/>
          </w:tcPr>
          <w:p w14:paraId="73DF081D"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6,44</w:t>
            </w:r>
          </w:p>
        </w:tc>
      </w:tr>
      <w:tr w:rsidR="006D0778" w:rsidRPr="006D0778" w14:paraId="286CCE6E" w14:textId="77777777" w:rsidTr="00D2109C">
        <w:trPr>
          <w:trHeight w:val="238"/>
        </w:trPr>
        <w:tc>
          <w:tcPr>
            <w:tcW w:w="517" w:type="dxa"/>
            <w:vMerge w:val="restart"/>
            <w:tcBorders>
              <w:top w:val="nil"/>
              <w:left w:val="nil"/>
              <w:bottom w:val="single" w:sz="4" w:space="0" w:color="000000"/>
              <w:right w:val="nil"/>
            </w:tcBorders>
            <w:shd w:val="clear" w:color="auto" w:fill="auto"/>
            <w:noWrap/>
            <w:textDirection w:val="btLr"/>
            <w:vAlign w:val="center"/>
            <w:hideMark/>
          </w:tcPr>
          <w:p w14:paraId="1F79F9C0" w14:textId="77777777" w:rsidR="006D0778" w:rsidRPr="006D0778" w:rsidRDefault="006D0778" w:rsidP="006D0778">
            <w:pPr>
              <w:spacing w:after="0"/>
              <w:jc w:val="center"/>
              <w:rPr>
                <w:rFonts w:eastAsia="Times New Roman" w:cs="Times New Roman"/>
                <w:sz w:val="22"/>
              </w:rPr>
            </w:pPr>
            <w:r w:rsidRPr="006D0778">
              <w:rPr>
                <w:rFonts w:eastAsia="Times New Roman" w:cs="Times New Roman"/>
                <w:sz w:val="22"/>
              </w:rPr>
              <w:t>ПОПЛАВЕ</w:t>
            </w:r>
          </w:p>
        </w:tc>
        <w:tc>
          <w:tcPr>
            <w:tcW w:w="1592" w:type="dxa"/>
            <w:vMerge w:val="restart"/>
            <w:tcBorders>
              <w:top w:val="nil"/>
              <w:left w:val="nil"/>
              <w:bottom w:val="nil"/>
              <w:right w:val="single" w:sz="4" w:space="0" w:color="auto"/>
            </w:tcBorders>
            <w:shd w:val="clear" w:color="auto" w:fill="auto"/>
            <w:vAlign w:val="center"/>
            <w:hideMark/>
          </w:tcPr>
          <w:p w14:paraId="256EFEF0" w14:textId="77777777" w:rsidR="006D0778" w:rsidRPr="006D0778" w:rsidRDefault="006D0778" w:rsidP="006D0778">
            <w:pPr>
              <w:spacing w:after="0"/>
              <w:jc w:val="center"/>
              <w:rPr>
                <w:rFonts w:eastAsia="Times New Roman" w:cs="Times New Roman"/>
                <w:sz w:val="20"/>
                <w:szCs w:val="20"/>
              </w:rPr>
            </w:pPr>
            <w:r w:rsidRPr="006D0778">
              <w:rPr>
                <w:rFonts w:eastAsia="Times New Roman" w:cs="Times New Roman"/>
                <w:sz w:val="20"/>
                <w:szCs w:val="20"/>
              </w:rPr>
              <w:t>Фискални биланс</w:t>
            </w:r>
          </w:p>
        </w:tc>
        <w:tc>
          <w:tcPr>
            <w:tcW w:w="1422" w:type="dxa"/>
            <w:tcBorders>
              <w:top w:val="nil"/>
              <w:left w:val="nil"/>
              <w:bottom w:val="nil"/>
              <w:right w:val="nil"/>
            </w:tcBorders>
            <w:shd w:val="clear" w:color="auto" w:fill="auto"/>
            <w:vAlign w:val="center"/>
            <w:hideMark/>
          </w:tcPr>
          <w:p w14:paraId="2E36FBE7"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50%</w:t>
            </w:r>
          </w:p>
        </w:tc>
        <w:tc>
          <w:tcPr>
            <w:tcW w:w="1382" w:type="dxa"/>
            <w:tcBorders>
              <w:top w:val="nil"/>
              <w:left w:val="nil"/>
              <w:bottom w:val="nil"/>
              <w:right w:val="nil"/>
            </w:tcBorders>
            <w:shd w:val="clear" w:color="auto" w:fill="auto"/>
            <w:vAlign w:val="center"/>
            <w:hideMark/>
          </w:tcPr>
          <w:p w14:paraId="0E6AA809"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-0,04</w:t>
            </w:r>
          </w:p>
        </w:tc>
        <w:tc>
          <w:tcPr>
            <w:tcW w:w="1384" w:type="dxa"/>
            <w:tcBorders>
              <w:top w:val="nil"/>
              <w:left w:val="nil"/>
              <w:bottom w:val="nil"/>
              <w:right w:val="nil"/>
            </w:tcBorders>
            <w:shd w:val="clear" w:color="auto" w:fill="auto"/>
            <w:vAlign w:val="center"/>
            <w:hideMark/>
          </w:tcPr>
          <w:p w14:paraId="2CBD0FF4"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-0,04</w:t>
            </w:r>
          </w:p>
        </w:tc>
        <w:tc>
          <w:tcPr>
            <w:tcW w:w="1384" w:type="dxa"/>
            <w:tcBorders>
              <w:top w:val="nil"/>
              <w:left w:val="nil"/>
              <w:bottom w:val="nil"/>
              <w:right w:val="nil"/>
            </w:tcBorders>
            <w:shd w:val="clear" w:color="auto" w:fill="auto"/>
            <w:vAlign w:val="center"/>
            <w:hideMark/>
          </w:tcPr>
          <w:p w14:paraId="6C19BD55"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-0,03</w:t>
            </w:r>
          </w:p>
        </w:tc>
        <w:tc>
          <w:tcPr>
            <w:tcW w:w="1384" w:type="dxa"/>
            <w:tcBorders>
              <w:top w:val="nil"/>
              <w:left w:val="nil"/>
              <w:bottom w:val="nil"/>
              <w:right w:val="nil"/>
            </w:tcBorders>
            <w:shd w:val="clear" w:color="auto" w:fill="auto"/>
            <w:vAlign w:val="center"/>
            <w:hideMark/>
          </w:tcPr>
          <w:p w14:paraId="328160D6"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-0,02</w:t>
            </w:r>
          </w:p>
        </w:tc>
      </w:tr>
      <w:tr w:rsidR="006D0778" w:rsidRPr="006D0778" w14:paraId="5E39E45B" w14:textId="77777777" w:rsidTr="00D2109C">
        <w:trPr>
          <w:trHeight w:val="238"/>
        </w:trPr>
        <w:tc>
          <w:tcPr>
            <w:tcW w:w="517" w:type="dxa"/>
            <w:vMerge/>
            <w:tcBorders>
              <w:top w:val="nil"/>
              <w:left w:val="nil"/>
              <w:bottom w:val="single" w:sz="4" w:space="0" w:color="000000"/>
              <w:right w:val="nil"/>
            </w:tcBorders>
            <w:vAlign w:val="center"/>
            <w:hideMark/>
          </w:tcPr>
          <w:p w14:paraId="71381FE2" w14:textId="77777777" w:rsidR="006D0778" w:rsidRPr="006D0778" w:rsidRDefault="006D0778" w:rsidP="006D0778">
            <w:pPr>
              <w:spacing w:after="0"/>
              <w:jc w:val="left"/>
              <w:rPr>
                <w:rFonts w:eastAsia="Times New Roman" w:cs="Times New Roman"/>
                <w:sz w:val="22"/>
              </w:rPr>
            </w:pPr>
          </w:p>
        </w:tc>
        <w:tc>
          <w:tcPr>
            <w:tcW w:w="1592" w:type="dxa"/>
            <w:vMerge/>
            <w:tcBorders>
              <w:top w:val="nil"/>
              <w:left w:val="nil"/>
              <w:bottom w:val="nil"/>
              <w:right w:val="single" w:sz="4" w:space="0" w:color="auto"/>
            </w:tcBorders>
            <w:vAlign w:val="center"/>
            <w:hideMark/>
          </w:tcPr>
          <w:p w14:paraId="112C1DB6" w14:textId="77777777" w:rsidR="006D0778" w:rsidRPr="006D0778" w:rsidRDefault="006D0778" w:rsidP="006D0778">
            <w:pPr>
              <w:spacing w:after="0"/>
              <w:jc w:val="left"/>
              <w:rPr>
                <w:rFonts w:eastAsia="Times New Roman" w:cs="Times New Roman"/>
                <w:sz w:val="20"/>
                <w:szCs w:val="20"/>
              </w:rPr>
            </w:pPr>
          </w:p>
        </w:tc>
        <w:tc>
          <w:tcPr>
            <w:tcW w:w="1422" w:type="dxa"/>
            <w:tcBorders>
              <w:top w:val="nil"/>
              <w:left w:val="nil"/>
              <w:bottom w:val="nil"/>
              <w:right w:val="nil"/>
            </w:tcBorders>
            <w:shd w:val="clear" w:color="auto" w:fill="auto"/>
            <w:vAlign w:val="center"/>
            <w:hideMark/>
          </w:tcPr>
          <w:p w14:paraId="647C854A"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10%</w:t>
            </w:r>
          </w:p>
        </w:tc>
        <w:tc>
          <w:tcPr>
            <w:tcW w:w="1382" w:type="dxa"/>
            <w:tcBorders>
              <w:top w:val="nil"/>
              <w:left w:val="nil"/>
              <w:bottom w:val="nil"/>
              <w:right w:val="nil"/>
            </w:tcBorders>
            <w:shd w:val="clear" w:color="auto" w:fill="auto"/>
            <w:vAlign w:val="center"/>
            <w:hideMark/>
          </w:tcPr>
          <w:p w14:paraId="18124E3D"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-0,22</w:t>
            </w:r>
          </w:p>
        </w:tc>
        <w:tc>
          <w:tcPr>
            <w:tcW w:w="1384" w:type="dxa"/>
            <w:tcBorders>
              <w:top w:val="nil"/>
              <w:left w:val="nil"/>
              <w:bottom w:val="nil"/>
              <w:right w:val="nil"/>
            </w:tcBorders>
            <w:shd w:val="clear" w:color="auto" w:fill="auto"/>
            <w:vAlign w:val="center"/>
            <w:hideMark/>
          </w:tcPr>
          <w:p w14:paraId="11503249"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-0,21</w:t>
            </w:r>
          </w:p>
        </w:tc>
        <w:tc>
          <w:tcPr>
            <w:tcW w:w="1384" w:type="dxa"/>
            <w:tcBorders>
              <w:top w:val="nil"/>
              <w:left w:val="nil"/>
              <w:bottom w:val="nil"/>
              <w:right w:val="nil"/>
            </w:tcBorders>
            <w:shd w:val="clear" w:color="auto" w:fill="auto"/>
            <w:vAlign w:val="center"/>
            <w:hideMark/>
          </w:tcPr>
          <w:p w14:paraId="4CA5CFDE"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-0,13</w:t>
            </w:r>
          </w:p>
        </w:tc>
        <w:tc>
          <w:tcPr>
            <w:tcW w:w="1384" w:type="dxa"/>
            <w:tcBorders>
              <w:top w:val="nil"/>
              <w:left w:val="nil"/>
              <w:bottom w:val="nil"/>
              <w:right w:val="nil"/>
            </w:tcBorders>
            <w:shd w:val="clear" w:color="auto" w:fill="auto"/>
            <w:vAlign w:val="center"/>
            <w:hideMark/>
          </w:tcPr>
          <w:p w14:paraId="10245E14"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-0,08</w:t>
            </w:r>
          </w:p>
        </w:tc>
      </w:tr>
      <w:tr w:rsidR="006D0778" w:rsidRPr="006D0778" w14:paraId="1B998695" w14:textId="77777777" w:rsidTr="00D2109C">
        <w:trPr>
          <w:trHeight w:val="238"/>
        </w:trPr>
        <w:tc>
          <w:tcPr>
            <w:tcW w:w="517" w:type="dxa"/>
            <w:vMerge/>
            <w:tcBorders>
              <w:top w:val="nil"/>
              <w:left w:val="nil"/>
              <w:bottom w:val="single" w:sz="4" w:space="0" w:color="000000"/>
              <w:right w:val="nil"/>
            </w:tcBorders>
            <w:vAlign w:val="center"/>
            <w:hideMark/>
          </w:tcPr>
          <w:p w14:paraId="6DFA4EA6" w14:textId="77777777" w:rsidR="006D0778" w:rsidRPr="006D0778" w:rsidRDefault="006D0778" w:rsidP="006D0778">
            <w:pPr>
              <w:spacing w:after="0"/>
              <w:jc w:val="left"/>
              <w:rPr>
                <w:rFonts w:eastAsia="Times New Roman" w:cs="Times New Roman"/>
                <w:sz w:val="22"/>
              </w:rPr>
            </w:pPr>
          </w:p>
        </w:tc>
        <w:tc>
          <w:tcPr>
            <w:tcW w:w="1592" w:type="dxa"/>
            <w:vMerge/>
            <w:tcBorders>
              <w:top w:val="nil"/>
              <w:left w:val="nil"/>
              <w:bottom w:val="nil"/>
              <w:right w:val="single" w:sz="4" w:space="0" w:color="auto"/>
            </w:tcBorders>
            <w:vAlign w:val="center"/>
            <w:hideMark/>
          </w:tcPr>
          <w:p w14:paraId="36A81D1B" w14:textId="77777777" w:rsidR="006D0778" w:rsidRPr="006D0778" w:rsidRDefault="006D0778" w:rsidP="006D0778">
            <w:pPr>
              <w:spacing w:after="0"/>
              <w:jc w:val="left"/>
              <w:rPr>
                <w:rFonts w:eastAsia="Times New Roman" w:cs="Times New Roman"/>
                <w:sz w:val="20"/>
                <w:szCs w:val="20"/>
              </w:rPr>
            </w:pPr>
          </w:p>
        </w:tc>
        <w:tc>
          <w:tcPr>
            <w:tcW w:w="1422" w:type="dxa"/>
            <w:tcBorders>
              <w:top w:val="nil"/>
              <w:left w:val="nil"/>
              <w:bottom w:val="nil"/>
              <w:right w:val="nil"/>
            </w:tcBorders>
            <w:shd w:val="clear" w:color="auto" w:fill="auto"/>
            <w:vAlign w:val="center"/>
            <w:hideMark/>
          </w:tcPr>
          <w:p w14:paraId="6A7176BD"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2%</w:t>
            </w:r>
          </w:p>
        </w:tc>
        <w:tc>
          <w:tcPr>
            <w:tcW w:w="1382" w:type="dxa"/>
            <w:tcBorders>
              <w:top w:val="nil"/>
              <w:left w:val="nil"/>
              <w:bottom w:val="nil"/>
              <w:right w:val="nil"/>
            </w:tcBorders>
            <w:shd w:val="clear" w:color="auto" w:fill="auto"/>
            <w:vAlign w:val="center"/>
            <w:hideMark/>
          </w:tcPr>
          <w:p w14:paraId="1DE51A03"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-0,72</w:t>
            </w:r>
          </w:p>
        </w:tc>
        <w:tc>
          <w:tcPr>
            <w:tcW w:w="1384" w:type="dxa"/>
            <w:tcBorders>
              <w:top w:val="nil"/>
              <w:left w:val="nil"/>
              <w:bottom w:val="nil"/>
              <w:right w:val="nil"/>
            </w:tcBorders>
            <w:shd w:val="clear" w:color="auto" w:fill="auto"/>
            <w:vAlign w:val="center"/>
            <w:hideMark/>
          </w:tcPr>
          <w:p w14:paraId="7923A766"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-0,72</w:t>
            </w:r>
          </w:p>
        </w:tc>
        <w:tc>
          <w:tcPr>
            <w:tcW w:w="1384" w:type="dxa"/>
            <w:tcBorders>
              <w:top w:val="nil"/>
              <w:left w:val="nil"/>
              <w:bottom w:val="nil"/>
              <w:right w:val="nil"/>
            </w:tcBorders>
            <w:shd w:val="clear" w:color="auto" w:fill="auto"/>
            <w:vAlign w:val="center"/>
            <w:hideMark/>
          </w:tcPr>
          <w:p w14:paraId="67D9EABD"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-0,42</w:t>
            </w:r>
          </w:p>
        </w:tc>
        <w:tc>
          <w:tcPr>
            <w:tcW w:w="1384" w:type="dxa"/>
            <w:tcBorders>
              <w:top w:val="nil"/>
              <w:left w:val="nil"/>
              <w:bottom w:val="nil"/>
              <w:right w:val="nil"/>
            </w:tcBorders>
            <w:shd w:val="clear" w:color="auto" w:fill="auto"/>
            <w:vAlign w:val="center"/>
            <w:hideMark/>
          </w:tcPr>
          <w:p w14:paraId="2E0F4A13"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-0,28</w:t>
            </w:r>
          </w:p>
        </w:tc>
      </w:tr>
      <w:tr w:rsidR="006D0778" w:rsidRPr="006D0778" w14:paraId="2132989C" w14:textId="77777777" w:rsidTr="00D2109C">
        <w:trPr>
          <w:trHeight w:val="238"/>
        </w:trPr>
        <w:tc>
          <w:tcPr>
            <w:tcW w:w="517" w:type="dxa"/>
            <w:vMerge/>
            <w:tcBorders>
              <w:top w:val="nil"/>
              <w:left w:val="nil"/>
              <w:bottom w:val="single" w:sz="4" w:space="0" w:color="000000"/>
              <w:right w:val="nil"/>
            </w:tcBorders>
            <w:vAlign w:val="center"/>
            <w:hideMark/>
          </w:tcPr>
          <w:p w14:paraId="6BCCC723" w14:textId="77777777" w:rsidR="006D0778" w:rsidRPr="006D0778" w:rsidRDefault="006D0778" w:rsidP="006D0778">
            <w:pPr>
              <w:spacing w:after="0"/>
              <w:jc w:val="left"/>
              <w:rPr>
                <w:rFonts w:eastAsia="Times New Roman" w:cs="Times New Roman"/>
                <w:sz w:val="22"/>
              </w:rPr>
            </w:pPr>
          </w:p>
        </w:tc>
        <w:tc>
          <w:tcPr>
            <w:tcW w:w="1592" w:type="dxa"/>
            <w:vMerge/>
            <w:tcBorders>
              <w:top w:val="nil"/>
              <w:left w:val="nil"/>
              <w:bottom w:val="nil"/>
              <w:right w:val="single" w:sz="4" w:space="0" w:color="auto"/>
            </w:tcBorders>
            <w:vAlign w:val="center"/>
            <w:hideMark/>
          </w:tcPr>
          <w:p w14:paraId="2A006EB8" w14:textId="77777777" w:rsidR="006D0778" w:rsidRPr="006D0778" w:rsidRDefault="006D0778" w:rsidP="006D0778">
            <w:pPr>
              <w:spacing w:after="0"/>
              <w:jc w:val="left"/>
              <w:rPr>
                <w:rFonts w:eastAsia="Times New Roman" w:cs="Times New Roman"/>
                <w:sz w:val="20"/>
                <w:szCs w:val="20"/>
              </w:rPr>
            </w:pPr>
          </w:p>
        </w:tc>
        <w:tc>
          <w:tcPr>
            <w:tcW w:w="1422" w:type="dxa"/>
            <w:tcBorders>
              <w:top w:val="nil"/>
              <w:left w:val="nil"/>
              <w:bottom w:val="nil"/>
              <w:right w:val="nil"/>
            </w:tcBorders>
            <w:shd w:val="clear" w:color="auto" w:fill="auto"/>
            <w:vAlign w:val="center"/>
            <w:hideMark/>
          </w:tcPr>
          <w:p w14:paraId="6DA45CFC"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1%</w:t>
            </w:r>
          </w:p>
        </w:tc>
        <w:tc>
          <w:tcPr>
            <w:tcW w:w="1382" w:type="dxa"/>
            <w:tcBorders>
              <w:top w:val="nil"/>
              <w:left w:val="nil"/>
              <w:bottom w:val="nil"/>
              <w:right w:val="nil"/>
            </w:tcBorders>
            <w:shd w:val="clear" w:color="auto" w:fill="auto"/>
            <w:vAlign w:val="center"/>
            <w:hideMark/>
          </w:tcPr>
          <w:p w14:paraId="55902F13"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-1,19</w:t>
            </w:r>
          </w:p>
        </w:tc>
        <w:tc>
          <w:tcPr>
            <w:tcW w:w="1384" w:type="dxa"/>
            <w:tcBorders>
              <w:top w:val="nil"/>
              <w:left w:val="nil"/>
              <w:bottom w:val="nil"/>
              <w:right w:val="nil"/>
            </w:tcBorders>
            <w:shd w:val="clear" w:color="auto" w:fill="auto"/>
            <w:vAlign w:val="center"/>
            <w:hideMark/>
          </w:tcPr>
          <w:p w14:paraId="176ACBBD"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-1,18</w:t>
            </w:r>
          </w:p>
        </w:tc>
        <w:tc>
          <w:tcPr>
            <w:tcW w:w="1384" w:type="dxa"/>
            <w:tcBorders>
              <w:top w:val="nil"/>
              <w:left w:val="nil"/>
              <w:bottom w:val="nil"/>
              <w:right w:val="nil"/>
            </w:tcBorders>
            <w:shd w:val="clear" w:color="auto" w:fill="auto"/>
            <w:vAlign w:val="center"/>
            <w:hideMark/>
          </w:tcPr>
          <w:p w14:paraId="7716D159"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-0,70</w:t>
            </w:r>
          </w:p>
        </w:tc>
        <w:tc>
          <w:tcPr>
            <w:tcW w:w="1384" w:type="dxa"/>
            <w:tcBorders>
              <w:top w:val="nil"/>
              <w:left w:val="nil"/>
              <w:bottom w:val="nil"/>
              <w:right w:val="nil"/>
            </w:tcBorders>
            <w:shd w:val="clear" w:color="auto" w:fill="auto"/>
            <w:vAlign w:val="center"/>
            <w:hideMark/>
          </w:tcPr>
          <w:p w14:paraId="416A2C4F"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-0,46</w:t>
            </w:r>
          </w:p>
        </w:tc>
      </w:tr>
      <w:tr w:rsidR="006D0778" w:rsidRPr="006D0778" w14:paraId="73A8BD34" w14:textId="77777777" w:rsidTr="00D2109C">
        <w:trPr>
          <w:trHeight w:val="238"/>
        </w:trPr>
        <w:tc>
          <w:tcPr>
            <w:tcW w:w="517" w:type="dxa"/>
            <w:vMerge/>
            <w:tcBorders>
              <w:top w:val="nil"/>
              <w:left w:val="nil"/>
              <w:bottom w:val="single" w:sz="4" w:space="0" w:color="000000"/>
              <w:right w:val="nil"/>
            </w:tcBorders>
            <w:vAlign w:val="center"/>
            <w:hideMark/>
          </w:tcPr>
          <w:p w14:paraId="2D155E35" w14:textId="77777777" w:rsidR="006D0778" w:rsidRPr="006D0778" w:rsidRDefault="006D0778" w:rsidP="006D0778">
            <w:pPr>
              <w:spacing w:after="0"/>
              <w:jc w:val="left"/>
              <w:rPr>
                <w:rFonts w:eastAsia="Times New Roman" w:cs="Times New Roman"/>
                <w:sz w:val="22"/>
              </w:rPr>
            </w:pPr>
          </w:p>
        </w:tc>
        <w:tc>
          <w:tcPr>
            <w:tcW w:w="1592" w:type="dxa"/>
            <w:vMerge/>
            <w:tcBorders>
              <w:top w:val="nil"/>
              <w:left w:val="nil"/>
              <w:bottom w:val="nil"/>
              <w:right w:val="single" w:sz="4" w:space="0" w:color="auto"/>
            </w:tcBorders>
            <w:vAlign w:val="center"/>
            <w:hideMark/>
          </w:tcPr>
          <w:p w14:paraId="27CBE050" w14:textId="77777777" w:rsidR="006D0778" w:rsidRPr="006D0778" w:rsidRDefault="006D0778" w:rsidP="006D0778">
            <w:pPr>
              <w:spacing w:after="0"/>
              <w:jc w:val="left"/>
              <w:rPr>
                <w:rFonts w:eastAsia="Times New Roman" w:cs="Times New Roman"/>
                <w:sz w:val="20"/>
                <w:szCs w:val="20"/>
              </w:rPr>
            </w:pPr>
          </w:p>
        </w:tc>
        <w:tc>
          <w:tcPr>
            <w:tcW w:w="1422" w:type="dxa"/>
            <w:tcBorders>
              <w:top w:val="nil"/>
              <w:left w:val="nil"/>
              <w:bottom w:val="single" w:sz="4" w:space="0" w:color="auto"/>
              <w:right w:val="nil"/>
            </w:tcBorders>
            <w:shd w:val="clear" w:color="auto" w:fill="auto"/>
            <w:vAlign w:val="center"/>
            <w:hideMark/>
          </w:tcPr>
          <w:p w14:paraId="5369145C"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0,4%</w:t>
            </w:r>
          </w:p>
        </w:tc>
        <w:tc>
          <w:tcPr>
            <w:tcW w:w="1382" w:type="dxa"/>
            <w:tcBorders>
              <w:top w:val="nil"/>
              <w:left w:val="nil"/>
              <w:bottom w:val="single" w:sz="4" w:space="0" w:color="auto"/>
              <w:right w:val="nil"/>
            </w:tcBorders>
            <w:shd w:val="clear" w:color="auto" w:fill="auto"/>
            <w:vAlign w:val="center"/>
            <w:hideMark/>
          </w:tcPr>
          <w:p w14:paraId="013EE937"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-1,89</w:t>
            </w:r>
          </w:p>
        </w:tc>
        <w:tc>
          <w:tcPr>
            <w:tcW w:w="1384" w:type="dxa"/>
            <w:tcBorders>
              <w:top w:val="nil"/>
              <w:left w:val="nil"/>
              <w:bottom w:val="single" w:sz="4" w:space="0" w:color="auto"/>
              <w:right w:val="nil"/>
            </w:tcBorders>
            <w:shd w:val="clear" w:color="auto" w:fill="auto"/>
            <w:vAlign w:val="center"/>
            <w:hideMark/>
          </w:tcPr>
          <w:p w14:paraId="658583A6"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-1,88</w:t>
            </w:r>
          </w:p>
        </w:tc>
        <w:tc>
          <w:tcPr>
            <w:tcW w:w="1384" w:type="dxa"/>
            <w:tcBorders>
              <w:top w:val="nil"/>
              <w:left w:val="nil"/>
              <w:bottom w:val="single" w:sz="4" w:space="0" w:color="auto"/>
              <w:right w:val="nil"/>
            </w:tcBorders>
            <w:shd w:val="clear" w:color="auto" w:fill="auto"/>
            <w:vAlign w:val="center"/>
            <w:hideMark/>
          </w:tcPr>
          <w:p w14:paraId="4E1858A3"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-1,11</w:t>
            </w:r>
          </w:p>
        </w:tc>
        <w:tc>
          <w:tcPr>
            <w:tcW w:w="1384" w:type="dxa"/>
            <w:tcBorders>
              <w:top w:val="nil"/>
              <w:left w:val="nil"/>
              <w:bottom w:val="single" w:sz="4" w:space="0" w:color="auto"/>
              <w:right w:val="nil"/>
            </w:tcBorders>
            <w:shd w:val="clear" w:color="auto" w:fill="auto"/>
            <w:vAlign w:val="center"/>
            <w:hideMark/>
          </w:tcPr>
          <w:p w14:paraId="170D48A6"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-0,74</w:t>
            </w:r>
          </w:p>
        </w:tc>
      </w:tr>
      <w:tr w:rsidR="006D0778" w:rsidRPr="006D0778" w14:paraId="30A83F4D" w14:textId="77777777" w:rsidTr="00D2109C">
        <w:trPr>
          <w:trHeight w:val="238"/>
        </w:trPr>
        <w:tc>
          <w:tcPr>
            <w:tcW w:w="517" w:type="dxa"/>
            <w:vMerge/>
            <w:tcBorders>
              <w:top w:val="nil"/>
              <w:left w:val="nil"/>
              <w:bottom w:val="single" w:sz="4" w:space="0" w:color="000000"/>
              <w:right w:val="nil"/>
            </w:tcBorders>
            <w:vAlign w:val="center"/>
            <w:hideMark/>
          </w:tcPr>
          <w:p w14:paraId="2B6F56DF" w14:textId="77777777" w:rsidR="006D0778" w:rsidRPr="006D0778" w:rsidRDefault="006D0778" w:rsidP="006D0778">
            <w:pPr>
              <w:spacing w:after="0"/>
              <w:jc w:val="left"/>
              <w:rPr>
                <w:rFonts w:eastAsia="Times New Roman" w:cs="Times New Roman"/>
                <w:sz w:val="22"/>
              </w:rPr>
            </w:pPr>
          </w:p>
        </w:tc>
        <w:tc>
          <w:tcPr>
            <w:tcW w:w="1592" w:type="dxa"/>
            <w:vMerge w:val="restart"/>
            <w:tcBorders>
              <w:top w:val="nil"/>
              <w:left w:val="nil"/>
              <w:bottom w:val="single" w:sz="4" w:space="0" w:color="000000"/>
              <w:right w:val="single" w:sz="4" w:space="0" w:color="auto"/>
            </w:tcBorders>
            <w:shd w:val="clear" w:color="auto" w:fill="auto"/>
            <w:vAlign w:val="center"/>
            <w:hideMark/>
          </w:tcPr>
          <w:p w14:paraId="696480E7" w14:textId="77777777" w:rsidR="006D0778" w:rsidRPr="006D0778" w:rsidRDefault="006D0778" w:rsidP="006D0778">
            <w:pPr>
              <w:spacing w:after="0"/>
              <w:jc w:val="center"/>
              <w:rPr>
                <w:rFonts w:eastAsia="Times New Roman" w:cs="Times New Roman"/>
                <w:sz w:val="20"/>
                <w:szCs w:val="20"/>
              </w:rPr>
            </w:pPr>
            <w:r w:rsidRPr="006D0778">
              <w:rPr>
                <w:rFonts w:eastAsia="Times New Roman" w:cs="Times New Roman"/>
                <w:sz w:val="20"/>
                <w:szCs w:val="20"/>
              </w:rPr>
              <w:t>Јавни дуг</w:t>
            </w:r>
          </w:p>
        </w:tc>
        <w:tc>
          <w:tcPr>
            <w:tcW w:w="1422" w:type="dxa"/>
            <w:tcBorders>
              <w:top w:val="single" w:sz="4" w:space="0" w:color="auto"/>
              <w:left w:val="nil"/>
              <w:bottom w:val="nil"/>
              <w:right w:val="nil"/>
            </w:tcBorders>
            <w:shd w:val="clear" w:color="auto" w:fill="auto"/>
            <w:vAlign w:val="center"/>
            <w:hideMark/>
          </w:tcPr>
          <w:p w14:paraId="4FB1FA3B"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50%</w:t>
            </w:r>
          </w:p>
        </w:tc>
        <w:tc>
          <w:tcPr>
            <w:tcW w:w="1382" w:type="dxa"/>
            <w:tcBorders>
              <w:top w:val="single" w:sz="4" w:space="0" w:color="auto"/>
              <w:left w:val="nil"/>
              <w:bottom w:val="nil"/>
              <w:right w:val="nil"/>
            </w:tcBorders>
            <w:shd w:val="clear" w:color="auto" w:fill="auto"/>
            <w:vAlign w:val="center"/>
            <w:hideMark/>
          </w:tcPr>
          <w:p w14:paraId="79D97AE1"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0,06</w:t>
            </w:r>
          </w:p>
        </w:tc>
        <w:tc>
          <w:tcPr>
            <w:tcW w:w="1384" w:type="dxa"/>
            <w:tcBorders>
              <w:top w:val="single" w:sz="4" w:space="0" w:color="auto"/>
              <w:left w:val="nil"/>
              <w:bottom w:val="nil"/>
              <w:right w:val="nil"/>
            </w:tcBorders>
            <w:shd w:val="clear" w:color="auto" w:fill="auto"/>
            <w:vAlign w:val="center"/>
            <w:hideMark/>
          </w:tcPr>
          <w:p w14:paraId="274BF496"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0,09</w:t>
            </w:r>
          </w:p>
        </w:tc>
        <w:tc>
          <w:tcPr>
            <w:tcW w:w="1384" w:type="dxa"/>
            <w:tcBorders>
              <w:top w:val="single" w:sz="4" w:space="0" w:color="auto"/>
              <w:left w:val="nil"/>
              <w:bottom w:val="nil"/>
              <w:right w:val="nil"/>
            </w:tcBorders>
            <w:shd w:val="clear" w:color="auto" w:fill="auto"/>
            <w:vAlign w:val="center"/>
            <w:hideMark/>
          </w:tcPr>
          <w:p w14:paraId="27F2F93B"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0,11</w:t>
            </w:r>
          </w:p>
        </w:tc>
        <w:tc>
          <w:tcPr>
            <w:tcW w:w="1384" w:type="dxa"/>
            <w:tcBorders>
              <w:top w:val="single" w:sz="4" w:space="0" w:color="auto"/>
              <w:left w:val="nil"/>
              <w:bottom w:val="nil"/>
              <w:right w:val="nil"/>
            </w:tcBorders>
            <w:shd w:val="clear" w:color="auto" w:fill="auto"/>
            <w:vAlign w:val="center"/>
            <w:hideMark/>
          </w:tcPr>
          <w:p w14:paraId="2F502500"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0,11</w:t>
            </w:r>
          </w:p>
        </w:tc>
      </w:tr>
      <w:tr w:rsidR="006D0778" w:rsidRPr="006D0778" w14:paraId="7BDD7BB9" w14:textId="77777777" w:rsidTr="00D2109C">
        <w:trPr>
          <w:trHeight w:val="238"/>
        </w:trPr>
        <w:tc>
          <w:tcPr>
            <w:tcW w:w="517" w:type="dxa"/>
            <w:vMerge/>
            <w:tcBorders>
              <w:top w:val="nil"/>
              <w:left w:val="nil"/>
              <w:bottom w:val="single" w:sz="4" w:space="0" w:color="000000"/>
              <w:right w:val="nil"/>
            </w:tcBorders>
            <w:vAlign w:val="center"/>
            <w:hideMark/>
          </w:tcPr>
          <w:p w14:paraId="41913FB2" w14:textId="77777777" w:rsidR="006D0778" w:rsidRPr="006D0778" w:rsidRDefault="006D0778" w:rsidP="006D0778">
            <w:pPr>
              <w:spacing w:after="0"/>
              <w:jc w:val="left"/>
              <w:rPr>
                <w:rFonts w:eastAsia="Times New Roman" w:cs="Times New Roman"/>
                <w:sz w:val="22"/>
              </w:rPr>
            </w:pPr>
          </w:p>
        </w:tc>
        <w:tc>
          <w:tcPr>
            <w:tcW w:w="1592" w:type="dxa"/>
            <w:vMerge/>
            <w:tcBorders>
              <w:top w:val="nil"/>
              <w:left w:val="nil"/>
              <w:bottom w:val="single" w:sz="4" w:space="0" w:color="000000"/>
              <w:right w:val="single" w:sz="4" w:space="0" w:color="auto"/>
            </w:tcBorders>
            <w:vAlign w:val="center"/>
            <w:hideMark/>
          </w:tcPr>
          <w:p w14:paraId="7C455784" w14:textId="77777777" w:rsidR="006D0778" w:rsidRPr="006D0778" w:rsidRDefault="006D0778" w:rsidP="006D0778">
            <w:pPr>
              <w:spacing w:after="0"/>
              <w:jc w:val="left"/>
              <w:rPr>
                <w:rFonts w:eastAsia="Times New Roman" w:cs="Times New Roman"/>
                <w:sz w:val="20"/>
                <w:szCs w:val="20"/>
              </w:rPr>
            </w:pPr>
          </w:p>
        </w:tc>
        <w:tc>
          <w:tcPr>
            <w:tcW w:w="1422" w:type="dxa"/>
            <w:tcBorders>
              <w:top w:val="nil"/>
              <w:left w:val="nil"/>
              <w:bottom w:val="nil"/>
              <w:right w:val="nil"/>
            </w:tcBorders>
            <w:shd w:val="clear" w:color="auto" w:fill="auto"/>
            <w:vAlign w:val="center"/>
            <w:hideMark/>
          </w:tcPr>
          <w:p w14:paraId="0B3B6A94"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10%</w:t>
            </w:r>
          </w:p>
        </w:tc>
        <w:tc>
          <w:tcPr>
            <w:tcW w:w="1382" w:type="dxa"/>
            <w:tcBorders>
              <w:top w:val="nil"/>
              <w:left w:val="nil"/>
              <w:bottom w:val="nil"/>
              <w:right w:val="nil"/>
            </w:tcBorders>
            <w:shd w:val="clear" w:color="auto" w:fill="auto"/>
            <w:vAlign w:val="center"/>
            <w:hideMark/>
          </w:tcPr>
          <w:p w14:paraId="01745A8E"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0,27</w:t>
            </w:r>
          </w:p>
        </w:tc>
        <w:tc>
          <w:tcPr>
            <w:tcW w:w="1384" w:type="dxa"/>
            <w:tcBorders>
              <w:top w:val="nil"/>
              <w:left w:val="nil"/>
              <w:bottom w:val="nil"/>
              <w:right w:val="nil"/>
            </w:tcBorders>
            <w:shd w:val="clear" w:color="auto" w:fill="auto"/>
            <w:vAlign w:val="center"/>
            <w:hideMark/>
          </w:tcPr>
          <w:p w14:paraId="67C2A232"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0,45</w:t>
            </w:r>
          </w:p>
        </w:tc>
        <w:tc>
          <w:tcPr>
            <w:tcW w:w="1384" w:type="dxa"/>
            <w:tcBorders>
              <w:top w:val="nil"/>
              <w:left w:val="nil"/>
              <w:bottom w:val="nil"/>
              <w:right w:val="nil"/>
            </w:tcBorders>
            <w:shd w:val="clear" w:color="auto" w:fill="auto"/>
            <w:vAlign w:val="center"/>
            <w:hideMark/>
          </w:tcPr>
          <w:p w14:paraId="30D5433D"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0,53</w:t>
            </w:r>
          </w:p>
        </w:tc>
        <w:tc>
          <w:tcPr>
            <w:tcW w:w="1384" w:type="dxa"/>
            <w:tcBorders>
              <w:top w:val="nil"/>
              <w:left w:val="nil"/>
              <w:bottom w:val="nil"/>
              <w:right w:val="nil"/>
            </w:tcBorders>
            <w:shd w:val="clear" w:color="auto" w:fill="auto"/>
            <w:vAlign w:val="center"/>
            <w:hideMark/>
          </w:tcPr>
          <w:p w14:paraId="00814FC2"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0,55</w:t>
            </w:r>
          </w:p>
        </w:tc>
      </w:tr>
      <w:tr w:rsidR="006D0778" w:rsidRPr="006D0778" w14:paraId="1E99873F" w14:textId="77777777" w:rsidTr="00D2109C">
        <w:trPr>
          <w:trHeight w:val="238"/>
        </w:trPr>
        <w:tc>
          <w:tcPr>
            <w:tcW w:w="517" w:type="dxa"/>
            <w:vMerge/>
            <w:tcBorders>
              <w:top w:val="nil"/>
              <w:left w:val="nil"/>
              <w:bottom w:val="single" w:sz="4" w:space="0" w:color="000000"/>
              <w:right w:val="nil"/>
            </w:tcBorders>
            <w:vAlign w:val="center"/>
            <w:hideMark/>
          </w:tcPr>
          <w:p w14:paraId="7AE05586" w14:textId="77777777" w:rsidR="006D0778" w:rsidRPr="006D0778" w:rsidRDefault="006D0778" w:rsidP="006D0778">
            <w:pPr>
              <w:spacing w:after="0"/>
              <w:jc w:val="left"/>
              <w:rPr>
                <w:rFonts w:eastAsia="Times New Roman" w:cs="Times New Roman"/>
                <w:sz w:val="22"/>
              </w:rPr>
            </w:pPr>
          </w:p>
        </w:tc>
        <w:tc>
          <w:tcPr>
            <w:tcW w:w="1592" w:type="dxa"/>
            <w:vMerge/>
            <w:tcBorders>
              <w:top w:val="nil"/>
              <w:left w:val="nil"/>
              <w:bottom w:val="single" w:sz="4" w:space="0" w:color="000000"/>
              <w:right w:val="single" w:sz="4" w:space="0" w:color="auto"/>
            </w:tcBorders>
            <w:vAlign w:val="center"/>
            <w:hideMark/>
          </w:tcPr>
          <w:p w14:paraId="0B3E0206" w14:textId="77777777" w:rsidR="006D0778" w:rsidRPr="006D0778" w:rsidRDefault="006D0778" w:rsidP="006D0778">
            <w:pPr>
              <w:spacing w:after="0"/>
              <w:jc w:val="left"/>
              <w:rPr>
                <w:rFonts w:eastAsia="Times New Roman" w:cs="Times New Roman"/>
                <w:sz w:val="20"/>
                <w:szCs w:val="20"/>
              </w:rPr>
            </w:pPr>
          </w:p>
        </w:tc>
        <w:tc>
          <w:tcPr>
            <w:tcW w:w="1422" w:type="dxa"/>
            <w:tcBorders>
              <w:top w:val="nil"/>
              <w:left w:val="nil"/>
              <w:bottom w:val="nil"/>
              <w:right w:val="nil"/>
            </w:tcBorders>
            <w:shd w:val="clear" w:color="auto" w:fill="auto"/>
            <w:vAlign w:val="center"/>
            <w:hideMark/>
          </w:tcPr>
          <w:p w14:paraId="64E05BE5"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2%</w:t>
            </w:r>
          </w:p>
        </w:tc>
        <w:tc>
          <w:tcPr>
            <w:tcW w:w="1382" w:type="dxa"/>
            <w:tcBorders>
              <w:top w:val="nil"/>
              <w:left w:val="nil"/>
              <w:bottom w:val="nil"/>
              <w:right w:val="nil"/>
            </w:tcBorders>
            <w:shd w:val="clear" w:color="auto" w:fill="auto"/>
            <w:vAlign w:val="center"/>
            <w:hideMark/>
          </w:tcPr>
          <w:p w14:paraId="0E32577B"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0,90</w:t>
            </w:r>
          </w:p>
        </w:tc>
        <w:tc>
          <w:tcPr>
            <w:tcW w:w="1384" w:type="dxa"/>
            <w:tcBorders>
              <w:top w:val="nil"/>
              <w:left w:val="nil"/>
              <w:bottom w:val="nil"/>
              <w:right w:val="nil"/>
            </w:tcBorders>
            <w:shd w:val="clear" w:color="auto" w:fill="auto"/>
            <w:vAlign w:val="center"/>
            <w:hideMark/>
          </w:tcPr>
          <w:p w14:paraId="3C52C3C1"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1,52</w:t>
            </w:r>
          </w:p>
        </w:tc>
        <w:tc>
          <w:tcPr>
            <w:tcW w:w="1384" w:type="dxa"/>
            <w:tcBorders>
              <w:top w:val="nil"/>
              <w:left w:val="nil"/>
              <w:bottom w:val="nil"/>
              <w:right w:val="nil"/>
            </w:tcBorders>
            <w:shd w:val="clear" w:color="auto" w:fill="auto"/>
            <w:vAlign w:val="center"/>
            <w:hideMark/>
          </w:tcPr>
          <w:p w14:paraId="4E2C942F"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1,77</w:t>
            </w:r>
          </w:p>
        </w:tc>
        <w:tc>
          <w:tcPr>
            <w:tcW w:w="1384" w:type="dxa"/>
            <w:tcBorders>
              <w:top w:val="nil"/>
              <w:left w:val="nil"/>
              <w:bottom w:val="nil"/>
              <w:right w:val="nil"/>
            </w:tcBorders>
            <w:shd w:val="clear" w:color="auto" w:fill="auto"/>
            <w:vAlign w:val="center"/>
            <w:hideMark/>
          </w:tcPr>
          <w:p w14:paraId="1F3DBD72"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1,85</w:t>
            </w:r>
          </w:p>
        </w:tc>
      </w:tr>
      <w:tr w:rsidR="006D0778" w:rsidRPr="006D0778" w14:paraId="6B35DF7A" w14:textId="77777777" w:rsidTr="00D2109C">
        <w:trPr>
          <w:trHeight w:val="238"/>
        </w:trPr>
        <w:tc>
          <w:tcPr>
            <w:tcW w:w="517" w:type="dxa"/>
            <w:vMerge/>
            <w:tcBorders>
              <w:top w:val="nil"/>
              <w:left w:val="nil"/>
              <w:bottom w:val="single" w:sz="4" w:space="0" w:color="000000"/>
              <w:right w:val="nil"/>
            </w:tcBorders>
            <w:vAlign w:val="center"/>
            <w:hideMark/>
          </w:tcPr>
          <w:p w14:paraId="02E644A5" w14:textId="77777777" w:rsidR="006D0778" w:rsidRPr="006D0778" w:rsidRDefault="006D0778" w:rsidP="006D0778">
            <w:pPr>
              <w:spacing w:after="0"/>
              <w:jc w:val="left"/>
              <w:rPr>
                <w:rFonts w:eastAsia="Times New Roman" w:cs="Times New Roman"/>
                <w:sz w:val="22"/>
              </w:rPr>
            </w:pPr>
          </w:p>
        </w:tc>
        <w:tc>
          <w:tcPr>
            <w:tcW w:w="1592" w:type="dxa"/>
            <w:vMerge/>
            <w:tcBorders>
              <w:top w:val="nil"/>
              <w:left w:val="nil"/>
              <w:bottom w:val="single" w:sz="4" w:space="0" w:color="000000"/>
              <w:right w:val="single" w:sz="4" w:space="0" w:color="auto"/>
            </w:tcBorders>
            <w:vAlign w:val="center"/>
            <w:hideMark/>
          </w:tcPr>
          <w:p w14:paraId="56E42FBA" w14:textId="77777777" w:rsidR="006D0778" w:rsidRPr="006D0778" w:rsidRDefault="006D0778" w:rsidP="006D0778">
            <w:pPr>
              <w:spacing w:after="0"/>
              <w:jc w:val="left"/>
              <w:rPr>
                <w:rFonts w:eastAsia="Times New Roman" w:cs="Times New Roman"/>
                <w:sz w:val="20"/>
                <w:szCs w:val="20"/>
              </w:rPr>
            </w:pPr>
          </w:p>
        </w:tc>
        <w:tc>
          <w:tcPr>
            <w:tcW w:w="1422" w:type="dxa"/>
            <w:tcBorders>
              <w:top w:val="nil"/>
              <w:left w:val="nil"/>
              <w:bottom w:val="nil"/>
              <w:right w:val="nil"/>
            </w:tcBorders>
            <w:shd w:val="clear" w:color="auto" w:fill="auto"/>
            <w:vAlign w:val="center"/>
            <w:hideMark/>
          </w:tcPr>
          <w:p w14:paraId="0B07DED9"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1%</w:t>
            </w:r>
          </w:p>
        </w:tc>
        <w:tc>
          <w:tcPr>
            <w:tcW w:w="1382" w:type="dxa"/>
            <w:tcBorders>
              <w:top w:val="nil"/>
              <w:left w:val="nil"/>
              <w:bottom w:val="nil"/>
              <w:right w:val="nil"/>
            </w:tcBorders>
            <w:shd w:val="clear" w:color="auto" w:fill="auto"/>
            <w:vAlign w:val="center"/>
            <w:hideMark/>
          </w:tcPr>
          <w:p w14:paraId="47FCE101"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1,49</w:t>
            </w:r>
          </w:p>
        </w:tc>
        <w:tc>
          <w:tcPr>
            <w:tcW w:w="1384" w:type="dxa"/>
            <w:tcBorders>
              <w:top w:val="nil"/>
              <w:left w:val="nil"/>
              <w:bottom w:val="nil"/>
              <w:right w:val="nil"/>
            </w:tcBorders>
            <w:shd w:val="clear" w:color="auto" w:fill="auto"/>
            <w:vAlign w:val="center"/>
            <w:hideMark/>
          </w:tcPr>
          <w:p w14:paraId="4B50C9B7"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2,50</w:t>
            </w:r>
          </w:p>
        </w:tc>
        <w:tc>
          <w:tcPr>
            <w:tcW w:w="1384" w:type="dxa"/>
            <w:tcBorders>
              <w:top w:val="nil"/>
              <w:left w:val="nil"/>
              <w:bottom w:val="nil"/>
              <w:right w:val="nil"/>
            </w:tcBorders>
            <w:shd w:val="clear" w:color="auto" w:fill="auto"/>
            <w:vAlign w:val="center"/>
            <w:hideMark/>
          </w:tcPr>
          <w:p w14:paraId="75574FF6"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2,92</w:t>
            </w:r>
          </w:p>
        </w:tc>
        <w:tc>
          <w:tcPr>
            <w:tcW w:w="1384" w:type="dxa"/>
            <w:tcBorders>
              <w:top w:val="nil"/>
              <w:left w:val="nil"/>
              <w:bottom w:val="nil"/>
              <w:right w:val="nil"/>
            </w:tcBorders>
            <w:shd w:val="clear" w:color="auto" w:fill="auto"/>
            <w:vAlign w:val="center"/>
            <w:hideMark/>
          </w:tcPr>
          <w:p w14:paraId="31A39272"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3,05</w:t>
            </w:r>
          </w:p>
        </w:tc>
      </w:tr>
      <w:tr w:rsidR="006D0778" w:rsidRPr="006D0778" w14:paraId="25391450" w14:textId="77777777" w:rsidTr="00D2109C">
        <w:trPr>
          <w:trHeight w:val="238"/>
        </w:trPr>
        <w:tc>
          <w:tcPr>
            <w:tcW w:w="517" w:type="dxa"/>
            <w:vMerge/>
            <w:tcBorders>
              <w:top w:val="nil"/>
              <w:left w:val="nil"/>
              <w:bottom w:val="single" w:sz="4" w:space="0" w:color="000000"/>
              <w:right w:val="nil"/>
            </w:tcBorders>
            <w:vAlign w:val="center"/>
            <w:hideMark/>
          </w:tcPr>
          <w:p w14:paraId="0CCB30C7" w14:textId="77777777" w:rsidR="006D0778" w:rsidRPr="006D0778" w:rsidRDefault="006D0778" w:rsidP="006D0778">
            <w:pPr>
              <w:spacing w:after="0"/>
              <w:jc w:val="left"/>
              <w:rPr>
                <w:rFonts w:eastAsia="Times New Roman" w:cs="Times New Roman"/>
                <w:sz w:val="22"/>
              </w:rPr>
            </w:pPr>
          </w:p>
        </w:tc>
        <w:tc>
          <w:tcPr>
            <w:tcW w:w="1592" w:type="dxa"/>
            <w:vMerge/>
            <w:tcBorders>
              <w:top w:val="nil"/>
              <w:left w:val="nil"/>
              <w:bottom w:val="single" w:sz="4" w:space="0" w:color="000000"/>
              <w:right w:val="single" w:sz="4" w:space="0" w:color="auto"/>
            </w:tcBorders>
            <w:vAlign w:val="center"/>
            <w:hideMark/>
          </w:tcPr>
          <w:p w14:paraId="6A1AF3AB" w14:textId="77777777" w:rsidR="006D0778" w:rsidRPr="006D0778" w:rsidRDefault="006D0778" w:rsidP="006D0778">
            <w:pPr>
              <w:spacing w:after="0"/>
              <w:jc w:val="left"/>
              <w:rPr>
                <w:rFonts w:eastAsia="Times New Roman" w:cs="Times New Roman"/>
                <w:sz w:val="20"/>
                <w:szCs w:val="20"/>
              </w:rPr>
            </w:pPr>
          </w:p>
        </w:tc>
        <w:tc>
          <w:tcPr>
            <w:tcW w:w="1422" w:type="dxa"/>
            <w:tcBorders>
              <w:top w:val="nil"/>
              <w:left w:val="nil"/>
              <w:bottom w:val="single" w:sz="4" w:space="0" w:color="auto"/>
              <w:right w:val="nil"/>
            </w:tcBorders>
            <w:shd w:val="clear" w:color="auto" w:fill="auto"/>
            <w:vAlign w:val="center"/>
            <w:hideMark/>
          </w:tcPr>
          <w:p w14:paraId="2702DBDC"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0,4%</w:t>
            </w:r>
          </w:p>
        </w:tc>
        <w:tc>
          <w:tcPr>
            <w:tcW w:w="1382" w:type="dxa"/>
            <w:tcBorders>
              <w:top w:val="nil"/>
              <w:left w:val="nil"/>
              <w:bottom w:val="single" w:sz="4" w:space="0" w:color="auto"/>
              <w:right w:val="nil"/>
            </w:tcBorders>
            <w:shd w:val="clear" w:color="auto" w:fill="auto"/>
            <w:vAlign w:val="center"/>
            <w:hideMark/>
          </w:tcPr>
          <w:p w14:paraId="33B9609D"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2,37</w:t>
            </w:r>
          </w:p>
        </w:tc>
        <w:tc>
          <w:tcPr>
            <w:tcW w:w="1384" w:type="dxa"/>
            <w:tcBorders>
              <w:top w:val="nil"/>
              <w:left w:val="nil"/>
              <w:bottom w:val="single" w:sz="4" w:space="0" w:color="auto"/>
              <w:right w:val="nil"/>
            </w:tcBorders>
            <w:shd w:val="clear" w:color="auto" w:fill="auto"/>
            <w:vAlign w:val="center"/>
            <w:hideMark/>
          </w:tcPr>
          <w:p w14:paraId="69BC2AC5"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3,97</w:t>
            </w:r>
          </w:p>
        </w:tc>
        <w:tc>
          <w:tcPr>
            <w:tcW w:w="1384" w:type="dxa"/>
            <w:tcBorders>
              <w:top w:val="nil"/>
              <w:left w:val="nil"/>
              <w:bottom w:val="single" w:sz="4" w:space="0" w:color="auto"/>
              <w:right w:val="nil"/>
            </w:tcBorders>
            <w:shd w:val="clear" w:color="auto" w:fill="auto"/>
            <w:vAlign w:val="center"/>
            <w:hideMark/>
          </w:tcPr>
          <w:p w14:paraId="72C1A932"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4,63</w:t>
            </w:r>
          </w:p>
        </w:tc>
        <w:tc>
          <w:tcPr>
            <w:tcW w:w="1384" w:type="dxa"/>
            <w:tcBorders>
              <w:top w:val="nil"/>
              <w:left w:val="nil"/>
              <w:bottom w:val="single" w:sz="4" w:space="0" w:color="auto"/>
              <w:right w:val="nil"/>
            </w:tcBorders>
            <w:shd w:val="clear" w:color="auto" w:fill="auto"/>
            <w:vAlign w:val="center"/>
            <w:hideMark/>
          </w:tcPr>
          <w:p w14:paraId="0A84D702" w14:textId="77777777" w:rsidR="006D0778" w:rsidRPr="006D0778" w:rsidRDefault="006D0778" w:rsidP="006D0778">
            <w:pPr>
              <w:spacing w:after="0"/>
              <w:jc w:val="center"/>
              <w:rPr>
                <w:rFonts w:eastAsia="Times New Roman" w:cs="Times New Roman"/>
                <w:sz w:val="18"/>
                <w:szCs w:val="18"/>
              </w:rPr>
            </w:pPr>
            <w:r w:rsidRPr="006D0778">
              <w:rPr>
                <w:rFonts w:eastAsia="Times New Roman" w:cs="Times New Roman"/>
                <w:sz w:val="18"/>
                <w:szCs w:val="18"/>
              </w:rPr>
              <w:t>4,84</w:t>
            </w:r>
          </w:p>
        </w:tc>
      </w:tr>
    </w:tbl>
    <w:p w14:paraId="19CCF777" w14:textId="77777777" w:rsidR="006D0778" w:rsidRPr="006D0778" w:rsidRDefault="006D0778" w:rsidP="006D0778">
      <w:pPr>
        <w:rPr>
          <w:rFonts w:eastAsia="MS PGothic" w:cstheme="minorHAnsi"/>
          <w:szCs w:val="20"/>
          <w:lang w:eastAsia="ja-JP"/>
        </w:rPr>
      </w:pPr>
    </w:p>
    <w:p w14:paraId="673E3EC2" w14:textId="4C224716" w:rsidR="006D0778" w:rsidRPr="006D0778" w:rsidRDefault="006D0778" w:rsidP="006D0778">
      <w:pPr>
        <w:spacing w:after="60" w:line="238" w:lineRule="auto"/>
        <w:rPr>
          <w:lang w:val="sr-Cyrl-RS" w:eastAsia="ja-JP"/>
        </w:rPr>
      </w:pPr>
      <w:r w:rsidRPr="006D0778">
        <w:rPr>
          <w:lang w:val="sr-Cyrl-RS" w:eastAsia="ja-JP"/>
        </w:rPr>
        <w:t>Република Србија је у 2019. години платила из буџета 4,22 млрд динара за накнаде штете за повреде или штете настале услед елементарних непогода или других природних узрока. У току 2020. године за ову намену издвоје</w:t>
      </w:r>
      <w:r w:rsidR="00F25393">
        <w:rPr>
          <w:lang w:val="sr-Cyrl-RS" w:eastAsia="ja-JP"/>
        </w:rPr>
        <w:t>но је 2,8 млрд динара, док је</w:t>
      </w:r>
      <w:r w:rsidRPr="006D0778">
        <w:rPr>
          <w:lang w:val="sr-Cyrl-RS" w:eastAsia="ja-JP"/>
        </w:rPr>
        <w:t xml:space="preserve"> током 2021. године износ потрошен на ове намене </w:t>
      </w:r>
      <w:r w:rsidR="00F25393">
        <w:rPr>
          <w:lang w:val="sr-Cyrl-RS" w:eastAsia="ja-JP"/>
        </w:rPr>
        <w:t>б</w:t>
      </w:r>
      <w:r w:rsidRPr="006D0778">
        <w:rPr>
          <w:lang w:val="sr-Cyrl-RS" w:eastAsia="ja-JP"/>
        </w:rPr>
        <w:t>ио 520,3 милиона динара. У 2022. години је плаћено 263,9 милиона динара, а за првих девет месеци 2023. године издвојено је 270,3 милиона динара за ову намену.</w:t>
      </w:r>
    </w:p>
    <w:p w14:paraId="59FA90F6" w14:textId="77777777" w:rsidR="006D0778" w:rsidRPr="006D0778" w:rsidRDefault="006D0778" w:rsidP="006D0778">
      <w:pPr>
        <w:spacing w:after="60" w:line="238" w:lineRule="auto"/>
        <w:rPr>
          <w:lang w:val="sr-Cyrl-RS" w:eastAsia="ja-JP"/>
        </w:rPr>
      </w:pPr>
    </w:p>
    <w:p w14:paraId="7C980A33" w14:textId="77777777" w:rsidR="006D0778" w:rsidRPr="006D0778" w:rsidRDefault="006D0778" w:rsidP="006D0778">
      <w:pPr>
        <w:spacing w:after="60" w:line="238" w:lineRule="auto"/>
        <w:rPr>
          <w:lang w:val="sr-Cyrl-RS" w:eastAsia="ja-JP"/>
        </w:rPr>
      </w:pPr>
    </w:p>
    <w:p w14:paraId="6FCC48C0" w14:textId="77777777" w:rsidR="006D0778" w:rsidRPr="006D0778" w:rsidRDefault="006D0778" w:rsidP="006D0778">
      <w:pPr>
        <w:rPr>
          <w:rFonts w:eastAsia="MS PGothic" w:cs="Times New Roman"/>
          <w:b/>
          <w:szCs w:val="24"/>
          <w:lang w:val="sr-Cyrl-RS" w:eastAsia="ja-JP"/>
        </w:rPr>
      </w:pPr>
      <w:r w:rsidRPr="006D0778">
        <w:rPr>
          <w:rFonts w:eastAsia="MS PGothic" w:cs="Times New Roman"/>
          <w:b/>
          <w:szCs w:val="24"/>
          <w:lang w:val="sr-Cyrl-RS" w:eastAsia="ja-JP"/>
        </w:rPr>
        <w:t>Алтернативни сценарио фискалних кретања у периоду 2024–2027. године</w:t>
      </w:r>
    </w:p>
    <w:p w14:paraId="0B0FE244" w14:textId="77777777" w:rsidR="006D0778" w:rsidRPr="006D0778" w:rsidRDefault="006D0778" w:rsidP="006D0778">
      <w:pPr>
        <w:rPr>
          <w:lang w:val="sr-Cyrl-RS" w:eastAsia="ja-JP"/>
        </w:rPr>
      </w:pPr>
      <w:r w:rsidRPr="006D0778">
        <w:rPr>
          <w:lang w:val="sr-Cyrl-RS" w:eastAsia="ja-JP"/>
        </w:rPr>
        <w:t>На следећем графикону приказано је кретање учешћа дефицита и јавног дуга у БДП на основу алтернативног макроекономског сценарија, а који подразумева стопе раста од 3,1%, 2,9% и 3,2% у наредном трогодишњем периоду.</w:t>
      </w:r>
    </w:p>
    <w:p w14:paraId="7B680F8F" w14:textId="77777777" w:rsidR="006D0778" w:rsidRPr="006D0778" w:rsidRDefault="006D0778" w:rsidP="006D0778">
      <w:pPr>
        <w:keepNext/>
        <w:rPr>
          <w:lang w:val="sr-Cyrl-RS" w:eastAsia="ja-JP"/>
        </w:rPr>
      </w:pPr>
      <w:r w:rsidRPr="006D0778">
        <w:rPr>
          <w:lang w:val="sr-Cyrl-RS" w:eastAsia="ja-JP"/>
        </w:rPr>
        <w:lastRenderedPageBreak/>
        <w:t>Графикон 17. Основни и алтернативни сценарио фискалних кретања у периоду 202</w:t>
      </w:r>
      <w:r w:rsidRPr="006D0778">
        <w:rPr>
          <w:lang w:val="sr-Latn-RS" w:eastAsia="ja-JP"/>
        </w:rPr>
        <w:t>4</w:t>
      </w:r>
      <w:r w:rsidRPr="006D0778">
        <w:rPr>
          <w:lang w:val="sr-Cyrl-RS" w:eastAsia="ja-JP"/>
        </w:rPr>
        <w:t>–2027. године</w:t>
      </w:r>
    </w:p>
    <w:p w14:paraId="6229DE61" w14:textId="77777777" w:rsidR="006D0778" w:rsidRPr="006D0778" w:rsidRDefault="006D0778" w:rsidP="006D0778">
      <w:pPr>
        <w:spacing w:line="276" w:lineRule="auto"/>
        <w:rPr>
          <w:rFonts w:eastAsia="MS PGothic" w:cs="Times New Roman"/>
          <w:szCs w:val="24"/>
          <w:lang w:val="sr-Cyrl-RS" w:eastAsia="ja-JP"/>
        </w:rPr>
      </w:pPr>
      <w:r w:rsidRPr="006D0778">
        <w:rPr>
          <w:noProof/>
        </w:rPr>
        <w:drawing>
          <wp:inline distT="0" distB="0" distL="0" distR="0" wp14:anchorId="478DAB3E" wp14:editId="20EF4F21">
            <wp:extent cx="5731510" cy="3400425"/>
            <wp:effectExtent l="0" t="0" r="2540" b="0"/>
            <wp:docPr id="26" name="Chart 26"/>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14:paraId="7B450BC5" w14:textId="137814A3" w:rsidR="006D0778" w:rsidRPr="006D0778" w:rsidRDefault="006D0778" w:rsidP="006D0778">
      <w:pPr>
        <w:rPr>
          <w:lang w:val="sr-Cyrl-RS" w:eastAsia="ja-JP"/>
        </w:rPr>
      </w:pPr>
      <w:r w:rsidRPr="006D0778">
        <w:rPr>
          <w:lang w:val="sr-Cyrl-RS" w:eastAsia="ja-JP"/>
        </w:rPr>
        <w:t>Спорији раст утицао би, преко својих компоненти, и на остварење фискалних агрегата, превасходно на приходну страну, и то највише на приходе по основу рада и порезе на потрошњу. Оваква динамика БДП довела би до вишег нивоа дефицита и јавног дуга, у односу на основни сценарио, а на крају периода нивои дефицита и дуга би били виши у односу на ниво из 2023. године. Претпоставка у овом сценарију је да би политика кретања плата и пензија, као и номинални износи предвиђени за капиталне инвестиције, били исти као у основном сценарију, али би с обзиром на фискална правила</w:t>
      </w:r>
      <w:r w:rsidR="00AA1085">
        <w:rPr>
          <w:lang w:val="sr-Cyrl-RS" w:eastAsia="ja-JP"/>
        </w:rPr>
        <w:t>,</w:t>
      </w:r>
      <w:r w:rsidRPr="006D0778">
        <w:rPr>
          <w:lang w:val="sr-Cyrl-RS" w:eastAsia="ja-JP"/>
        </w:rPr>
        <w:t xml:space="preserve"> морало доћи до промене политике или на приходној или на расходној страни како би се фискални резултат вратио на ниво предвиђен фискалним правилима.</w:t>
      </w:r>
    </w:p>
    <w:p w14:paraId="22E19149" w14:textId="77777777" w:rsidR="006D0778" w:rsidRPr="006D0778" w:rsidRDefault="006D0778" w:rsidP="006D0778">
      <w:pPr>
        <w:spacing w:line="276" w:lineRule="auto"/>
        <w:rPr>
          <w:rFonts w:cs="Times New Roman"/>
          <w:b/>
          <w:bCs/>
          <w:szCs w:val="24"/>
          <w:lang w:val="sr-Cyrl-RS"/>
        </w:rPr>
      </w:pPr>
      <w:r w:rsidRPr="006D0778">
        <w:rPr>
          <w:rFonts w:cs="Times New Roman"/>
          <w:b/>
          <w:bCs/>
          <w:szCs w:val="24"/>
          <w:lang w:val="sr-Cyrl-RS"/>
        </w:rPr>
        <w:t>Поређење са претходним програмом</w:t>
      </w:r>
    </w:p>
    <w:p w14:paraId="428F55CA" w14:textId="77777777" w:rsidR="006D0778" w:rsidRPr="006D0778" w:rsidRDefault="006D0778" w:rsidP="006D0778">
      <w:pPr>
        <w:rPr>
          <w:lang w:val="sr-Cyrl-RS"/>
        </w:rPr>
      </w:pPr>
      <w:r w:rsidRPr="006D0778">
        <w:rPr>
          <w:rFonts w:cstheme="minorHAnsi"/>
          <w:bCs/>
          <w:szCs w:val="20"/>
          <w:lang w:val="sr-Cyrl-RS"/>
        </w:rPr>
        <w:t>Средњорочни фискални оквир је промењен у складу са најављеним инвестиционим циклусом у склопу програма ''скок у будућност – Србија 2027'' и изложбом Експо 2027. као и ревизијом серије БДП.</w:t>
      </w:r>
    </w:p>
    <w:p w14:paraId="0FDB1009" w14:textId="77777777" w:rsidR="006D0778" w:rsidRPr="006D0778" w:rsidRDefault="006D0778" w:rsidP="006D0778">
      <w:pPr>
        <w:keepLines/>
        <w:rPr>
          <w:lang w:val="sr-Cyrl-RS" w:eastAsia="ja-JP"/>
        </w:rPr>
      </w:pPr>
      <w:r w:rsidRPr="006D0778">
        <w:rPr>
          <w:lang w:val="sr-Cyrl-RS" w:eastAsia="ja-JP"/>
        </w:rPr>
        <w:t>Табела 15. Поређење фискалних показатеља два програма, у % БДП</w:t>
      </w:r>
    </w:p>
    <w:tbl>
      <w:tblPr>
        <w:tblW w:w="7912" w:type="dxa"/>
        <w:tblLook w:val="04A0" w:firstRow="1" w:lastRow="0" w:firstColumn="1" w:lastColumn="0" w:noHBand="0" w:noVBand="1"/>
      </w:tblPr>
      <w:tblGrid>
        <w:gridCol w:w="3177"/>
        <w:gridCol w:w="947"/>
        <w:gridCol w:w="947"/>
        <w:gridCol w:w="947"/>
        <w:gridCol w:w="947"/>
        <w:gridCol w:w="947"/>
      </w:tblGrid>
      <w:tr w:rsidR="006D0778" w:rsidRPr="006D0778" w14:paraId="57644FDB" w14:textId="77777777" w:rsidTr="00D2109C">
        <w:trPr>
          <w:trHeight w:val="285"/>
        </w:trPr>
        <w:tc>
          <w:tcPr>
            <w:tcW w:w="3177" w:type="dxa"/>
            <w:tcBorders>
              <w:top w:val="nil"/>
              <w:left w:val="nil"/>
              <w:bottom w:val="nil"/>
              <w:right w:val="nil"/>
            </w:tcBorders>
            <w:shd w:val="clear" w:color="auto" w:fill="auto"/>
            <w:noWrap/>
            <w:vAlign w:val="bottom"/>
            <w:hideMark/>
          </w:tcPr>
          <w:p w14:paraId="6202E117" w14:textId="77777777" w:rsidR="006D0778" w:rsidRPr="006D0778" w:rsidRDefault="006D0778" w:rsidP="006D0778">
            <w:pPr>
              <w:keepLines/>
              <w:spacing w:after="0"/>
              <w:jc w:val="left"/>
              <w:rPr>
                <w:rFonts w:eastAsia="Times New Roman" w:cs="Times New Roman"/>
                <w:sz w:val="20"/>
                <w:szCs w:val="24"/>
              </w:rPr>
            </w:pPr>
          </w:p>
        </w:tc>
        <w:tc>
          <w:tcPr>
            <w:tcW w:w="947" w:type="dxa"/>
            <w:tcBorders>
              <w:top w:val="nil"/>
              <w:left w:val="nil"/>
              <w:bottom w:val="single" w:sz="4" w:space="0" w:color="auto"/>
              <w:right w:val="nil"/>
            </w:tcBorders>
            <w:shd w:val="clear" w:color="auto" w:fill="auto"/>
            <w:noWrap/>
            <w:vAlign w:val="bottom"/>
            <w:hideMark/>
          </w:tcPr>
          <w:p w14:paraId="2382158F" w14:textId="77777777" w:rsidR="006D0778" w:rsidRPr="006D0778" w:rsidRDefault="006D0778" w:rsidP="006D0778">
            <w:pPr>
              <w:keepLines/>
              <w:spacing w:after="0"/>
              <w:jc w:val="right"/>
              <w:rPr>
                <w:rFonts w:eastAsia="Times New Roman" w:cs="Times New Roman"/>
                <w:color w:val="000000"/>
                <w:sz w:val="22"/>
              </w:rPr>
            </w:pPr>
            <w:r w:rsidRPr="006D0778">
              <w:rPr>
                <w:rFonts w:eastAsia="Times New Roman" w:cs="Times New Roman"/>
                <w:color w:val="000000"/>
                <w:sz w:val="22"/>
              </w:rPr>
              <w:t>2023</w:t>
            </w:r>
          </w:p>
        </w:tc>
        <w:tc>
          <w:tcPr>
            <w:tcW w:w="947" w:type="dxa"/>
            <w:tcBorders>
              <w:top w:val="nil"/>
              <w:left w:val="nil"/>
              <w:bottom w:val="single" w:sz="4" w:space="0" w:color="auto"/>
              <w:right w:val="nil"/>
            </w:tcBorders>
            <w:shd w:val="clear" w:color="auto" w:fill="auto"/>
            <w:noWrap/>
            <w:vAlign w:val="bottom"/>
            <w:hideMark/>
          </w:tcPr>
          <w:p w14:paraId="5081DF7F" w14:textId="77777777" w:rsidR="006D0778" w:rsidRPr="006D0778" w:rsidRDefault="006D0778" w:rsidP="006D0778">
            <w:pPr>
              <w:keepLines/>
              <w:spacing w:after="0"/>
              <w:jc w:val="right"/>
              <w:rPr>
                <w:rFonts w:eastAsia="Times New Roman" w:cs="Times New Roman"/>
                <w:color w:val="000000"/>
                <w:sz w:val="22"/>
              </w:rPr>
            </w:pPr>
            <w:r w:rsidRPr="006D0778">
              <w:rPr>
                <w:rFonts w:eastAsia="Times New Roman" w:cs="Times New Roman"/>
                <w:color w:val="000000"/>
                <w:sz w:val="22"/>
              </w:rPr>
              <w:t>2024</w:t>
            </w:r>
          </w:p>
        </w:tc>
        <w:tc>
          <w:tcPr>
            <w:tcW w:w="947" w:type="dxa"/>
            <w:tcBorders>
              <w:top w:val="nil"/>
              <w:left w:val="nil"/>
              <w:bottom w:val="single" w:sz="4" w:space="0" w:color="auto"/>
              <w:right w:val="nil"/>
            </w:tcBorders>
            <w:shd w:val="clear" w:color="auto" w:fill="auto"/>
            <w:noWrap/>
            <w:vAlign w:val="bottom"/>
            <w:hideMark/>
          </w:tcPr>
          <w:p w14:paraId="2167EF18" w14:textId="77777777" w:rsidR="006D0778" w:rsidRPr="006D0778" w:rsidRDefault="006D0778" w:rsidP="006D0778">
            <w:pPr>
              <w:keepLines/>
              <w:spacing w:after="0"/>
              <w:jc w:val="right"/>
              <w:rPr>
                <w:rFonts w:eastAsia="Times New Roman" w:cs="Times New Roman"/>
                <w:color w:val="000000"/>
                <w:sz w:val="22"/>
              </w:rPr>
            </w:pPr>
            <w:r w:rsidRPr="006D0778">
              <w:rPr>
                <w:rFonts w:eastAsia="Times New Roman" w:cs="Times New Roman"/>
                <w:color w:val="000000"/>
                <w:sz w:val="22"/>
              </w:rPr>
              <w:t>2025</w:t>
            </w:r>
          </w:p>
        </w:tc>
        <w:tc>
          <w:tcPr>
            <w:tcW w:w="947" w:type="dxa"/>
            <w:tcBorders>
              <w:top w:val="nil"/>
              <w:left w:val="nil"/>
              <w:bottom w:val="single" w:sz="4" w:space="0" w:color="auto"/>
              <w:right w:val="nil"/>
            </w:tcBorders>
            <w:shd w:val="clear" w:color="auto" w:fill="auto"/>
            <w:noWrap/>
            <w:vAlign w:val="bottom"/>
            <w:hideMark/>
          </w:tcPr>
          <w:p w14:paraId="2B4C2B09" w14:textId="77777777" w:rsidR="006D0778" w:rsidRPr="006D0778" w:rsidRDefault="006D0778" w:rsidP="006D0778">
            <w:pPr>
              <w:keepLines/>
              <w:spacing w:after="0"/>
              <w:jc w:val="right"/>
              <w:rPr>
                <w:rFonts w:eastAsia="Times New Roman" w:cs="Times New Roman"/>
                <w:color w:val="000000"/>
                <w:sz w:val="22"/>
              </w:rPr>
            </w:pPr>
            <w:r w:rsidRPr="006D0778">
              <w:rPr>
                <w:rFonts w:eastAsia="Times New Roman" w:cs="Times New Roman"/>
                <w:color w:val="000000"/>
                <w:sz w:val="22"/>
              </w:rPr>
              <w:t>2026</w:t>
            </w:r>
          </w:p>
        </w:tc>
        <w:tc>
          <w:tcPr>
            <w:tcW w:w="947" w:type="dxa"/>
            <w:tcBorders>
              <w:top w:val="nil"/>
              <w:left w:val="nil"/>
              <w:bottom w:val="single" w:sz="4" w:space="0" w:color="auto"/>
              <w:right w:val="nil"/>
            </w:tcBorders>
            <w:shd w:val="clear" w:color="auto" w:fill="auto"/>
            <w:noWrap/>
            <w:vAlign w:val="bottom"/>
            <w:hideMark/>
          </w:tcPr>
          <w:p w14:paraId="241BBE68" w14:textId="77777777" w:rsidR="006D0778" w:rsidRPr="006D0778" w:rsidRDefault="006D0778" w:rsidP="006D0778">
            <w:pPr>
              <w:keepLines/>
              <w:spacing w:after="0"/>
              <w:jc w:val="right"/>
              <w:rPr>
                <w:rFonts w:eastAsia="Times New Roman" w:cs="Times New Roman"/>
                <w:color w:val="000000"/>
                <w:sz w:val="22"/>
              </w:rPr>
            </w:pPr>
            <w:r w:rsidRPr="006D0778">
              <w:rPr>
                <w:rFonts w:eastAsia="Times New Roman" w:cs="Times New Roman"/>
                <w:color w:val="000000"/>
                <w:sz w:val="22"/>
              </w:rPr>
              <w:t>2027</w:t>
            </w:r>
          </w:p>
        </w:tc>
      </w:tr>
      <w:tr w:rsidR="006D0778" w:rsidRPr="006D0778" w14:paraId="7363DD18" w14:textId="77777777" w:rsidTr="00D2109C">
        <w:trPr>
          <w:trHeight w:val="285"/>
        </w:trPr>
        <w:tc>
          <w:tcPr>
            <w:tcW w:w="3177" w:type="dxa"/>
            <w:tcBorders>
              <w:top w:val="nil"/>
              <w:left w:val="nil"/>
              <w:bottom w:val="nil"/>
              <w:right w:val="nil"/>
            </w:tcBorders>
            <w:shd w:val="clear" w:color="auto" w:fill="auto"/>
            <w:noWrap/>
            <w:vAlign w:val="bottom"/>
            <w:hideMark/>
          </w:tcPr>
          <w:p w14:paraId="3E58679D" w14:textId="77777777" w:rsidR="006D0778" w:rsidRPr="006D0778" w:rsidRDefault="006D0778" w:rsidP="006D0778">
            <w:pPr>
              <w:keepLines/>
              <w:spacing w:after="0"/>
              <w:jc w:val="left"/>
              <w:rPr>
                <w:rFonts w:eastAsia="Times New Roman" w:cs="Times New Roman"/>
                <w:b/>
                <w:color w:val="000000"/>
                <w:sz w:val="22"/>
              </w:rPr>
            </w:pPr>
            <w:r w:rsidRPr="006D0778">
              <w:rPr>
                <w:rFonts w:eastAsia="Times New Roman" w:cs="Times New Roman"/>
                <w:b/>
                <w:color w:val="000000"/>
                <w:sz w:val="22"/>
                <w:lang w:val="sr-Cyrl-RS"/>
              </w:rPr>
              <w:t>Фискални резултат</w:t>
            </w:r>
            <w:r w:rsidRPr="006D0778">
              <w:rPr>
                <w:rFonts w:eastAsia="Times New Roman" w:cs="Times New Roman"/>
                <w:b/>
                <w:color w:val="000000"/>
                <w:sz w:val="22"/>
              </w:rPr>
              <w:t xml:space="preserve"> </w:t>
            </w:r>
          </w:p>
        </w:tc>
        <w:tc>
          <w:tcPr>
            <w:tcW w:w="947" w:type="dxa"/>
            <w:tcBorders>
              <w:top w:val="nil"/>
              <w:left w:val="nil"/>
              <w:bottom w:val="nil"/>
              <w:right w:val="nil"/>
            </w:tcBorders>
            <w:shd w:val="clear" w:color="auto" w:fill="auto"/>
            <w:noWrap/>
            <w:vAlign w:val="bottom"/>
            <w:hideMark/>
          </w:tcPr>
          <w:p w14:paraId="608BD0D1" w14:textId="77777777" w:rsidR="006D0778" w:rsidRPr="006D0778" w:rsidRDefault="006D0778" w:rsidP="006D0778">
            <w:pPr>
              <w:keepLines/>
              <w:spacing w:after="0"/>
              <w:jc w:val="left"/>
              <w:rPr>
                <w:rFonts w:eastAsia="Times New Roman" w:cs="Times New Roman"/>
                <w:color w:val="000000"/>
                <w:sz w:val="22"/>
              </w:rPr>
            </w:pPr>
          </w:p>
        </w:tc>
        <w:tc>
          <w:tcPr>
            <w:tcW w:w="947" w:type="dxa"/>
            <w:tcBorders>
              <w:top w:val="nil"/>
              <w:left w:val="nil"/>
              <w:bottom w:val="nil"/>
              <w:right w:val="nil"/>
            </w:tcBorders>
            <w:shd w:val="clear" w:color="auto" w:fill="auto"/>
            <w:noWrap/>
            <w:vAlign w:val="bottom"/>
            <w:hideMark/>
          </w:tcPr>
          <w:p w14:paraId="6ED6D982" w14:textId="77777777" w:rsidR="006D0778" w:rsidRPr="006D0778" w:rsidRDefault="006D0778" w:rsidP="006D0778">
            <w:pPr>
              <w:keepLines/>
              <w:spacing w:after="0"/>
              <w:jc w:val="left"/>
              <w:rPr>
                <w:rFonts w:eastAsia="Times New Roman" w:cs="Times New Roman"/>
                <w:sz w:val="20"/>
                <w:szCs w:val="20"/>
              </w:rPr>
            </w:pPr>
          </w:p>
        </w:tc>
        <w:tc>
          <w:tcPr>
            <w:tcW w:w="947" w:type="dxa"/>
            <w:tcBorders>
              <w:top w:val="nil"/>
              <w:left w:val="nil"/>
              <w:bottom w:val="nil"/>
              <w:right w:val="nil"/>
            </w:tcBorders>
            <w:shd w:val="clear" w:color="auto" w:fill="auto"/>
            <w:noWrap/>
            <w:vAlign w:val="bottom"/>
            <w:hideMark/>
          </w:tcPr>
          <w:p w14:paraId="43634C88" w14:textId="77777777" w:rsidR="006D0778" w:rsidRPr="006D0778" w:rsidRDefault="006D0778" w:rsidP="006D0778">
            <w:pPr>
              <w:keepLines/>
              <w:spacing w:after="0"/>
              <w:jc w:val="left"/>
              <w:rPr>
                <w:rFonts w:eastAsia="Times New Roman" w:cs="Times New Roman"/>
                <w:sz w:val="20"/>
                <w:szCs w:val="20"/>
              </w:rPr>
            </w:pPr>
          </w:p>
        </w:tc>
        <w:tc>
          <w:tcPr>
            <w:tcW w:w="947" w:type="dxa"/>
            <w:tcBorders>
              <w:top w:val="nil"/>
              <w:left w:val="nil"/>
              <w:bottom w:val="nil"/>
              <w:right w:val="nil"/>
            </w:tcBorders>
            <w:shd w:val="clear" w:color="auto" w:fill="auto"/>
            <w:noWrap/>
            <w:vAlign w:val="bottom"/>
            <w:hideMark/>
          </w:tcPr>
          <w:p w14:paraId="537BE46F" w14:textId="77777777" w:rsidR="006D0778" w:rsidRPr="006D0778" w:rsidRDefault="006D0778" w:rsidP="006D0778">
            <w:pPr>
              <w:keepLines/>
              <w:spacing w:after="0"/>
              <w:jc w:val="left"/>
              <w:rPr>
                <w:rFonts w:eastAsia="Times New Roman" w:cs="Times New Roman"/>
                <w:sz w:val="20"/>
                <w:szCs w:val="20"/>
              </w:rPr>
            </w:pPr>
          </w:p>
        </w:tc>
        <w:tc>
          <w:tcPr>
            <w:tcW w:w="947" w:type="dxa"/>
            <w:tcBorders>
              <w:top w:val="nil"/>
              <w:left w:val="nil"/>
              <w:bottom w:val="nil"/>
              <w:right w:val="nil"/>
            </w:tcBorders>
            <w:shd w:val="clear" w:color="auto" w:fill="auto"/>
            <w:noWrap/>
            <w:vAlign w:val="bottom"/>
            <w:hideMark/>
          </w:tcPr>
          <w:p w14:paraId="52F746CC" w14:textId="77777777" w:rsidR="006D0778" w:rsidRPr="006D0778" w:rsidRDefault="006D0778" w:rsidP="006D0778">
            <w:pPr>
              <w:keepLines/>
              <w:spacing w:after="0"/>
              <w:jc w:val="left"/>
              <w:rPr>
                <w:rFonts w:eastAsia="Times New Roman" w:cs="Times New Roman"/>
                <w:sz w:val="20"/>
                <w:szCs w:val="20"/>
              </w:rPr>
            </w:pPr>
          </w:p>
        </w:tc>
      </w:tr>
      <w:tr w:rsidR="006D0778" w:rsidRPr="006D0778" w14:paraId="56756A1C" w14:textId="77777777" w:rsidTr="00D2109C">
        <w:trPr>
          <w:trHeight w:val="285"/>
        </w:trPr>
        <w:tc>
          <w:tcPr>
            <w:tcW w:w="3177" w:type="dxa"/>
            <w:tcBorders>
              <w:top w:val="nil"/>
              <w:left w:val="nil"/>
              <w:bottom w:val="nil"/>
              <w:right w:val="nil"/>
            </w:tcBorders>
            <w:shd w:val="clear" w:color="auto" w:fill="auto"/>
            <w:noWrap/>
            <w:vAlign w:val="bottom"/>
            <w:hideMark/>
          </w:tcPr>
          <w:p w14:paraId="5925CB84" w14:textId="77777777" w:rsidR="006D0778" w:rsidRPr="006D0778" w:rsidRDefault="006D0778" w:rsidP="006D0778">
            <w:pPr>
              <w:keepLines/>
              <w:spacing w:after="0"/>
              <w:jc w:val="left"/>
              <w:rPr>
                <w:rFonts w:eastAsia="Times New Roman" w:cs="Times New Roman"/>
                <w:color w:val="000000"/>
                <w:sz w:val="22"/>
              </w:rPr>
            </w:pPr>
            <w:r w:rsidRPr="006D0778">
              <w:rPr>
                <w:rFonts w:eastAsia="Times New Roman" w:cs="Times New Roman"/>
                <w:color w:val="000000"/>
                <w:sz w:val="22"/>
              </w:rPr>
              <w:t>претходни програм</w:t>
            </w:r>
            <w:r w:rsidRPr="006D0778">
              <w:rPr>
                <w:rFonts w:eastAsia="Times New Roman" w:cs="Times New Roman"/>
                <w:color w:val="000000"/>
                <w:sz w:val="22"/>
                <w:vertAlign w:val="superscript"/>
              </w:rPr>
              <w:footnoteReference w:id="10"/>
            </w:r>
          </w:p>
        </w:tc>
        <w:tc>
          <w:tcPr>
            <w:tcW w:w="947" w:type="dxa"/>
            <w:tcBorders>
              <w:top w:val="nil"/>
              <w:left w:val="nil"/>
              <w:bottom w:val="nil"/>
              <w:right w:val="nil"/>
            </w:tcBorders>
            <w:shd w:val="clear" w:color="auto" w:fill="auto"/>
            <w:noWrap/>
            <w:vAlign w:val="bottom"/>
            <w:hideMark/>
          </w:tcPr>
          <w:p w14:paraId="19FD7314" w14:textId="77777777" w:rsidR="006D0778" w:rsidRPr="006D0778" w:rsidRDefault="006D0778" w:rsidP="006D0778">
            <w:pPr>
              <w:keepLines/>
              <w:spacing w:after="0"/>
              <w:jc w:val="right"/>
              <w:rPr>
                <w:rFonts w:eastAsia="Times New Roman" w:cs="Times New Roman"/>
                <w:color w:val="000000"/>
                <w:sz w:val="22"/>
              </w:rPr>
            </w:pPr>
            <w:r w:rsidRPr="006D0778">
              <w:rPr>
                <w:rFonts w:eastAsia="Times New Roman" w:cs="Times New Roman"/>
                <w:color w:val="000000"/>
                <w:sz w:val="22"/>
              </w:rPr>
              <w:t>-2,8</w:t>
            </w:r>
          </w:p>
        </w:tc>
        <w:tc>
          <w:tcPr>
            <w:tcW w:w="947" w:type="dxa"/>
            <w:tcBorders>
              <w:top w:val="nil"/>
              <w:left w:val="nil"/>
              <w:bottom w:val="nil"/>
              <w:right w:val="nil"/>
            </w:tcBorders>
            <w:shd w:val="clear" w:color="auto" w:fill="auto"/>
            <w:noWrap/>
            <w:vAlign w:val="bottom"/>
            <w:hideMark/>
          </w:tcPr>
          <w:p w14:paraId="2B347DDD" w14:textId="77777777" w:rsidR="006D0778" w:rsidRPr="006D0778" w:rsidRDefault="006D0778" w:rsidP="006D0778">
            <w:pPr>
              <w:keepLines/>
              <w:spacing w:after="0"/>
              <w:jc w:val="right"/>
              <w:rPr>
                <w:rFonts w:eastAsia="Times New Roman" w:cs="Times New Roman"/>
                <w:color w:val="000000"/>
                <w:sz w:val="22"/>
              </w:rPr>
            </w:pPr>
            <w:r w:rsidRPr="006D0778">
              <w:rPr>
                <w:rFonts w:eastAsia="Times New Roman" w:cs="Times New Roman"/>
                <w:color w:val="000000"/>
                <w:sz w:val="22"/>
              </w:rPr>
              <w:t>-2,2</w:t>
            </w:r>
          </w:p>
        </w:tc>
        <w:tc>
          <w:tcPr>
            <w:tcW w:w="947" w:type="dxa"/>
            <w:tcBorders>
              <w:top w:val="nil"/>
              <w:left w:val="nil"/>
              <w:bottom w:val="nil"/>
              <w:right w:val="nil"/>
            </w:tcBorders>
            <w:shd w:val="clear" w:color="auto" w:fill="auto"/>
            <w:noWrap/>
            <w:vAlign w:val="bottom"/>
            <w:hideMark/>
          </w:tcPr>
          <w:p w14:paraId="17CD5896" w14:textId="77777777" w:rsidR="006D0778" w:rsidRPr="006D0778" w:rsidRDefault="006D0778" w:rsidP="006D0778">
            <w:pPr>
              <w:keepLines/>
              <w:spacing w:after="0"/>
              <w:jc w:val="right"/>
              <w:rPr>
                <w:rFonts w:eastAsia="Times New Roman" w:cs="Times New Roman"/>
                <w:color w:val="000000"/>
                <w:sz w:val="22"/>
              </w:rPr>
            </w:pPr>
            <w:r w:rsidRPr="006D0778">
              <w:rPr>
                <w:rFonts w:eastAsia="Times New Roman" w:cs="Times New Roman"/>
                <w:color w:val="000000"/>
                <w:sz w:val="22"/>
              </w:rPr>
              <w:t>-1,5</w:t>
            </w:r>
          </w:p>
        </w:tc>
        <w:tc>
          <w:tcPr>
            <w:tcW w:w="947" w:type="dxa"/>
            <w:tcBorders>
              <w:top w:val="nil"/>
              <w:left w:val="nil"/>
              <w:bottom w:val="nil"/>
              <w:right w:val="nil"/>
            </w:tcBorders>
            <w:shd w:val="clear" w:color="auto" w:fill="auto"/>
            <w:noWrap/>
            <w:vAlign w:val="bottom"/>
            <w:hideMark/>
          </w:tcPr>
          <w:p w14:paraId="3BCC290A" w14:textId="77777777" w:rsidR="006D0778" w:rsidRPr="006D0778" w:rsidRDefault="006D0778" w:rsidP="006D0778">
            <w:pPr>
              <w:keepLines/>
              <w:spacing w:after="0"/>
              <w:jc w:val="right"/>
              <w:rPr>
                <w:rFonts w:eastAsia="Times New Roman" w:cs="Times New Roman"/>
                <w:color w:val="000000"/>
                <w:sz w:val="22"/>
              </w:rPr>
            </w:pPr>
            <w:r w:rsidRPr="006D0778">
              <w:rPr>
                <w:rFonts w:eastAsia="Times New Roman" w:cs="Times New Roman"/>
                <w:color w:val="000000"/>
                <w:sz w:val="22"/>
              </w:rPr>
              <w:t>-1,5</w:t>
            </w:r>
          </w:p>
        </w:tc>
        <w:tc>
          <w:tcPr>
            <w:tcW w:w="947" w:type="dxa"/>
            <w:tcBorders>
              <w:top w:val="nil"/>
              <w:left w:val="nil"/>
              <w:bottom w:val="nil"/>
              <w:right w:val="nil"/>
            </w:tcBorders>
            <w:shd w:val="clear" w:color="auto" w:fill="auto"/>
            <w:noWrap/>
            <w:vAlign w:val="bottom"/>
            <w:hideMark/>
          </w:tcPr>
          <w:p w14:paraId="224F4777" w14:textId="77777777" w:rsidR="006D0778" w:rsidRPr="006D0778" w:rsidRDefault="006D0778" w:rsidP="006D0778">
            <w:pPr>
              <w:keepLines/>
              <w:spacing w:after="0"/>
              <w:jc w:val="right"/>
              <w:rPr>
                <w:rFonts w:eastAsia="Times New Roman" w:cs="Times New Roman"/>
                <w:color w:val="000000"/>
                <w:sz w:val="22"/>
                <w:lang w:val="sr-Cyrl-RS"/>
              </w:rPr>
            </w:pPr>
            <w:r w:rsidRPr="006D0778">
              <w:rPr>
                <w:rFonts w:eastAsia="Times New Roman" w:cs="Times New Roman"/>
                <w:color w:val="000000"/>
                <w:sz w:val="22"/>
                <w:lang w:val="sr-Cyrl-RS"/>
              </w:rPr>
              <w:t>-</w:t>
            </w:r>
          </w:p>
        </w:tc>
      </w:tr>
      <w:tr w:rsidR="006D0778" w:rsidRPr="006D0778" w14:paraId="2936BE35" w14:textId="77777777" w:rsidTr="00D2109C">
        <w:trPr>
          <w:trHeight w:val="285"/>
        </w:trPr>
        <w:tc>
          <w:tcPr>
            <w:tcW w:w="3177" w:type="dxa"/>
            <w:tcBorders>
              <w:top w:val="nil"/>
              <w:left w:val="nil"/>
              <w:right w:val="nil"/>
            </w:tcBorders>
            <w:shd w:val="clear" w:color="auto" w:fill="auto"/>
            <w:noWrap/>
            <w:vAlign w:val="bottom"/>
            <w:hideMark/>
          </w:tcPr>
          <w:p w14:paraId="717491C1" w14:textId="77777777" w:rsidR="006D0778" w:rsidRPr="006D0778" w:rsidRDefault="006D0778" w:rsidP="006D0778">
            <w:pPr>
              <w:keepLines/>
              <w:spacing w:after="0"/>
              <w:jc w:val="left"/>
              <w:rPr>
                <w:rFonts w:eastAsia="Times New Roman" w:cs="Times New Roman"/>
                <w:color w:val="000000"/>
                <w:sz w:val="22"/>
              </w:rPr>
            </w:pPr>
            <w:r w:rsidRPr="006D0778">
              <w:rPr>
                <w:rFonts w:eastAsia="Times New Roman" w:cs="Times New Roman"/>
                <w:color w:val="000000"/>
                <w:sz w:val="22"/>
              </w:rPr>
              <w:t>актуелни програм</w:t>
            </w:r>
          </w:p>
        </w:tc>
        <w:tc>
          <w:tcPr>
            <w:tcW w:w="947" w:type="dxa"/>
            <w:tcBorders>
              <w:top w:val="nil"/>
              <w:left w:val="nil"/>
              <w:right w:val="nil"/>
            </w:tcBorders>
            <w:shd w:val="clear" w:color="auto" w:fill="auto"/>
            <w:noWrap/>
            <w:vAlign w:val="bottom"/>
            <w:hideMark/>
          </w:tcPr>
          <w:p w14:paraId="2008944C" w14:textId="77777777" w:rsidR="006D0778" w:rsidRPr="006D0778" w:rsidRDefault="006D0778" w:rsidP="006D0778">
            <w:pPr>
              <w:keepLines/>
              <w:spacing w:after="0"/>
              <w:jc w:val="right"/>
              <w:rPr>
                <w:rFonts w:eastAsia="Times New Roman" w:cs="Times New Roman"/>
                <w:color w:val="000000"/>
                <w:sz w:val="22"/>
              </w:rPr>
            </w:pPr>
            <w:r w:rsidRPr="006D0778">
              <w:rPr>
                <w:rFonts w:eastAsia="Times New Roman" w:cs="Times New Roman"/>
                <w:color w:val="000000"/>
                <w:sz w:val="22"/>
              </w:rPr>
              <w:t>-2,1</w:t>
            </w:r>
          </w:p>
        </w:tc>
        <w:tc>
          <w:tcPr>
            <w:tcW w:w="947" w:type="dxa"/>
            <w:tcBorders>
              <w:top w:val="nil"/>
              <w:left w:val="nil"/>
              <w:right w:val="nil"/>
            </w:tcBorders>
            <w:shd w:val="clear" w:color="auto" w:fill="auto"/>
            <w:noWrap/>
            <w:vAlign w:val="bottom"/>
            <w:hideMark/>
          </w:tcPr>
          <w:p w14:paraId="042DF2C4" w14:textId="77777777" w:rsidR="006D0778" w:rsidRPr="006D0778" w:rsidRDefault="006D0778" w:rsidP="006D0778">
            <w:pPr>
              <w:keepLines/>
              <w:spacing w:after="0"/>
              <w:jc w:val="right"/>
              <w:rPr>
                <w:rFonts w:eastAsia="Times New Roman" w:cs="Times New Roman"/>
                <w:color w:val="000000"/>
                <w:sz w:val="22"/>
              </w:rPr>
            </w:pPr>
            <w:r w:rsidRPr="006D0778">
              <w:rPr>
                <w:rFonts w:eastAsia="Times New Roman" w:cs="Times New Roman"/>
                <w:color w:val="000000"/>
                <w:sz w:val="22"/>
              </w:rPr>
              <w:t>-2,7</w:t>
            </w:r>
          </w:p>
        </w:tc>
        <w:tc>
          <w:tcPr>
            <w:tcW w:w="947" w:type="dxa"/>
            <w:tcBorders>
              <w:top w:val="nil"/>
              <w:left w:val="nil"/>
              <w:right w:val="nil"/>
            </w:tcBorders>
            <w:shd w:val="clear" w:color="auto" w:fill="auto"/>
            <w:noWrap/>
            <w:vAlign w:val="bottom"/>
            <w:hideMark/>
          </w:tcPr>
          <w:p w14:paraId="71C703CB" w14:textId="77777777" w:rsidR="006D0778" w:rsidRPr="006D0778" w:rsidRDefault="006D0778" w:rsidP="006D0778">
            <w:pPr>
              <w:keepLines/>
              <w:spacing w:after="0"/>
              <w:jc w:val="right"/>
              <w:rPr>
                <w:rFonts w:eastAsia="Times New Roman" w:cs="Times New Roman"/>
                <w:color w:val="000000"/>
                <w:sz w:val="22"/>
              </w:rPr>
            </w:pPr>
            <w:r w:rsidRPr="006D0778">
              <w:rPr>
                <w:rFonts w:eastAsia="Times New Roman" w:cs="Times New Roman"/>
                <w:color w:val="000000"/>
                <w:sz w:val="22"/>
              </w:rPr>
              <w:t>-3,0</w:t>
            </w:r>
          </w:p>
        </w:tc>
        <w:tc>
          <w:tcPr>
            <w:tcW w:w="947" w:type="dxa"/>
            <w:tcBorders>
              <w:top w:val="nil"/>
              <w:left w:val="nil"/>
              <w:right w:val="nil"/>
            </w:tcBorders>
            <w:shd w:val="clear" w:color="auto" w:fill="auto"/>
            <w:noWrap/>
            <w:vAlign w:val="bottom"/>
            <w:hideMark/>
          </w:tcPr>
          <w:p w14:paraId="7AE98498" w14:textId="77777777" w:rsidR="006D0778" w:rsidRPr="006D0778" w:rsidRDefault="006D0778" w:rsidP="006D0778">
            <w:pPr>
              <w:keepLines/>
              <w:spacing w:after="0"/>
              <w:jc w:val="right"/>
              <w:rPr>
                <w:rFonts w:eastAsia="Times New Roman" w:cs="Times New Roman"/>
                <w:color w:val="000000"/>
                <w:sz w:val="22"/>
              </w:rPr>
            </w:pPr>
            <w:r w:rsidRPr="006D0778">
              <w:rPr>
                <w:rFonts w:eastAsia="Times New Roman" w:cs="Times New Roman"/>
                <w:color w:val="000000"/>
                <w:sz w:val="22"/>
              </w:rPr>
              <w:t>-3,0</w:t>
            </w:r>
          </w:p>
        </w:tc>
        <w:tc>
          <w:tcPr>
            <w:tcW w:w="947" w:type="dxa"/>
            <w:tcBorders>
              <w:top w:val="nil"/>
              <w:left w:val="nil"/>
              <w:right w:val="nil"/>
            </w:tcBorders>
            <w:shd w:val="clear" w:color="auto" w:fill="auto"/>
            <w:noWrap/>
            <w:vAlign w:val="bottom"/>
            <w:hideMark/>
          </w:tcPr>
          <w:p w14:paraId="6B90B32D" w14:textId="77777777" w:rsidR="006D0778" w:rsidRPr="006D0778" w:rsidRDefault="006D0778" w:rsidP="006D0778">
            <w:pPr>
              <w:keepLines/>
              <w:spacing w:after="0"/>
              <w:jc w:val="right"/>
              <w:rPr>
                <w:rFonts w:eastAsia="Times New Roman" w:cs="Times New Roman"/>
                <w:color w:val="000000"/>
                <w:sz w:val="22"/>
              </w:rPr>
            </w:pPr>
            <w:r w:rsidRPr="006D0778">
              <w:rPr>
                <w:rFonts w:eastAsia="Times New Roman" w:cs="Times New Roman"/>
                <w:color w:val="000000"/>
                <w:sz w:val="22"/>
              </w:rPr>
              <w:t>-3,0</w:t>
            </w:r>
          </w:p>
        </w:tc>
      </w:tr>
      <w:tr w:rsidR="006D0778" w:rsidRPr="006D0778" w14:paraId="3CFC5289" w14:textId="77777777" w:rsidTr="00D2109C">
        <w:trPr>
          <w:trHeight w:val="285"/>
        </w:trPr>
        <w:tc>
          <w:tcPr>
            <w:tcW w:w="3177" w:type="dxa"/>
            <w:tcBorders>
              <w:top w:val="nil"/>
              <w:left w:val="nil"/>
              <w:bottom w:val="single" w:sz="4" w:space="0" w:color="auto"/>
              <w:right w:val="nil"/>
            </w:tcBorders>
            <w:shd w:val="clear" w:color="auto" w:fill="auto"/>
            <w:noWrap/>
            <w:vAlign w:val="bottom"/>
            <w:hideMark/>
          </w:tcPr>
          <w:p w14:paraId="342BD0A5" w14:textId="77777777" w:rsidR="006D0778" w:rsidRPr="006D0778" w:rsidRDefault="006D0778" w:rsidP="006D0778">
            <w:pPr>
              <w:keepLines/>
              <w:spacing w:after="0"/>
              <w:jc w:val="left"/>
              <w:rPr>
                <w:rFonts w:eastAsia="Times New Roman" w:cs="Times New Roman"/>
                <w:color w:val="000000"/>
                <w:sz w:val="22"/>
              </w:rPr>
            </w:pPr>
            <w:r w:rsidRPr="006D0778">
              <w:rPr>
                <w:rFonts w:eastAsia="Times New Roman" w:cs="Times New Roman"/>
                <w:color w:val="000000"/>
                <w:sz w:val="22"/>
              </w:rPr>
              <w:t>разлика</w:t>
            </w:r>
          </w:p>
        </w:tc>
        <w:tc>
          <w:tcPr>
            <w:tcW w:w="947" w:type="dxa"/>
            <w:tcBorders>
              <w:top w:val="nil"/>
              <w:left w:val="nil"/>
              <w:bottom w:val="single" w:sz="4" w:space="0" w:color="auto"/>
              <w:right w:val="nil"/>
            </w:tcBorders>
            <w:shd w:val="clear" w:color="auto" w:fill="auto"/>
            <w:noWrap/>
            <w:vAlign w:val="bottom"/>
            <w:hideMark/>
          </w:tcPr>
          <w:p w14:paraId="0FF0182B" w14:textId="77777777" w:rsidR="006D0778" w:rsidRPr="006D0778" w:rsidRDefault="006D0778" w:rsidP="006D0778">
            <w:pPr>
              <w:keepLines/>
              <w:spacing w:after="0"/>
              <w:jc w:val="right"/>
              <w:rPr>
                <w:rFonts w:eastAsia="Times New Roman" w:cs="Times New Roman"/>
                <w:color w:val="000000"/>
                <w:sz w:val="22"/>
              </w:rPr>
            </w:pPr>
            <w:r w:rsidRPr="006D0778">
              <w:rPr>
                <w:rFonts w:eastAsia="Times New Roman" w:cs="Times New Roman"/>
                <w:color w:val="000000"/>
                <w:sz w:val="22"/>
              </w:rPr>
              <w:t>0,7</w:t>
            </w:r>
          </w:p>
        </w:tc>
        <w:tc>
          <w:tcPr>
            <w:tcW w:w="947" w:type="dxa"/>
            <w:tcBorders>
              <w:top w:val="nil"/>
              <w:left w:val="nil"/>
              <w:bottom w:val="single" w:sz="4" w:space="0" w:color="auto"/>
              <w:right w:val="nil"/>
            </w:tcBorders>
            <w:shd w:val="clear" w:color="auto" w:fill="auto"/>
            <w:noWrap/>
            <w:vAlign w:val="bottom"/>
            <w:hideMark/>
          </w:tcPr>
          <w:p w14:paraId="08DBF561" w14:textId="77777777" w:rsidR="006D0778" w:rsidRPr="006D0778" w:rsidRDefault="006D0778" w:rsidP="006D0778">
            <w:pPr>
              <w:keepLines/>
              <w:spacing w:after="0"/>
              <w:jc w:val="right"/>
              <w:rPr>
                <w:rFonts w:eastAsia="Times New Roman" w:cs="Times New Roman"/>
                <w:color w:val="000000"/>
                <w:sz w:val="22"/>
              </w:rPr>
            </w:pPr>
            <w:r w:rsidRPr="006D0778">
              <w:rPr>
                <w:rFonts w:eastAsia="Times New Roman" w:cs="Times New Roman"/>
                <w:color w:val="000000"/>
                <w:sz w:val="22"/>
              </w:rPr>
              <w:t>-0,5</w:t>
            </w:r>
          </w:p>
        </w:tc>
        <w:tc>
          <w:tcPr>
            <w:tcW w:w="947" w:type="dxa"/>
            <w:tcBorders>
              <w:top w:val="nil"/>
              <w:left w:val="nil"/>
              <w:bottom w:val="single" w:sz="4" w:space="0" w:color="auto"/>
              <w:right w:val="nil"/>
            </w:tcBorders>
            <w:shd w:val="clear" w:color="auto" w:fill="auto"/>
            <w:noWrap/>
            <w:vAlign w:val="bottom"/>
            <w:hideMark/>
          </w:tcPr>
          <w:p w14:paraId="79612FD9" w14:textId="77777777" w:rsidR="006D0778" w:rsidRPr="006D0778" w:rsidRDefault="006D0778" w:rsidP="006D0778">
            <w:pPr>
              <w:keepLines/>
              <w:spacing w:after="0"/>
              <w:jc w:val="right"/>
              <w:rPr>
                <w:rFonts w:eastAsia="Times New Roman" w:cs="Times New Roman"/>
                <w:color w:val="000000"/>
                <w:sz w:val="22"/>
              </w:rPr>
            </w:pPr>
            <w:r w:rsidRPr="006D0778">
              <w:rPr>
                <w:rFonts w:eastAsia="Times New Roman" w:cs="Times New Roman"/>
                <w:color w:val="000000"/>
                <w:sz w:val="22"/>
              </w:rPr>
              <w:t>-1,5</w:t>
            </w:r>
          </w:p>
        </w:tc>
        <w:tc>
          <w:tcPr>
            <w:tcW w:w="947" w:type="dxa"/>
            <w:tcBorders>
              <w:top w:val="nil"/>
              <w:left w:val="nil"/>
              <w:bottom w:val="single" w:sz="4" w:space="0" w:color="auto"/>
              <w:right w:val="nil"/>
            </w:tcBorders>
            <w:shd w:val="clear" w:color="auto" w:fill="auto"/>
            <w:noWrap/>
            <w:vAlign w:val="bottom"/>
            <w:hideMark/>
          </w:tcPr>
          <w:p w14:paraId="20759F14" w14:textId="77777777" w:rsidR="006D0778" w:rsidRPr="006D0778" w:rsidRDefault="006D0778" w:rsidP="006D0778">
            <w:pPr>
              <w:keepLines/>
              <w:spacing w:after="0"/>
              <w:jc w:val="right"/>
              <w:rPr>
                <w:rFonts w:eastAsia="Times New Roman" w:cs="Times New Roman"/>
                <w:color w:val="000000"/>
                <w:sz w:val="22"/>
              </w:rPr>
            </w:pPr>
            <w:r w:rsidRPr="006D0778">
              <w:rPr>
                <w:rFonts w:eastAsia="Times New Roman" w:cs="Times New Roman"/>
                <w:color w:val="000000"/>
                <w:sz w:val="22"/>
              </w:rPr>
              <w:t>-1,5</w:t>
            </w:r>
          </w:p>
        </w:tc>
        <w:tc>
          <w:tcPr>
            <w:tcW w:w="947" w:type="dxa"/>
            <w:tcBorders>
              <w:top w:val="nil"/>
              <w:left w:val="nil"/>
              <w:bottom w:val="single" w:sz="4" w:space="0" w:color="auto"/>
              <w:right w:val="nil"/>
            </w:tcBorders>
            <w:shd w:val="clear" w:color="auto" w:fill="auto"/>
            <w:noWrap/>
            <w:vAlign w:val="bottom"/>
            <w:hideMark/>
          </w:tcPr>
          <w:p w14:paraId="5B6496DC" w14:textId="77777777" w:rsidR="006D0778" w:rsidRPr="006D0778" w:rsidRDefault="006D0778" w:rsidP="006D0778">
            <w:pPr>
              <w:keepLines/>
              <w:spacing w:after="0"/>
              <w:jc w:val="right"/>
              <w:rPr>
                <w:rFonts w:eastAsia="Times New Roman" w:cs="Times New Roman"/>
                <w:color w:val="000000"/>
                <w:sz w:val="22"/>
                <w:lang w:val="sr-Cyrl-RS"/>
              </w:rPr>
            </w:pPr>
            <w:r w:rsidRPr="006D0778">
              <w:rPr>
                <w:rFonts w:eastAsia="Times New Roman" w:cs="Times New Roman"/>
                <w:color w:val="000000"/>
                <w:sz w:val="22"/>
                <w:lang w:val="sr-Cyrl-RS"/>
              </w:rPr>
              <w:t>-</w:t>
            </w:r>
          </w:p>
        </w:tc>
      </w:tr>
      <w:tr w:rsidR="006D0778" w:rsidRPr="006D0778" w14:paraId="2EBCF1BD" w14:textId="77777777" w:rsidTr="00D2109C">
        <w:trPr>
          <w:trHeight w:val="285"/>
        </w:trPr>
        <w:tc>
          <w:tcPr>
            <w:tcW w:w="3177" w:type="dxa"/>
            <w:tcBorders>
              <w:top w:val="single" w:sz="4" w:space="0" w:color="auto"/>
              <w:left w:val="nil"/>
              <w:bottom w:val="nil"/>
              <w:right w:val="nil"/>
            </w:tcBorders>
            <w:shd w:val="clear" w:color="auto" w:fill="auto"/>
            <w:noWrap/>
            <w:vAlign w:val="bottom"/>
            <w:hideMark/>
          </w:tcPr>
          <w:p w14:paraId="36F718BA" w14:textId="77777777" w:rsidR="006D0778" w:rsidRPr="006D0778" w:rsidRDefault="006D0778" w:rsidP="006D0778">
            <w:pPr>
              <w:keepLines/>
              <w:spacing w:after="0"/>
              <w:jc w:val="left"/>
              <w:rPr>
                <w:rFonts w:eastAsia="Times New Roman" w:cs="Times New Roman"/>
                <w:b/>
                <w:color w:val="000000"/>
                <w:sz w:val="22"/>
              </w:rPr>
            </w:pPr>
            <w:r w:rsidRPr="006D0778">
              <w:rPr>
                <w:rFonts w:eastAsia="Times New Roman" w:cs="Times New Roman"/>
                <w:b/>
                <w:color w:val="000000"/>
                <w:sz w:val="22"/>
              </w:rPr>
              <w:t xml:space="preserve">Дуг сектора државе </w:t>
            </w:r>
          </w:p>
        </w:tc>
        <w:tc>
          <w:tcPr>
            <w:tcW w:w="947" w:type="dxa"/>
            <w:tcBorders>
              <w:top w:val="single" w:sz="4" w:space="0" w:color="auto"/>
              <w:left w:val="nil"/>
              <w:bottom w:val="nil"/>
              <w:right w:val="nil"/>
            </w:tcBorders>
            <w:shd w:val="clear" w:color="auto" w:fill="auto"/>
            <w:noWrap/>
            <w:vAlign w:val="bottom"/>
            <w:hideMark/>
          </w:tcPr>
          <w:p w14:paraId="407C71EF" w14:textId="77777777" w:rsidR="006D0778" w:rsidRPr="006D0778" w:rsidRDefault="006D0778" w:rsidP="006D0778">
            <w:pPr>
              <w:keepLines/>
              <w:spacing w:after="0"/>
              <w:jc w:val="left"/>
              <w:rPr>
                <w:rFonts w:eastAsia="Times New Roman" w:cs="Times New Roman"/>
                <w:color w:val="000000"/>
                <w:sz w:val="22"/>
              </w:rPr>
            </w:pPr>
          </w:p>
        </w:tc>
        <w:tc>
          <w:tcPr>
            <w:tcW w:w="947" w:type="dxa"/>
            <w:tcBorders>
              <w:top w:val="single" w:sz="4" w:space="0" w:color="auto"/>
              <w:left w:val="nil"/>
              <w:bottom w:val="nil"/>
              <w:right w:val="nil"/>
            </w:tcBorders>
            <w:shd w:val="clear" w:color="auto" w:fill="auto"/>
            <w:noWrap/>
            <w:vAlign w:val="bottom"/>
            <w:hideMark/>
          </w:tcPr>
          <w:p w14:paraId="012BB9EA" w14:textId="77777777" w:rsidR="006D0778" w:rsidRPr="006D0778" w:rsidRDefault="006D0778" w:rsidP="006D0778">
            <w:pPr>
              <w:keepLines/>
              <w:spacing w:after="0"/>
              <w:jc w:val="left"/>
              <w:rPr>
                <w:rFonts w:eastAsia="Times New Roman" w:cs="Times New Roman"/>
                <w:sz w:val="20"/>
                <w:szCs w:val="20"/>
              </w:rPr>
            </w:pPr>
          </w:p>
        </w:tc>
        <w:tc>
          <w:tcPr>
            <w:tcW w:w="947" w:type="dxa"/>
            <w:tcBorders>
              <w:top w:val="single" w:sz="4" w:space="0" w:color="auto"/>
              <w:left w:val="nil"/>
              <w:bottom w:val="nil"/>
              <w:right w:val="nil"/>
            </w:tcBorders>
            <w:shd w:val="clear" w:color="auto" w:fill="auto"/>
            <w:noWrap/>
            <w:vAlign w:val="bottom"/>
            <w:hideMark/>
          </w:tcPr>
          <w:p w14:paraId="0588028E" w14:textId="77777777" w:rsidR="006D0778" w:rsidRPr="006D0778" w:rsidRDefault="006D0778" w:rsidP="006D0778">
            <w:pPr>
              <w:keepLines/>
              <w:spacing w:after="0"/>
              <w:jc w:val="left"/>
              <w:rPr>
                <w:rFonts w:eastAsia="Times New Roman" w:cs="Times New Roman"/>
                <w:sz w:val="20"/>
                <w:szCs w:val="20"/>
              </w:rPr>
            </w:pPr>
          </w:p>
        </w:tc>
        <w:tc>
          <w:tcPr>
            <w:tcW w:w="947" w:type="dxa"/>
            <w:tcBorders>
              <w:top w:val="single" w:sz="4" w:space="0" w:color="auto"/>
              <w:left w:val="nil"/>
              <w:bottom w:val="nil"/>
              <w:right w:val="nil"/>
            </w:tcBorders>
            <w:shd w:val="clear" w:color="auto" w:fill="auto"/>
            <w:noWrap/>
            <w:vAlign w:val="bottom"/>
            <w:hideMark/>
          </w:tcPr>
          <w:p w14:paraId="4DD6AC12" w14:textId="77777777" w:rsidR="006D0778" w:rsidRPr="006D0778" w:rsidRDefault="006D0778" w:rsidP="006D0778">
            <w:pPr>
              <w:keepLines/>
              <w:spacing w:after="0"/>
              <w:jc w:val="left"/>
              <w:rPr>
                <w:rFonts w:eastAsia="Times New Roman" w:cs="Times New Roman"/>
                <w:sz w:val="20"/>
                <w:szCs w:val="20"/>
              </w:rPr>
            </w:pPr>
          </w:p>
        </w:tc>
        <w:tc>
          <w:tcPr>
            <w:tcW w:w="947" w:type="dxa"/>
            <w:tcBorders>
              <w:top w:val="single" w:sz="4" w:space="0" w:color="auto"/>
              <w:left w:val="nil"/>
              <w:bottom w:val="nil"/>
              <w:right w:val="nil"/>
            </w:tcBorders>
            <w:shd w:val="clear" w:color="auto" w:fill="auto"/>
            <w:noWrap/>
            <w:vAlign w:val="bottom"/>
            <w:hideMark/>
          </w:tcPr>
          <w:p w14:paraId="3F941380" w14:textId="77777777" w:rsidR="006D0778" w:rsidRPr="006D0778" w:rsidRDefault="006D0778" w:rsidP="006D0778">
            <w:pPr>
              <w:keepLines/>
              <w:spacing w:after="0"/>
              <w:jc w:val="left"/>
              <w:rPr>
                <w:rFonts w:eastAsia="Times New Roman" w:cs="Times New Roman"/>
                <w:sz w:val="20"/>
                <w:szCs w:val="20"/>
              </w:rPr>
            </w:pPr>
          </w:p>
        </w:tc>
      </w:tr>
      <w:tr w:rsidR="006D0778" w:rsidRPr="006D0778" w14:paraId="79C14614" w14:textId="77777777" w:rsidTr="00D2109C">
        <w:trPr>
          <w:trHeight w:val="285"/>
        </w:trPr>
        <w:tc>
          <w:tcPr>
            <w:tcW w:w="3177" w:type="dxa"/>
            <w:tcBorders>
              <w:top w:val="nil"/>
              <w:left w:val="nil"/>
              <w:bottom w:val="nil"/>
              <w:right w:val="nil"/>
            </w:tcBorders>
            <w:shd w:val="clear" w:color="auto" w:fill="auto"/>
            <w:noWrap/>
            <w:vAlign w:val="bottom"/>
            <w:hideMark/>
          </w:tcPr>
          <w:p w14:paraId="2192AA24" w14:textId="77777777" w:rsidR="006D0778" w:rsidRPr="006D0778" w:rsidRDefault="006D0778" w:rsidP="006D0778">
            <w:pPr>
              <w:keepLines/>
              <w:spacing w:after="0"/>
              <w:jc w:val="left"/>
              <w:rPr>
                <w:rFonts w:eastAsia="Times New Roman" w:cs="Times New Roman"/>
                <w:color w:val="000000"/>
                <w:sz w:val="22"/>
              </w:rPr>
            </w:pPr>
            <w:r w:rsidRPr="006D0778">
              <w:rPr>
                <w:rFonts w:eastAsia="Times New Roman" w:cs="Times New Roman"/>
                <w:color w:val="000000"/>
                <w:sz w:val="22"/>
              </w:rPr>
              <w:t>претходни програм</w:t>
            </w:r>
          </w:p>
        </w:tc>
        <w:tc>
          <w:tcPr>
            <w:tcW w:w="947" w:type="dxa"/>
            <w:tcBorders>
              <w:top w:val="nil"/>
              <w:left w:val="nil"/>
              <w:bottom w:val="nil"/>
              <w:right w:val="nil"/>
            </w:tcBorders>
            <w:shd w:val="clear" w:color="auto" w:fill="auto"/>
            <w:noWrap/>
            <w:vAlign w:val="bottom"/>
            <w:hideMark/>
          </w:tcPr>
          <w:p w14:paraId="1295EFB0" w14:textId="77777777" w:rsidR="006D0778" w:rsidRPr="006D0778" w:rsidRDefault="006D0778" w:rsidP="006D0778">
            <w:pPr>
              <w:keepLines/>
              <w:spacing w:after="0"/>
              <w:jc w:val="right"/>
              <w:rPr>
                <w:rFonts w:eastAsia="Times New Roman" w:cs="Times New Roman"/>
                <w:color w:val="000000"/>
                <w:sz w:val="22"/>
              </w:rPr>
            </w:pPr>
            <w:r w:rsidRPr="006D0778">
              <w:rPr>
                <w:rFonts w:eastAsia="Times New Roman" w:cs="Times New Roman"/>
                <w:color w:val="000000"/>
                <w:sz w:val="22"/>
              </w:rPr>
              <w:t>53,3</w:t>
            </w:r>
          </w:p>
        </w:tc>
        <w:tc>
          <w:tcPr>
            <w:tcW w:w="947" w:type="dxa"/>
            <w:tcBorders>
              <w:top w:val="nil"/>
              <w:left w:val="nil"/>
              <w:bottom w:val="nil"/>
              <w:right w:val="nil"/>
            </w:tcBorders>
            <w:shd w:val="clear" w:color="auto" w:fill="auto"/>
            <w:noWrap/>
            <w:vAlign w:val="bottom"/>
            <w:hideMark/>
          </w:tcPr>
          <w:p w14:paraId="1D18E6CA" w14:textId="77777777" w:rsidR="006D0778" w:rsidRPr="006D0778" w:rsidRDefault="006D0778" w:rsidP="006D0778">
            <w:pPr>
              <w:keepLines/>
              <w:spacing w:after="0"/>
              <w:jc w:val="right"/>
              <w:rPr>
                <w:rFonts w:eastAsia="Times New Roman" w:cs="Times New Roman"/>
                <w:color w:val="000000"/>
                <w:sz w:val="22"/>
              </w:rPr>
            </w:pPr>
            <w:r w:rsidRPr="006D0778">
              <w:rPr>
                <w:rFonts w:eastAsia="Times New Roman" w:cs="Times New Roman"/>
                <w:color w:val="000000"/>
                <w:sz w:val="22"/>
              </w:rPr>
              <w:t>51,7</w:t>
            </w:r>
          </w:p>
        </w:tc>
        <w:tc>
          <w:tcPr>
            <w:tcW w:w="947" w:type="dxa"/>
            <w:tcBorders>
              <w:top w:val="nil"/>
              <w:left w:val="nil"/>
              <w:bottom w:val="nil"/>
              <w:right w:val="nil"/>
            </w:tcBorders>
            <w:shd w:val="clear" w:color="auto" w:fill="auto"/>
            <w:noWrap/>
            <w:vAlign w:val="bottom"/>
            <w:hideMark/>
          </w:tcPr>
          <w:p w14:paraId="5F5AA188" w14:textId="77777777" w:rsidR="006D0778" w:rsidRPr="006D0778" w:rsidRDefault="006D0778" w:rsidP="006D0778">
            <w:pPr>
              <w:keepLines/>
              <w:spacing w:after="0"/>
              <w:jc w:val="right"/>
              <w:rPr>
                <w:rFonts w:eastAsia="Times New Roman" w:cs="Times New Roman"/>
                <w:color w:val="000000"/>
                <w:sz w:val="22"/>
              </w:rPr>
            </w:pPr>
            <w:r w:rsidRPr="006D0778">
              <w:rPr>
                <w:rFonts w:eastAsia="Times New Roman" w:cs="Times New Roman"/>
                <w:color w:val="000000"/>
                <w:sz w:val="22"/>
              </w:rPr>
              <w:t>50,7</w:t>
            </w:r>
          </w:p>
        </w:tc>
        <w:tc>
          <w:tcPr>
            <w:tcW w:w="947" w:type="dxa"/>
            <w:tcBorders>
              <w:top w:val="nil"/>
              <w:left w:val="nil"/>
              <w:bottom w:val="nil"/>
              <w:right w:val="nil"/>
            </w:tcBorders>
            <w:shd w:val="clear" w:color="auto" w:fill="auto"/>
            <w:noWrap/>
            <w:vAlign w:val="bottom"/>
            <w:hideMark/>
          </w:tcPr>
          <w:p w14:paraId="32F3C98E" w14:textId="77777777" w:rsidR="006D0778" w:rsidRPr="006D0778" w:rsidRDefault="006D0778" w:rsidP="006D0778">
            <w:pPr>
              <w:keepLines/>
              <w:spacing w:after="0"/>
              <w:jc w:val="right"/>
              <w:rPr>
                <w:rFonts w:eastAsia="Times New Roman" w:cs="Times New Roman"/>
                <w:color w:val="000000"/>
                <w:sz w:val="22"/>
              </w:rPr>
            </w:pPr>
            <w:r w:rsidRPr="006D0778">
              <w:rPr>
                <w:rFonts w:eastAsia="Times New Roman" w:cs="Times New Roman"/>
                <w:color w:val="000000"/>
                <w:sz w:val="22"/>
              </w:rPr>
              <w:t>50,0</w:t>
            </w:r>
          </w:p>
        </w:tc>
        <w:tc>
          <w:tcPr>
            <w:tcW w:w="947" w:type="dxa"/>
            <w:tcBorders>
              <w:top w:val="nil"/>
              <w:left w:val="nil"/>
              <w:bottom w:val="nil"/>
              <w:right w:val="nil"/>
            </w:tcBorders>
            <w:shd w:val="clear" w:color="auto" w:fill="auto"/>
            <w:noWrap/>
            <w:vAlign w:val="bottom"/>
            <w:hideMark/>
          </w:tcPr>
          <w:p w14:paraId="4D881CAF" w14:textId="77777777" w:rsidR="006D0778" w:rsidRPr="006D0778" w:rsidRDefault="006D0778" w:rsidP="006D0778">
            <w:pPr>
              <w:keepLines/>
              <w:spacing w:after="0"/>
              <w:jc w:val="right"/>
              <w:rPr>
                <w:rFonts w:eastAsia="Times New Roman" w:cs="Times New Roman"/>
                <w:color w:val="000000"/>
                <w:sz w:val="22"/>
                <w:lang w:val="sr-Cyrl-RS"/>
              </w:rPr>
            </w:pPr>
            <w:r w:rsidRPr="006D0778">
              <w:rPr>
                <w:rFonts w:eastAsia="Times New Roman" w:cs="Times New Roman"/>
                <w:color w:val="000000"/>
                <w:sz w:val="22"/>
                <w:lang w:val="sr-Cyrl-RS"/>
              </w:rPr>
              <w:t>-</w:t>
            </w:r>
          </w:p>
        </w:tc>
      </w:tr>
      <w:tr w:rsidR="006D0778" w:rsidRPr="006D0778" w14:paraId="0935782B" w14:textId="77777777" w:rsidTr="00D2109C">
        <w:trPr>
          <w:trHeight w:val="285"/>
        </w:trPr>
        <w:tc>
          <w:tcPr>
            <w:tcW w:w="3177" w:type="dxa"/>
            <w:tcBorders>
              <w:top w:val="nil"/>
              <w:left w:val="nil"/>
              <w:right w:val="nil"/>
            </w:tcBorders>
            <w:shd w:val="clear" w:color="auto" w:fill="auto"/>
            <w:noWrap/>
            <w:vAlign w:val="bottom"/>
            <w:hideMark/>
          </w:tcPr>
          <w:p w14:paraId="06AA6BAC" w14:textId="77777777" w:rsidR="006D0778" w:rsidRPr="006D0778" w:rsidRDefault="006D0778" w:rsidP="006D0778">
            <w:pPr>
              <w:keepLines/>
              <w:spacing w:after="0"/>
              <w:jc w:val="left"/>
              <w:rPr>
                <w:rFonts w:eastAsia="Times New Roman" w:cs="Times New Roman"/>
                <w:color w:val="000000"/>
                <w:sz w:val="22"/>
              </w:rPr>
            </w:pPr>
            <w:r w:rsidRPr="006D0778">
              <w:rPr>
                <w:rFonts w:eastAsia="Times New Roman" w:cs="Times New Roman"/>
                <w:color w:val="000000"/>
                <w:sz w:val="22"/>
              </w:rPr>
              <w:t>актуелни програм</w:t>
            </w:r>
          </w:p>
        </w:tc>
        <w:tc>
          <w:tcPr>
            <w:tcW w:w="947" w:type="dxa"/>
            <w:tcBorders>
              <w:top w:val="nil"/>
              <w:left w:val="nil"/>
              <w:right w:val="nil"/>
            </w:tcBorders>
            <w:shd w:val="clear" w:color="auto" w:fill="auto"/>
            <w:noWrap/>
            <w:vAlign w:val="bottom"/>
            <w:hideMark/>
          </w:tcPr>
          <w:p w14:paraId="52F16972" w14:textId="77777777" w:rsidR="006D0778" w:rsidRPr="006D0778" w:rsidRDefault="006D0778" w:rsidP="006D0778">
            <w:pPr>
              <w:keepLines/>
              <w:spacing w:after="0"/>
              <w:jc w:val="right"/>
              <w:rPr>
                <w:rFonts w:eastAsia="Times New Roman" w:cs="Times New Roman"/>
                <w:color w:val="000000"/>
                <w:sz w:val="22"/>
              </w:rPr>
            </w:pPr>
            <w:r w:rsidRPr="006D0778">
              <w:rPr>
                <w:rFonts w:eastAsia="Times New Roman" w:cs="Times New Roman"/>
                <w:color w:val="000000"/>
                <w:sz w:val="22"/>
              </w:rPr>
              <w:t>48,4</w:t>
            </w:r>
          </w:p>
        </w:tc>
        <w:tc>
          <w:tcPr>
            <w:tcW w:w="947" w:type="dxa"/>
            <w:tcBorders>
              <w:top w:val="nil"/>
              <w:left w:val="nil"/>
              <w:right w:val="nil"/>
            </w:tcBorders>
            <w:shd w:val="clear" w:color="auto" w:fill="auto"/>
            <w:noWrap/>
            <w:vAlign w:val="bottom"/>
            <w:hideMark/>
          </w:tcPr>
          <w:p w14:paraId="12670A97" w14:textId="77777777" w:rsidR="006D0778" w:rsidRPr="006D0778" w:rsidRDefault="006D0778" w:rsidP="006D0778">
            <w:pPr>
              <w:keepLines/>
              <w:spacing w:after="0"/>
              <w:jc w:val="right"/>
              <w:rPr>
                <w:rFonts w:eastAsia="Times New Roman" w:cs="Times New Roman"/>
                <w:color w:val="000000"/>
                <w:sz w:val="22"/>
              </w:rPr>
            </w:pPr>
            <w:r w:rsidRPr="006D0778">
              <w:rPr>
                <w:rFonts w:eastAsia="Times New Roman" w:cs="Times New Roman"/>
                <w:color w:val="000000"/>
                <w:sz w:val="22"/>
              </w:rPr>
              <w:t>47,9</w:t>
            </w:r>
          </w:p>
        </w:tc>
        <w:tc>
          <w:tcPr>
            <w:tcW w:w="947" w:type="dxa"/>
            <w:tcBorders>
              <w:top w:val="nil"/>
              <w:left w:val="nil"/>
              <w:right w:val="nil"/>
            </w:tcBorders>
            <w:shd w:val="clear" w:color="auto" w:fill="auto"/>
            <w:noWrap/>
            <w:vAlign w:val="bottom"/>
            <w:hideMark/>
          </w:tcPr>
          <w:p w14:paraId="160E03F9" w14:textId="77777777" w:rsidR="006D0778" w:rsidRPr="006D0778" w:rsidRDefault="006D0778" w:rsidP="006D0778">
            <w:pPr>
              <w:keepLines/>
              <w:spacing w:after="0"/>
              <w:jc w:val="right"/>
              <w:rPr>
                <w:rFonts w:eastAsia="Times New Roman" w:cs="Times New Roman"/>
                <w:color w:val="000000"/>
                <w:sz w:val="22"/>
              </w:rPr>
            </w:pPr>
            <w:r w:rsidRPr="006D0778">
              <w:rPr>
                <w:rFonts w:eastAsia="Times New Roman" w:cs="Times New Roman"/>
                <w:color w:val="000000"/>
                <w:sz w:val="22"/>
              </w:rPr>
              <w:t>47,5</w:t>
            </w:r>
          </w:p>
        </w:tc>
        <w:tc>
          <w:tcPr>
            <w:tcW w:w="947" w:type="dxa"/>
            <w:tcBorders>
              <w:top w:val="nil"/>
              <w:left w:val="nil"/>
              <w:right w:val="nil"/>
            </w:tcBorders>
            <w:shd w:val="clear" w:color="auto" w:fill="auto"/>
            <w:noWrap/>
            <w:vAlign w:val="bottom"/>
            <w:hideMark/>
          </w:tcPr>
          <w:p w14:paraId="32BB1504" w14:textId="77777777" w:rsidR="006D0778" w:rsidRPr="006D0778" w:rsidRDefault="006D0778" w:rsidP="006D0778">
            <w:pPr>
              <w:keepLines/>
              <w:spacing w:after="0"/>
              <w:jc w:val="right"/>
              <w:rPr>
                <w:rFonts w:eastAsia="Times New Roman" w:cs="Times New Roman"/>
                <w:color w:val="000000"/>
                <w:sz w:val="22"/>
              </w:rPr>
            </w:pPr>
            <w:r w:rsidRPr="006D0778">
              <w:rPr>
                <w:rFonts w:eastAsia="Times New Roman" w:cs="Times New Roman"/>
                <w:color w:val="000000"/>
                <w:sz w:val="22"/>
              </w:rPr>
              <w:t>47,0</w:t>
            </w:r>
          </w:p>
        </w:tc>
        <w:tc>
          <w:tcPr>
            <w:tcW w:w="947" w:type="dxa"/>
            <w:tcBorders>
              <w:top w:val="nil"/>
              <w:left w:val="nil"/>
              <w:right w:val="nil"/>
            </w:tcBorders>
            <w:shd w:val="clear" w:color="auto" w:fill="auto"/>
            <w:noWrap/>
            <w:vAlign w:val="bottom"/>
            <w:hideMark/>
          </w:tcPr>
          <w:p w14:paraId="4E21FEB6" w14:textId="77777777" w:rsidR="006D0778" w:rsidRPr="006D0778" w:rsidRDefault="006D0778" w:rsidP="006D0778">
            <w:pPr>
              <w:keepLines/>
              <w:spacing w:after="0"/>
              <w:jc w:val="right"/>
              <w:rPr>
                <w:rFonts w:eastAsia="Times New Roman" w:cs="Times New Roman"/>
                <w:color w:val="000000"/>
                <w:sz w:val="22"/>
              </w:rPr>
            </w:pPr>
            <w:r w:rsidRPr="006D0778">
              <w:rPr>
                <w:rFonts w:eastAsia="Times New Roman" w:cs="Times New Roman"/>
                <w:color w:val="000000"/>
                <w:sz w:val="22"/>
              </w:rPr>
              <w:t>46,5</w:t>
            </w:r>
          </w:p>
        </w:tc>
      </w:tr>
      <w:tr w:rsidR="006D0778" w:rsidRPr="006D0778" w14:paraId="0D2949D2" w14:textId="77777777" w:rsidTr="00D2109C">
        <w:trPr>
          <w:trHeight w:val="285"/>
        </w:trPr>
        <w:tc>
          <w:tcPr>
            <w:tcW w:w="3177" w:type="dxa"/>
            <w:tcBorders>
              <w:top w:val="nil"/>
              <w:left w:val="nil"/>
              <w:bottom w:val="single" w:sz="4" w:space="0" w:color="auto"/>
              <w:right w:val="nil"/>
            </w:tcBorders>
            <w:shd w:val="clear" w:color="auto" w:fill="auto"/>
            <w:noWrap/>
            <w:vAlign w:val="bottom"/>
            <w:hideMark/>
          </w:tcPr>
          <w:p w14:paraId="634FBA3F" w14:textId="77777777" w:rsidR="006D0778" w:rsidRPr="006D0778" w:rsidRDefault="006D0778" w:rsidP="006D0778">
            <w:pPr>
              <w:keepLines/>
              <w:spacing w:after="0"/>
              <w:jc w:val="left"/>
              <w:rPr>
                <w:rFonts w:eastAsia="Times New Roman" w:cs="Times New Roman"/>
                <w:color w:val="000000"/>
                <w:sz w:val="22"/>
              </w:rPr>
            </w:pPr>
            <w:r w:rsidRPr="006D0778">
              <w:rPr>
                <w:rFonts w:eastAsia="Times New Roman" w:cs="Times New Roman"/>
                <w:color w:val="000000"/>
                <w:sz w:val="22"/>
              </w:rPr>
              <w:t>разлика</w:t>
            </w:r>
          </w:p>
        </w:tc>
        <w:tc>
          <w:tcPr>
            <w:tcW w:w="947" w:type="dxa"/>
            <w:tcBorders>
              <w:top w:val="nil"/>
              <w:left w:val="nil"/>
              <w:bottom w:val="single" w:sz="4" w:space="0" w:color="auto"/>
              <w:right w:val="nil"/>
            </w:tcBorders>
            <w:shd w:val="clear" w:color="auto" w:fill="auto"/>
            <w:noWrap/>
            <w:vAlign w:val="bottom"/>
            <w:hideMark/>
          </w:tcPr>
          <w:p w14:paraId="04A8FEAC" w14:textId="77777777" w:rsidR="006D0778" w:rsidRPr="006D0778" w:rsidRDefault="006D0778" w:rsidP="006D0778">
            <w:pPr>
              <w:keepLines/>
              <w:spacing w:after="0"/>
              <w:jc w:val="right"/>
              <w:rPr>
                <w:rFonts w:eastAsia="Times New Roman" w:cs="Times New Roman"/>
                <w:color w:val="000000"/>
                <w:sz w:val="22"/>
              </w:rPr>
            </w:pPr>
            <w:r w:rsidRPr="006D0778">
              <w:rPr>
                <w:rFonts w:eastAsia="Times New Roman" w:cs="Times New Roman"/>
                <w:color w:val="000000"/>
                <w:sz w:val="22"/>
              </w:rPr>
              <w:t>-4,9</w:t>
            </w:r>
          </w:p>
        </w:tc>
        <w:tc>
          <w:tcPr>
            <w:tcW w:w="947" w:type="dxa"/>
            <w:tcBorders>
              <w:top w:val="nil"/>
              <w:left w:val="nil"/>
              <w:bottom w:val="single" w:sz="4" w:space="0" w:color="auto"/>
              <w:right w:val="nil"/>
            </w:tcBorders>
            <w:shd w:val="clear" w:color="auto" w:fill="auto"/>
            <w:noWrap/>
            <w:vAlign w:val="bottom"/>
            <w:hideMark/>
          </w:tcPr>
          <w:p w14:paraId="623EC2A8" w14:textId="77777777" w:rsidR="006D0778" w:rsidRPr="006D0778" w:rsidRDefault="006D0778" w:rsidP="006D0778">
            <w:pPr>
              <w:keepLines/>
              <w:spacing w:after="0"/>
              <w:jc w:val="right"/>
              <w:rPr>
                <w:rFonts w:eastAsia="Times New Roman" w:cs="Times New Roman"/>
                <w:color w:val="000000"/>
                <w:sz w:val="22"/>
              </w:rPr>
            </w:pPr>
            <w:r w:rsidRPr="006D0778">
              <w:rPr>
                <w:rFonts w:eastAsia="Times New Roman" w:cs="Times New Roman"/>
                <w:color w:val="000000"/>
                <w:sz w:val="22"/>
              </w:rPr>
              <w:t>-3,8</w:t>
            </w:r>
          </w:p>
        </w:tc>
        <w:tc>
          <w:tcPr>
            <w:tcW w:w="947" w:type="dxa"/>
            <w:tcBorders>
              <w:top w:val="nil"/>
              <w:left w:val="nil"/>
              <w:bottom w:val="single" w:sz="4" w:space="0" w:color="auto"/>
              <w:right w:val="nil"/>
            </w:tcBorders>
            <w:shd w:val="clear" w:color="auto" w:fill="auto"/>
            <w:noWrap/>
            <w:vAlign w:val="bottom"/>
            <w:hideMark/>
          </w:tcPr>
          <w:p w14:paraId="1CBE8D63" w14:textId="77777777" w:rsidR="006D0778" w:rsidRPr="006D0778" w:rsidRDefault="006D0778" w:rsidP="006D0778">
            <w:pPr>
              <w:keepLines/>
              <w:spacing w:after="0"/>
              <w:jc w:val="right"/>
              <w:rPr>
                <w:rFonts w:eastAsia="Times New Roman" w:cs="Times New Roman"/>
                <w:color w:val="000000"/>
                <w:sz w:val="22"/>
              </w:rPr>
            </w:pPr>
            <w:r w:rsidRPr="006D0778">
              <w:rPr>
                <w:rFonts w:eastAsia="Times New Roman" w:cs="Times New Roman"/>
                <w:color w:val="000000"/>
                <w:sz w:val="22"/>
              </w:rPr>
              <w:t>-3,2</w:t>
            </w:r>
          </w:p>
        </w:tc>
        <w:tc>
          <w:tcPr>
            <w:tcW w:w="947" w:type="dxa"/>
            <w:tcBorders>
              <w:top w:val="nil"/>
              <w:left w:val="nil"/>
              <w:bottom w:val="single" w:sz="4" w:space="0" w:color="auto"/>
              <w:right w:val="nil"/>
            </w:tcBorders>
            <w:shd w:val="clear" w:color="auto" w:fill="auto"/>
            <w:noWrap/>
            <w:vAlign w:val="bottom"/>
            <w:hideMark/>
          </w:tcPr>
          <w:p w14:paraId="5542C716" w14:textId="77777777" w:rsidR="006D0778" w:rsidRPr="006D0778" w:rsidRDefault="006D0778" w:rsidP="006D0778">
            <w:pPr>
              <w:keepLines/>
              <w:spacing w:after="0"/>
              <w:jc w:val="right"/>
              <w:rPr>
                <w:rFonts w:eastAsia="Times New Roman" w:cs="Times New Roman"/>
                <w:color w:val="000000"/>
                <w:sz w:val="22"/>
              </w:rPr>
            </w:pPr>
            <w:r w:rsidRPr="006D0778">
              <w:rPr>
                <w:rFonts w:eastAsia="Times New Roman" w:cs="Times New Roman"/>
                <w:color w:val="000000"/>
                <w:sz w:val="22"/>
              </w:rPr>
              <w:t>-3,0</w:t>
            </w:r>
          </w:p>
        </w:tc>
        <w:tc>
          <w:tcPr>
            <w:tcW w:w="947" w:type="dxa"/>
            <w:tcBorders>
              <w:top w:val="nil"/>
              <w:left w:val="nil"/>
              <w:bottom w:val="single" w:sz="4" w:space="0" w:color="auto"/>
              <w:right w:val="nil"/>
            </w:tcBorders>
            <w:shd w:val="clear" w:color="auto" w:fill="auto"/>
            <w:noWrap/>
            <w:vAlign w:val="bottom"/>
            <w:hideMark/>
          </w:tcPr>
          <w:p w14:paraId="7DDC72B3" w14:textId="77777777" w:rsidR="006D0778" w:rsidRPr="006D0778" w:rsidRDefault="006D0778" w:rsidP="006D0778">
            <w:pPr>
              <w:keepLines/>
              <w:spacing w:after="0"/>
              <w:jc w:val="right"/>
              <w:rPr>
                <w:rFonts w:eastAsia="Times New Roman" w:cs="Times New Roman"/>
                <w:color w:val="000000"/>
                <w:sz w:val="22"/>
                <w:lang w:val="sr-Cyrl-RS"/>
              </w:rPr>
            </w:pPr>
            <w:r w:rsidRPr="006D0778">
              <w:rPr>
                <w:rFonts w:eastAsia="Times New Roman" w:cs="Times New Roman"/>
                <w:color w:val="000000"/>
                <w:sz w:val="22"/>
                <w:lang w:val="sr-Cyrl-RS"/>
              </w:rPr>
              <w:t>-</w:t>
            </w:r>
          </w:p>
        </w:tc>
      </w:tr>
    </w:tbl>
    <w:p w14:paraId="0401BC75" w14:textId="77777777" w:rsidR="006D0778" w:rsidRPr="006D0778" w:rsidRDefault="006D0778" w:rsidP="006D0778">
      <w:pPr>
        <w:keepLines/>
        <w:spacing w:after="0"/>
        <w:rPr>
          <w:rFonts w:cs="Times New Roman"/>
          <w:sz w:val="16"/>
          <w:szCs w:val="16"/>
          <w:lang w:val="sr-Cyrl-RS"/>
        </w:rPr>
      </w:pPr>
      <w:r w:rsidRPr="006D0778">
        <w:rPr>
          <w:rFonts w:eastAsia="Calibri" w:cs="Times New Roman"/>
          <w:bCs/>
          <w:sz w:val="16"/>
          <w:szCs w:val="16"/>
          <w:lang w:val="sr-Cyrl-RS" w:eastAsia="ja-JP"/>
        </w:rPr>
        <w:t xml:space="preserve">Извор: </w:t>
      </w:r>
      <w:r w:rsidRPr="006D0778">
        <w:rPr>
          <w:rFonts w:cs="Times New Roman"/>
          <w:sz w:val="16"/>
          <w:szCs w:val="16"/>
          <w:lang w:val="sr-Cyrl-RS"/>
        </w:rPr>
        <w:t>Министарство финансија</w:t>
      </w:r>
    </w:p>
    <w:p w14:paraId="23CD91B6" w14:textId="77777777" w:rsidR="006D0778" w:rsidRPr="006D0778" w:rsidRDefault="006D0778" w:rsidP="006D0778">
      <w:pPr>
        <w:keepNext/>
        <w:keepLines/>
        <w:spacing w:before="240" w:line="259" w:lineRule="auto"/>
        <w:jc w:val="left"/>
        <w:outlineLvl w:val="1"/>
        <w:rPr>
          <w:rFonts w:eastAsia="Calibri" w:cs="Times New Roman"/>
          <w:szCs w:val="28"/>
          <w:lang w:val="sr-Cyrl-RS"/>
        </w:rPr>
      </w:pPr>
      <w:bookmarkStart w:id="16" w:name="_Toc91769802"/>
      <w:r w:rsidRPr="006D0778">
        <w:rPr>
          <w:rFonts w:eastAsia="Calibri" w:cs="Times New Roman"/>
          <w:szCs w:val="28"/>
          <w:lang w:val="sr-Cyrl-RS"/>
        </w:rPr>
        <w:lastRenderedPageBreak/>
        <w:t>7. КВАЛИТЕТ ЈАВНИХ ФИНАНСИЈА</w:t>
      </w:r>
      <w:bookmarkEnd w:id="16"/>
    </w:p>
    <w:p w14:paraId="205BAF10" w14:textId="24C297A6" w:rsidR="006D0778" w:rsidRPr="006D0778" w:rsidRDefault="006D0778" w:rsidP="002B77D1">
      <w:pPr>
        <w:rPr>
          <w:rFonts w:eastAsia="Calibri" w:cs="Times New Roman"/>
          <w:spacing w:val="-2"/>
          <w:szCs w:val="20"/>
          <w:lang w:eastAsia="ja-JP"/>
        </w:rPr>
      </w:pPr>
      <w:r w:rsidRPr="006D0778">
        <w:rPr>
          <w:rFonts w:eastAsia="Calibri" w:cs="Times New Roman"/>
          <w:spacing w:val="-2"/>
          <w:szCs w:val="20"/>
          <w:lang w:eastAsia="ja-JP"/>
        </w:rPr>
        <w:t>Након турбулентне 2022. године коју је обележила криза у Украјини уневши неизвесност у све економске токове, у 2023. години Република Србија је остварила макроекономске резултате који су се показали повољнијим него што се првобитно очекивало и то упркос бројним изазовима из окружења и наставку и продубљењу геополитичких криза. И поред свих ових изазова, Република Србија и у 2024. години наставља свој успешан пут, чему сведочи управо завршена четврта и последња ревизија ак</w:t>
      </w:r>
      <w:r w:rsidR="00896365">
        <w:rPr>
          <w:rFonts w:eastAsia="Calibri" w:cs="Times New Roman"/>
          <w:spacing w:val="-2"/>
          <w:szCs w:val="20"/>
          <w:lang w:eastAsia="ja-JP"/>
        </w:rPr>
        <w:t>туелног аранжмана из предострож</w:t>
      </w:r>
      <w:r w:rsidRPr="006D0778">
        <w:rPr>
          <w:rFonts w:eastAsia="Calibri" w:cs="Times New Roman"/>
          <w:spacing w:val="-2"/>
          <w:szCs w:val="20"/>
          <w:lang w:eastAsia="ja-JP"/>
        </w:rPr>
        <w:t>ности који Република Србија има са ММФ.</w:t>
      </w:r>
    </w:p>
    <w:p w14:paraId="7857B846" w14:textId="77777777" w:rsidR="006D0778" w:rsidRPr="006D0778" w:rsidRDefault="006D0778" w:rsidP="002B77D1">
      <w:pPr>
        <w:rPr>
          <w:rFonts w:ascii="Calibri" w:eastAsia="Calibri" w:hAnsi="Calibri" w:cs="Calibri"/>
          <w:spacing w:val="-2"/>
          <w:szCs w:val="20"/>
          <w:lang w:eastAsia="ja-JP"/>
        </w:rPr>
      </w:pPr>
      <w:r w:rsidRPr="006D0778">
        <w:rPr>
          <w:rFonts w:eastAsia="Calibri" w:cs="Times New Roman"/>
          <w:spacing w:val="-2"/>
          <w:szCs w:val="20"/>
          <w:lang w:eastAsia="ja-JP"/>
        </w:rPr>
        <w:t xml:space="preserve">Такође, договорено је да ће до краја године бити склопљен нови аранжман - Инструмент за координацију политика (PCI) који ће бити нефинансијског карактера и који ће трајати наредне три године. Циљеви новог аранжмана биће: очување макроекономске и финансијске стабилности, кредибилна фискална политика којом се омогућава наставак јавних инвестиција и социјалних политика уз задржавање силазног тренда учешћа јавног дуга у БДП, даље јачање енергетског сектора и нове инвестиције у овој области и обезбеђење инклузивног одрживог раста у средњем року заснованог на структурним реформама. </w:t>
      </w:r>
    </w:p>
    <w:p w14:paraId="58454FDD" w14:textId="1C0B18BE" w:rsidR="006D0778" w:rsidRPr="006D0778" w:rsidRDefault="006D0778" w:rsidP="002B77D1">
      <w:pPr>
        <w:rPr>
          <w:lang w:val="sr-Cyrl-CS" w:eastAsia="ja-JP"/>
        </w:rPr>
      </w:pPr>
      <w:r w:rsidRPr="006D0778">
        <w:rPr>
          <w:lang w:val="sr-Cyrl-CS" w:eastAsia="ja-JP"/>
        </w:rPr>
        <w:t>У наредном периоду</w:t>
      </w:r>
      <w:r w:rsidR="00896365">
        <w:rPr>
          <w:lang w:val="sr-Cyrl-CS" w:eastAsia="ja-JP"/>
        </w:rPr>
        <w:t>,</w:t>
      </w:r>
      <w:r w:rsidRPr="006D0778">
        <w:rPr>
          <w:lang w:val="sr-Cyrl-CS" w:eastAsia="ja-JP"/>
        </w:rPr>
        <w:t xml:space="preserve"> очекује се наставак реформи у области запошљавања, управљања кадровима и система плата у сектору државе. Циљ фискалне политике у средњем року је задржавање расхода за запослене на одрживом нивоу, уз адекватну структуру запослених, како би се обезбедио већи квалитет пружених услуга. Постојећи систем запошљавања, којим руководи Владина Комисија за давање сагласности за ново запошљавање и додатно радно ангажовање код корисника јавних средстава наставиће да функционише у прелазном периоду, односно све док нови систем не буде у потпуности оперативан. Крајем 2020. године усвојене су измене Закона о буџетском систему како би било омогућено да у прелазном периоду институције могу да ангажују нова лица до нивоа од 70% оних који напуштају институцију или одлазе у пензију, док је дозвола Комисије потребна уколико број новозапослених пређе 70%. Смисао ове мере је да се обезбеди већа флексибилност у запошљавању на нивоу самих институција, у складу с њиховим потребама за новим кадровима. Такође, постављен је и лимит од 1% за повећање укупног броја запослених на неодређено време у односу на ниво с краја 2020. године. </w:t>
      </w:r>
    </w:p>
    <w:p w14:paraId="7615A3A1" w14:textId="77777777" w:rsidR="006D0778" w:rsidRPr="006D0778" w:rsidRDefault="006D0778" w:rsidP="002B77D1">
      <w:pPr>
        <w:rPr>
          <w:lang w:val="sr-Cyrl-CS" w:eastAsia="ja-JP"/>
        </w:rPr>
      </w:pPr>
      <w:r w:rsidRPr="006D0778">
        <w:rPr>
          <w:lang w:val="sr-Cyrl-CS" w:eastAsia="ja-JP"/>
        </w:rPr>
        <w:t xml:space="preserve">Централни информациони систем за обрачун примања запослених у јавном сектору „Искра” тренутно обухвата све директне кориснике буџета, институције из области културе, правосуђа, рада и социјалне заштите и просвете (осим установа вишег и високог образовања), а почетком ове године укључене су институције из области здравства. Јединице локалне самоуправе са својим индиректним корисницима (предшколске установе, установе културе, спорта и социјалне заштите) укључиће се у систем у последњем кварталу 2024. године. Суштина овог система је боље планирање, извршење и контрола расхода за плате запослених, већа транспарентност и боље управљање људским ресурсима у условима све јаче конкуренције из приватног сектора, што има негативан утицај на привлачење и задржавање запослених у јавном сектору, поготово имајући у виду атрактивност зарада у приватном сектору, што може довести до значајног одлива кадрова уколико се ове реформе не спроведу. Ван система у овој фази ће остати само запослени у сектору одбране, безбедности и унутрашњих послова и институције вишег и високог образовања. Планирано је да се и ове институције укључе у систем до 2027. године. На основу овог система биће израђен извештај у којем ће бити објављени подаци о броју запослених и распону зарада, што ће помоћи у вођењу будућих политика запошљавања у јавном сектору. Извештај ће садржати податке како о </w:t>
      </w:r>
      <w:r w:rsidRPr="006D0778">
        <w:rPr>
          <w:lang w:val="sr-Cyrl-CS" w:eastAsia="ja-JP"/>
        </w:rPr>
        <w:lastRenderedPageBreak/>
        <w:t xml:space="preserve">попуњености систематизованих радних места, тако и о износима самих плата по платним разредима, по специфичним типовима посла, функцијама (државна управа, образовање, здравство и сл.), као и остале податке од статистичког значаја (медијалне, максималне, минималне зараде, зараде по перцентилима, историјске серије података), што све може помоћи реформама у овој области. </w:t>
      </w:r>
    </w:p>
    <w:p w14:paraId="3733493B" w14:textId="77777777" w:rsidR="006D0778" w:rsidRPr="006D0778" w:rsidRDefault="006D0778" w:rsidP="002B77D1">
      <w:pPr>
        <w:rPr>
          <w:lang w:val="sr-Cyrl-CS" w:eastAsia="ja-JP"/>
        </w:rPr>
      </w:pPr>
      <w:r w:rsidRPr="006D0778">
        <w:rPr>
          <w:lang w:val="sr-Cyrl-CS" w:eastAsia="ja-JP"/>
        </w:rPr>
        <w:t xml:space="preserve">Криза у Украјини је кроз негативан утицај на тржишту енергената нарочито истакла све изазове и проблеме с којима се суочава енергетски сектор у Србији. Идентификовани проблеми могу се решити само спровођењем свеобухватних реформи, које су услов, како за обезбеђивање енергетске безбедности, тако и за фискалну и екстерну одрживост. Приоритет има реструктурирање великих енергетских компанија у власништву државе како би се повећала њихова ефикасност и смањила буџетска подршка и фискални ризици који произилазе из њиховог пословања. Фазно подизање цена енергената (гаса и електричне енергије) било је нужна мера како би се надоместили егзогено условљени високи трошкови њихове набавке. </w:t>
      </w:r>
    </w:p>
    <w:p w14:paraId="458D2C15" w14:textId="7DF0E373" w:rsidR="006D0778" w:rsidRPr="006D0778" w:rsidRDefault="006D0778" w:rsidP="002B77D1">
      <w:pPr>
        <w:rPr>
          <w:lang w:val="sr-Cyrl-CS" w:eastAsia="ja-JP"/>
        </w:rPr>
      </w:pPr>
      <w:r w:rsidRPr="006D0778">
        <w:rPr>
          <w:lang w:val="sr-Cyrl-CS" w:eastAsia="ja-JP"/>
        </w:rPr>
        <w:t>У случају ЕПС а.д. ове мере, заједно са повољним околностима које су утицале на хидроенергетски потенцијал и већи извоз електричне енергије, имале су за резултат значајан профит који је ова компанија остварила у 2023. години. Део ових средстава је искоришћен за отплату кредита узетих за подршку ликвидности и инвестиције. Oд 1. маја ове године су обезбеђене ниже цене електричне енергије за комерцијалне купце за око 20%, што је у складу са кретањем цена електричне енергије у региону. Измењена је методологија, којом се обезбеђује заштита купаца од изненадних ценовних шокова на тржишту електричне енергије, истовремено комбинујући нивое цена за регулисане и нерегулисане секторе како би у укупном износу приходи могли да покрију укупне трошкове, укључујући и средства потребна за инвестиције у нове производне капацитете. Истовремено, наставља се са политиком заштите енергетски угроженог купца, којом је током претходне грејне сезоне, изменом критеријума како би више лица могло да добије овај вид заштите, било о</w:t>
      </w:r>
      <w:r w:rsidR="00D2109C">
        <w:rPr>
          <w:lang w:val="sr-Cyrl-CS" w:eastAsia="ja-JP"/>
        </w:rPr>
        <w:t>бухваћено око 170.000 корисника</w:t>
      </w:r>
      <w:r w:rsidRPr="006D0778">
        <w:rPr>
          <w:lang w:val="sr-Cyrl-CS" w:eastAsia="ja-JP"/>
        </w:rPr>
        <w:t xml:space="preserve">. Статусна промена ЕПС у акционарско друштво, извршена у априлу прошле године, има за циљ јачање ове компаније на дуги рок кроз професионализацију менаџмента. Стратешким планом реструктурирања </w:t>
      </w:r>
      <w:r w:rsidR="00D2109C">
        <w:rPr>
          <w:lang w:val="sr-Cyrl-CS" w:eastAsia="ja-JP"/>
        </w:rPr>
        <w:t>ЕПС а.д</w:t>
      </w:r>
      <w:r w:rsidR="00D2109C">
        <w:rPr>
          <w:lang w:val="sr-Latn-RS" w:eastAsia="ja-JP"/>
        </w:rPr>
        <w:t xml:space="preserve">, </w:t>
      </w:r>
      <w:r w:rsidR="00D2109C">
        <w:rPr>
          <w:lang w:val="sr-Cyrl-RS" w:eastAsia="ja-JP"/>
        </w:rPr>
        <w:t>који је усаглашен са ММФ-ом и усвојен у мају 2024. године дефинисани су кораци у трансформацији ове компаније који обезбеђују њену стабилизацију</w:t>
      </w:r>
      <w:r w:rsidRPr="006D0778">
        <w:rPr>
          <w:lang w:val="sr-Cyrl-CS" w:eastAsia="ja-JP"/>
        </w:rPr>
        <w:t xml:space="preserve"> </w:t>
      </w:r>
      <w:r w:rsidR="00D2109C">
        <w:rPr>
          <w:lang w:val="sr-Cyrl-CS" w:eastAsia="ja-JP"/>
        </w:rPr>
        <w:t>и прецизирају реформске приоритете у управљању и организационој структури.</w:t>
      </w:r>
      <w:r w:rsidRPr="006D0778">
        <w:rPr>
          <w:lang w:val="sr-Cyrl-CS" w:eastAsia="ja-JP"/>
        </w:rPr>
        <w:t xml:space="preserve"> У складу с начелом транспарентности биће објављени финансијски планови за ЕПС а.д. и ЈП „Србијагас”. Такође, наставиће се с праксом објављивања 20 највећих дужника овим двема компанијама на месечном нивоу. </w:t>
      </w:r>
      <w:r w:rsidR="000C07AF">
        <w:rPr>
          <w:rFonts w:cs="Segoe UI"/>
          <w:lang w:val="sr-Cyrl-RS"/>
        </w:rPr>
        <w:t xml:space="preserve">До марта </w:t>
      </w:r>
      <w:r w:rsidR="000C07AF" w:rsidRPr="4EA5AFBF">
        <w:rPr>
          <w:rFonts w:cs="Segoe UI"/>
        </w:rPr>
        <w:t>2025</w:t>
      </w:r>
      <w:r w:rsidR="000C07AF">
        <w:rPr>
          <w:rFonts w:cs="Segoe UI"/>
          <w:lang w:val="sr-Cyrl-RS"/>
        </w:rPr>
        <w:t xml:space="preserve">. сачиниће се извештај о процени адекватности </w:t>
      </w:r>
      <w:r w:rsidR="000C07AF" w:rsidRPr="006A0444">
        <w:rPr>
          <w:rFonts w:cs="Segoe UI"/>
          <w:szCs w:val="21"/>
          <w:lang w:val="sr-Cyrl-RS"/>
        </w:rPr>
        <w:t xml:space="preserve">мрежарине која се плаћа </w:t>
      </w:r>
      <w:r w:rsidR="000C07AF" w:rsidRPr="00F541BE">
        <w:rPr>
          <w:rFonts w:cs="Segoe UI"/>
          <w:szCs w:val="21"/>
          <w:lang w:val="sr-Cyrl-RS"/>
        </w:rPr>
        <w:t>предузећу</w:t>
      </w:r>
      <w:r w:rsidR="000C07AF" w:rsidRPr="003B1D76">
        <w:rPr>
          <w:rFonts w:cs="Segoe UI"/>
          <w:b/>
          <w:bCs/>
          <w:szCs w:val="21"/>
          <w:lang w:val="sr-Cyrl-RS"/>
        </w:rPr>
        <w:t xml:space="preserve"> </w:t>
      </w:r>
      <w:r w:rsidR="000C07AF" w:rsidRPr="000C07AF">
        <w:rPr>
          <w:rFonts w:cs="Segoe UI"/>
          <w:bCs/>
          <w:szCs w:val="21"/>
          <w:lang w:val="sr-Cyrl-RS"/>
        </w:rPr>
        <w:t>Електродистрибуција Србије (ЕДС)</w:t>
      </w:r>
      <w:r w:rsidR="000C07AF" w:rsidRPr="000C07AF">
        <w:rPr>
          <w:rFonts w:cs="Segoe UI"/>
        </w:rPr>
        <w:t>,</w:t>
      </w:r>
      <w:r w:rsidR="000C07AF" w:rsidRPr="4EA5AFBF">
        <w:rPr>
          <w:rFonts w:cs="Segoe UI"/>
        </w:rPr>
        <w:t xml:space="preserve"> </w:t>
      </w:r>
      <w:r w:rsidR="000C07AF">
        <w:rPr>
          <w:rFonts w:cs="Segoe UI"/>
          <w:lang w:val="sr-Cyrl-RS"/>
        </w:rPr>
        <w:t>као и о адекватности накнада које ЕДС и Електромрежа (ЕМС) плаћају ЕПС-у за губитке</w:t>
      </w:r>
      <w:r w:rsidRPr="006D0778">
        <w:rPr>
          <w:lang w:val="sr-Cyrl-CS" w:eastAsia="ja-JP"/>
        </w:rPr>
        <w:t>.</w:t>
      </w:r>
      <w:r w:rsidR="00CF6476">
        <w:rPr>
          <w:lang w:val="sr-Cyrl-CS" w:eastAsia="ja-JP"/>
        </w:rPr>
        <w:t xml:space="preserve"> </w:t>
      </w:r>
    </w:p>
    <w:p w14:paraId="53E0FEB0" w14:textId="77777777" w:rsidR="006D0778" w:rsidRPr="006D0778" w:rsidRDefault="006D0778" w:rsidP="002B77D1">
      <w:pPr>
        <w:rPr>
          <w:lang w:val="sr-Cyrl-CS" w:eastAsia="ja-JP"/>
        </w:rPr>
      </w:pPr>
      <w:r w:rsidRPr="006D0778">
        <w:rPr>
          <w:lang w:val="sr-Cyrl-CS" w:eastAsia="ja-JP"/>
        </w:rPr>
        <w:t xml:space="preserve">Интегрисани национални енергетски и климатски план Србије за период до 2030. године са пројекцијама до 2050. године усвојен је у јулу ове године чиме отпочиње нова етапа у развоју енергетског сектора Републике Србије, која треба да допринесе већој сигурности снабдевања, уз повећање учешћа чистих извора енергије и већу заштиту животне средине. Интегрисани национални енергетски и климатски план је кључни стратешки документ којим се дефинишу стратешки циљеви и динамика њиховог остваривања у процесу енергетске транзиције. Политике и мере за остваривање циљева овог плана груписане су у пет кључних димензија: декарбонизација, енергетска ефикасност, енергетска сигурност, унутрашње енергетско тржиште и истраживање, иновације и конкурентност. Следећи корак представља усвајање Стратегије развоја енергетике Републике Србије до 2040. године са пројекцијама до 2050. године. </w:t>
      </w:r>
      <w:r w:rsidRPr="006D0778">
        <w:rPr>
          <w:lang w:val="sr-Cyrl-CS" w:eastAsia="ja-JP"/>
        </w:rPr>
        <w:lastRenderedPageBreak/>
        <w:t xml:space="preserve">Енергетика Републике Србије налази се пред темељним структурним променама које су условљене како глобалним тако и националним околностима, односно економским, технолошким и еколошким променама и међународно и национално прихваћеним развојним циљевима. </w:t>
      </w:r>
    </w:p>
    <w:p w14:paraId="799796B4" w14:textId="77777777" w:rsidR="006D0778" w:rsidRPr="006D0778" w:rsidRDefault="006D0778" w:rsidP="002B77D1">
      <w:pPr>
        <w:rPr>
          <w:lang w:val="sr-Cyrl-RS" w:eastAsia="ja-JP"/>
        </w:rPr>
      </w:pPr>
      <w:r w:rsidRPr="006D0778">
        <w:rPr>
          <w:lang w:val="sr-Cyrl-CS" w:eastAsia="ja-JP"/>
        </w:rPr>
        <w:t>Повећања цена гаса током 2022. и 2023. године допринела су стабилизацији финансијске ситуације код ЈП „Србијагас”. Завршена је израда новог система цена за део корисника са нерегулисаним ценама који ће се примењивати почев од грејне сезоне 2024 – 2025. година. Смањење цена за привреду за око 15% је на снази од 1. маја ове године. Између осталог, нова методологија уводи нове типове уговора и већу маржу којом ће се обезбедити средства за будуће инвестиције. Очекује се да у наредном периоду неће бити потреба за буџетску подршку за потребе ликвидности за ове компаније. Следеће године очекује се усвајање измењеног и допуњеног плана приоритетних инвестиција у енергетици, којим ће бити дефинисане инвестиционе потребе у овој области за све пројекте вредности од преко 20 милиона евра, укључујући евалуацију пројеката, њихов допринос зеленој транзицији, изворе финансирања, процену интерне стопа приноса итд.</w:t>
      </w:r>
    </w:p>
    <w:p w14:paraId="477D5F64" w14:textId="77777777" w:rsidR="006D0778" w:rsidRPr="006D0778" w:rsidRDefault="006D0778" w:rsidP="002B77D1">
      <w:pPr>
        <w:rPr>
          <w:lang w:val="sr-Cyrl-CS" w:eastAsia="ja-JP"/>
        </w:rPr>
      </w:pPr>
      <w:r w:rsidRPr="006D0778">
        <w:rPr>
          <w:lang w:val="sr-Cyrl-CS" w:eastAsia="ja-JP"/>
        </w:rPr>
        <w:t>Влада је, уз подршку Европске банке за обнову и развој (у даљем тексту: ЕБРД), усвојила Стратегију државног власништва и управљања привредним субјектима који су у власништву Републике Србије за период од 2021. до 2027. године као јединствени акт који пружа стратешку визију и упутства у вези са циљевима власничког управљања, циљевима финансијских и јавних политика, као и принципима корпоративног управљања и надзора у складу са међународним стандардима и најбољом праксом. У априлу ове године усвојен је Акциони план за имплементацију ове стратегије. Закон о управљању привредним друштвима која су у власништву Републике Србије почео је да се примењује у септембру 2024. године, а ступио је на снагу у септембру 2023. године.</w:t>
      </w:r>
    </w:p>
    <w:p w14:paraId="2FC15DAA" w14:textId="77777777" w:rsidR="006D0778" w:rsidRPr="006D0778" w:rsidRDefault="006D0778" w:rsidP="002B77D1">
      <w:pPr>
        <w:rPr>
          <w:lang w:val="sr-Cyrl-RS" w:eastAsia="ja-JP"/>
        </w:rPr>
      </w:pPr>
      <w:r w:rsidRPr="006D0778">
        <w:rPr>
          <w:lang w:val="sr-Cyrl-CS" w:eastAsia="ja-JP"/>
        </w:rPr>
        <w:t>Наставља се стриктно ограничавање издавања државних гаранција за подршку ликвидности. У 2024. години осим једне нове државне гаранције за кредит ЕПС а.д. нису издаване државне гаранције за подршку ликвидности државним предузећима, нити за било које предузеће из портфолија бивше Агенције за приватизацију. Наставиће се са издавањем гаранција за пројектне зајмове које дају мултилатералне финансијске организације као подршку инвестиционој и реформској агенди.</w:t>
      </w:r>
    </w:p>
    <w:p w14:paraId="28331089" w14:textId="77777777" w:rsidR="006D0778" w:rsidRPr="006D0778" w:rsidRDefault="006D0778" w:rsidP="002B77D1">
      <w:pPr>
        <w:rPr>
          <w:lang w:val="sr-Cyrl-CS" w:eastAsia="ja-JP"/>
        </w:rPr>
      </w:pPr>
      <w:r w:rsidRPr="006D0778">
        <w:rPr>
          <w:lang w:val="sr-Cyrl-CS" w:eastAsia="ja-JP"/>
        </w:rPr>
        <w:t>За предузећа која чине стратешке компаније из портфолија бивше Агенције за приватизацију, решење се налази или кроз приватизационе тендере, или кроз стечај. У буџету су обезбеђена довољна средства за подршку ЈП ПЕУ „Ресавица” на транспарентан начин и обезбеђено је да у будућности не долази до даљег гомилања доцњи у плаћањима према ЕПС а.д. док пред самом компанијом стоји изазов проналажења решења за економски неодрживе руднике који су пред исцрпљењем преосталих резерви угља, као и план рационализације производње и пословања у деловима система у којима анализа покаже да могу да буду економски одрживи, уз наговештај приватизације неких њених делова. Уколико приватизација не буде прихватљива, компанијом ће се управљати у складу са новим Законом о управљању привредним друштвима која су у власништву Републике Србије.</w:t>
      </w:r>
    </w:p>
    <w:p w14:paraId="4A0E2013" w14:textId="77777777" w:rsidR="006D0778" w:rsidRPr="006D0778" w:rsidRDefault="006D0778" w:rsidP="002B77D1">
      <w:pPr>
        <w:rPr>
          <w:lang w:val="sr-Cyrl-RS" w:eastAsia="ja-JP"/>
        </w:rPr>
      </w:pPr>
      <w:r w:rsidRPr="006D0778">
        <w:rPr>
          <w:lang w:val="sr-Cyrl-CS" w:eastAsia="ja-JP"/>
        </w:rPr>
        <w:t xml:space="preserve">Побољшање управљања јавним финансијама је нужно, не само као подршка мерама фискалне стабилизације и структурним реформама, већ као процес који подиже квалитет државне управе и осигурава привлачан амбијент за инвеститоре. Нови Програм реформе управљања јавним финансијама за период од 2021–2025. године усвојен је у јуну 2021. године. </w:t>
      </w:r>
    </w:p>
    <w:p w14:paraId="1AF15D9C" w14:textId="77777777" w:rsidR="006D0778" w:rsidRPr="006D0778" w:rsidRDefault="006D0778" w:rsidP="002B77D1">
      <w:pPr>
        <w:rPr>
          <w:lang w:val="sr-Latn-RS" w:eastAsia="ja-JP"/>
        </w:rPr>
      </w:pPr>
      <w:r w:rsidRPr="006D0778">
        <w:rPr>
          <w:rFonts w:eastAsia="MS PGothic" w:cstheme="minorHAnsi"/>
          <w:szCs w:val="20"/>
          <w:lang w:eastAsia="ja-JP"/>
        </w:rPr>
        <w:lastRenderedPageBreak/>
        <w:t xml:space="preserve">С циљем унапређења система управљања јавним инвестицијама, а имајући нарочито у виду развојни план „Скок у будућност 2027ˮ, који обухвата преко 320 пројеката укупне вредности од 18 млрд евра, Министарство финансија је током 2023. године спровело процес доношења нове правне регулативе којом се на јединствен и свеобухватан начин уређује поступак дефинисања циљева, адекватне припреме и планирања средстава, објективне оцене, селекције и реализације капиталних пројеката, као и њихове накнадне евалуације, односно извештавања о учинку реализованог капиталног пројекта. Нова правна регулатива обухвата Уредбу о капиталним пројектима, као и четири правилника донета на основу предметне уредбе којима се ближе уређује примена њених одредби и тиме знатно олакшава спровођење пројектног циклуса за све актере. Ово је још један корак ближе ка циљу који је дефинисан као </w:t>
      </w:r>
      <w:r w:rsidRPr="006D0778">
        <w:rPr>
          <w:rFonts w:eastAsia="MS PGothic" w:cstheme="minorHAnsi"/>
          <w:i/>
          <w:szCs w:val="20"/>
          <w:lang w:eastAsia="ja-JP"/>
        </w:rPr>
        <w:t>single project pipeline</w:t>
      </w:r>
      <w:r w:rsidRPr="006D0778">
        <w:rPr>
          <w:rFonts w:eastAsia="MS PGothic" w:cstheme="minorHAnsi"/>
          <w:szCs w:val="20"/>
          <w:lang w:eastAsia="ja-JP"/>
        </w:rPr>
        <w:t>. Доношењу нове правне регулативе претходио је свеобухватан аналитички процес практичне примене дотадашњег правног оквира, с циљем отклањања уочених недостатака и нелогичности, али и имплементације нормативних решења која су у пракси остварила позитивну примену. Паралелно са радом на унапређењу правног оквира, одвијао се рад на надоградњи Централизоване базе капиталних пројеката (Public Investment Management Information System - у даљем тексту: PIMIS) која је прилагођена новом правном оквиру. Креиран је информациони систем који ће омогућити свеобухватно и транспарентно спровођење пројектног циклуса дефинисаног Уредбом о капиталним пројектима, а све с циљем делотворног и ефикасног управљања јавним средствима.</w:t>
      </w:r>
    </w:p>
    <w:p w14:paraId="38A0E1F2" w14:textId="77777777" w:rsidR="006D0778" w:rsidRPr="006D0778" w:rsidRDefault="006D0778" w:rsidP="002B77D1">
      <w:pPr>
        <w:rPr>
          <w:lang w:val="sr-Cyrl-RS" w:eastAsia="ja-JP"/>
        </w:rPr>
      </w:pPr>
      <w:r w:rsidRPr="006D0778">
        <w:rPr>
          <w:lang w:val="sr-Cyrl-RS" w:eastAsia="ja-JP"/>
        </w:rPr>
        <w:t>Јавно-приватна партнерства (</w:t>
      </w:r>
      <w:r w:rsidRPr="006D0778">
        <w:rPr>
          <w:i/>
          <w:lang w:val="sr-Cyrl-RS" w:eastAsia="ja-JP"/>
        </w:rPr>
        <w:t>Public-Private Partnerships</w:t>
      </w:r>
      <w:r w:rsidRPr="006D0778">
        <w:rPr>
          <w:lang w:val="sr-Cyrl-RS" w:eastAsia="ja-JP"/>
        </w:rPr>
        <w:t xml:space="preserve"> – PPP), као специфичан вид сарадње државе и приватног сектора захтевају посебну пажњу и опрез, стога ће Министарство финансија и даље пратити пројекте од посебног значаја током њихове имплементације и о томе обавештавати Владу.</w:t>
      </w:r>
      <w:bookmarkStart w:id="17" w:name="_Toc91769803"/>
    </w:p>
    <w:p w14:paraId="0F08C434" w14:textId="77777777" w:rsidR="006D0778" w:rsidRPr="006D0778" w:rsidRDefault="006D0778" w:rsidP="002B77D1">
      <w:pPr>
        <w:rPr>
          <w:lang w:val="sr-Cyrl-RS" w:eastAsia="ja-JP"/>
        </w:rPr>
      </w:pPr>
      <w:r w:rsidRPr="006D0778">
        <w:rPr>
          <w:lang w:val="sr-Cyrl-CS" w:eastAsia="ja-JP"/>
        </w:rPr>
        <w:t xml:space="preserve">Успешно се спроводи нови Акциони план трансформације Пореске управе за период 2021–2025. године, који је усвојен у мају 2021. године и који дефинише стратешке смернице и временске рокове у којим ће бити спроведене активности потребне за стварање модерне пореске администрације, која ће, уз коришћење савремених електронских процеса, пружити бољу и свеобухватнију услугу пореским обвезницима и бољу контролу и наплату прихода, односно поспешити борбу против сиве економије, заједно са реформом и модернизацијом инспекцијског надзора. У мају 2022. године уведен је нови модел фискализације (е-фискализација), на основу којег је извршен први круг ревизија. Нови систем је допринео смањењу неусклађености код пореских обвезника и мањем броју негативних мишљења ревизије. Систем за електронску размену фактура (е-фактура) је био следећи корак који је имплементиран почетком 2023. године. Поново је покренут тендер за набавку новог информационог система уз подршку Светске Банке, циљ је да се одмах по имплементацији побољша ефикасност нарочито у области управљања људским ресурсима и обради података и документације. Континуално се ради на праћењу и анализи ПДВ јаза и јаза пореза на добит, где се тренутно врши анализа недостатака у подацима и прилагођавање аналитичких алата. Прелиминарни резултати сугеришу да је ПДВ јаз знатно смањен у односу на 2018. годину. Пореска управа ће бар једном годишње објављивати листу највећих пореских дужника чији дуг превазилази 20 милиона динара. Усвајањем Закона о утврђивању порекла имовине и посебном порезу и образовањем посебне организационе јединице Пореске управе, створили су се услови за унакрсну анализу имовине и прихода лица, а први случајеви ревизије су завршени ове године. Развој нове стратегије људских ресурса за Пореску управу и убрзање процедура запошљавања остају приоритет како би се осигурао адекватан број запослених. Број запослених у Пореској управи је значајно опао током последњих година. Са предстојећим таласом пензионисања великог броја </w:t>
      </w:r>
      <w:r w:rsidRPr="006D0778">
        <w:rPr>
          <w:lang w:val="sr-Cyrl-CS" w:eastAsia="ja-JP"/>
        </w:rPr>
        <w:lastRenderedPageBreak/>
        <w:t>запослених и узимајући у обзир план трансформације која подразумева прелазак на рад са вишим квалификацијама, императив је да се на време запосли адекватан број висококвалификованог особља, што подразумева и адекватне зараде. С тим у вези, од јануара 2025. године покреће се велика кампања запошљавања у Пореској управи, што ће бити потпомогнуто и значајним изменама у систематизацији радних места, олакшаним поступком запошљавања.</w:t>
      </w:r>
    </w:p>
    <w:p w14:paraId="78CBC034" w14:textId="77777777" w:rsidR="000E5C13" w:rsidRDefault="000E5C13" w:rsidP="006D0778">
      <w:pPr>
        <w:keepNext/>
        <w:keepLines/>
        <w:spacing w:before="120" w:line="259" w:lineRule="auto"/>
        <w:jc w:val="left"/>
        <w:outlineLvl w:val="1"/>
        <w:rPr>
          <w:rFonts w:eastAsia="Calibri" w:cs="Times New Roman"/>
          <w:szCs w:val="28"/>
          <w:lang w:val="sr-Cyrl-RS"/>
        </w:rPr>
      </w:pPr>
    </w:p>
    <w:p w14:paraId="5E5BB6B6" w14:textId="2F80BC7C" w:rsidR="006D0778" w:rsidRPr="006D0778" w:rsidRDefault="006D0778" w:rsidP="006D0778">
      <w:pPr>
        <w:keepNext/>
        <w:keepLines/>
        <w:spacing w:before="120" w:line="259" w:lineRule="auto"/>
        <w:jc w:val="left"/>
        <w:outlineLvl w:val="1"/>
        <w:rPr>
          <w:rFonts w:eastAsia="Calibri" w:cs="Times New Roman"/>
          <w:szCs w:val="28"/>
          <w:lang w:val="sr-Cyrl-RS"/>
        </w:rPr>
      </w:pPr>
      <w:bookmarkStart w:id="18" w:name="_GoBack"/>
      <w:bookmarkEnd w:id="18"/>
      <w:r w:rsidRPr="006D0778">
        <w:rPr>
          <w:rFonts w:eastAsia="Calibri" w:cs="Times New Roman"/>
          <w:szCs w:val="28"/>
          <w:lang w:val="sr-Cyrl-RS"/>
        </w:rPr>
        <w:t>8. ФИСКАЛНО УПРАВЉАЊЕ И БУЏЕТСКИ ОКВИРИ</w:t>
      </w:r>
      <w:bookmarkEnd w:id="17"/>
    </w:p>
    <w:p w14:paraId="7F7D4A51" w14:textId="77777777" w:rsidR="006D0778" w:rsidRPr="006D0778" w:rsidRDefault="006D0778" w:rsidP="002B77D1">
      <w:pPr>
        <w:rPr>
          <w:lang w:val="sr-Cyrl-RS" w:eastAsia="ja-JP"/>
        </w:rPr>
      </w:pPr>
      <w:r w:rsidRPr="006D0778">
        <w:rPr>
          <w:lang w:val="sr-Cyrl-RS" w:eastAsia="ja-JP"/>
        </w:rPr>
        <w:t>Како би се обезбедила стабилност и одрживост јавних финансија на дужи рок потребно је имати функционалан систем фискалних правила. Фискална правила по први пут су уведена Законом о буџетском систему 2010. године. Република Србија је била једна од првих земаља која је законом утврдила национална фискална правила и оформила независну институцију Фискални савет који оцењује Владину економску и фискалну политику, као и поштовање правила. Како су правила постала важећа у току светске економске кризе, нумеричко правило за дуг прекршено је већ у првој години примене. У међувремену фискална правила уводило је све више земаља, поред националних фискалних правила земље чланице ЕУ примењују и правила дефинисана на нивоу ЕУ и ЕМУ. Европска фискална правила су у неколико наврата мењана и редефинисана имајући у виду примену и ефекте до којих је примена правила доводила. Имајући у виду да је од увођења фискалних правила у Републици Србији протекло дванаест година, створили су се услови за њихову измену, узимајући у обзир искуства других земаља, праваца у којима су се мењала фискална правила ЕУ, последице и реаговања фискалне политике на велику економску кризу из 2008. године, али и искуство последње, пре свега здравствене, али и економске кризе коју је изазвала пандемија коронавируса, а након тога и криза изазвана конфликтом у Украјини.</w:t>
      </w:r>
    </w:p>
    <w:p w14:paraId="0498FC57" w14:textId="0FB4272D" w:rsidR="006D0778" w:rsidRPr="006D0778" w:rsidRDefault="006D0778" w:rsidP="002B77D1">
      <w:pPr>
        <w:rPr>
          <w:lang w:val="sr-Cyrl-RS" w:eastAsia="ja-JP"/>
        </w:rPr>
      </w:pPr>
      <w:r w:rsidRPr="006D0778">
        <w:rPr>
          <w:lang w:val="sr-Cyrl-RS" w:eastAsia="ja-JP"/>
        </w:rPr>
        <w:t xml:space="preserve">Нови сет фискалних правила саставни је део Закона о изменама и допунама Закона о буџетском систему, усвојеног у децембру 2022. године. </w:t>
      </w:r>
      <w:r w:rsidRPr="006D0778">
        <w:rPr>
          <w:lang w:eastAsia="ja-JP"/>
        </w:rPr>
        <w:t xml:space="preserve">Компонента ограничења дефицита у односу на висину јавног дуга одложена је до 2029. године, а у међувремену ће се примењивати циљеви утврђени </w:t>
      </w:r>
      <w:r w:rsidRPr="006D0778">
        <w:rPr>
          <w:lang w:val="sr-Cyrl-RS" w:eastAsia="ja-JP"/>
        </w:rPr>
        <w:t xml:space="preserve">Ревидираном </w:t>
      </w:r>
      <w:r w:rsidRPr="006D0778">
        <w:rPr>
          <w:lang w:eastAsia="ja-JP"/>
        </w:rPr>
        <w:t>Фискалном стратегијом</w:t>
      </w:r>
      <w:r w:rsidRPr="006D0778">
        <w:rPr>
          <w:lang w:val="sr-Cyrl-RS" w:eastAsia="ja-JP"/>
        </w:rPr>
        <w:t xml:space="preserve"> за 2025. годину са пројекцијама за 2026. и 2027. годину</w:t>
      </w:r>
      <w:r w:rsidRPr="006D0778">
        <w:rPr>
          <w:lang w:eastAsia="ja-JP"/>
        </w:rPr>
        <w:t>.</w:t>
      </w:r>
      <w:r w:rsidR="00CF6476">
        <w:rPr>
          <w:lang w:eastAsia="ja-JP"/>
        </w:rPr>
        <w:t xml:space="preserve"> </w:t>
      </w:r>
      <w:r w:rsidRPr="006D0778">
        <w:rPr>
          <w:lang w:eastAsia="ja-JP"/>
        </w:rPr>
        <w:t>Ово је нужно услед новог инвестиционог циклуса у наредном средњорочном периоду (програм „Скок у будућност – Србија 2027”), којим су предвиђена значајна нова улагања у саобраћајну инфраструктуру, рударство, енергетику, пољопривреду, здравство, образовање, културу, заштиту животне средине, регионални развој, безбедност итд. Програмом ће се спровести свеобухватна модернизација државе и повећати животни стандард грађана, истовремено обезбеђујући више стопе раста БДП. Средњорочним планом је предвиђено да дефицити сектора државе износе 3% БДП, што обезбеђује да јавни дуг остане на силазној путањи (са 47,9% БДП колико је предвиђено на крају ове године на 46,5% БДП на крају 2027. године) и далеко испод границе од 60% БДП (укључујући обавезе по основу реституције), колико је одређено фискалним правилом. Посебна фискална правила којима се уређује раст плата у сектору државе и пензија на снази су од 2023. године и у складу с тим су планирана повећања плата и пензија у буџету за 2025. годину. С обзиром да се фискална правила односе на сектор државе, било је потребно уредити и поступак и динам</w:t>
      </w:r>
      <w:r w:rsidR="002B77D1">
        <w:rPr>
          <w:lang w:eastAsia="ja-JP"/>
        </w:rPr>
        <w:t>ику укључивања нових ентитета у</w:t>
      </w:r>
      <w:r w:rsidRPr="006D0778">
        <w:rPr>
          <w:lang w:eastAsia="ja-JP"/>
        </w:rPr>
        <w:t xml:space="preserve"> обухват сектора државе, у складу с посебном методологијом секторске класификације, коју је утврдио РЗС, у складу са споразумом између РЗС, НБС </w:t>
      </w:r>
      <w:r w:rsidR="002B77D1" w:rsidRPr="006D0778">
        <w:rPr>
          <w:lang w:eastAsia="ja-JP"/>
        </w:rPr>
        <w:t>и Министарства</w:t>
      </w:r>
      <w:r w:rsidRPr="006D0778">
        <w:rPr>
          <w:lang w:eastAsia="ja-JP"/>
        </w:rPr>
        <w:t xml:space="preserve"> финансија. Такође, фискална правила за локалну власт настављају да се примењују на исти начин како је то дефинисано 2010. године, кад су фискална правила у Републици Србији први пут уведена.</w:t>
      </w:r>
    </w:p>
    <w:p w14:paraId="7C155345" w14:textId="77777777" w:rsidR="006D0778" w:rsidRPr="006D0778" w:rsidRDefault="006D0778" w:rsidP="002B77D1">
      <w:pPr>
        <w:rPr>
          <w:lang w:val="sr-Cyrl-RS" w:eastAsia="ja-JP"/>
        </w:rPr>
      </w:pPr>
      <w:r w:rsidRPr="006D0778">
        <w:rPr>
          <w:lang w:val="sr-Cyrl-CS" w:eastAsia="ja-JP"/>
        </w:rPr>
        <w:lastRenderedPageBreak/>
        <w:t>Процес јачања значаја средњорочног буџетског оквира се наставља у складу са Акционим планом за унапређење средњорочног буџетског оквира, усвојеним у септембру 2023. године. Циљ овога је да се средњорочно буџетирање учини ефективнијим и више обавезујућим и да се повећа буџетска транспарентност. За буџетски циклус за 2025. годину од великог значаја су били средњорочни лимити постављени приликом претходног буџетског циклуса, који су служили као полазна тачка у разговорима са ресорним министарствима, а и сама министарства су све боље упозната са оваквим приступом буџетирању, што побољшава квалитет њихових процена и пројекција, а самим тим и укупног буџетског процеса. Једна од новости је и увођење тзв. зеленог буџетирања, методологија зеленог буџетирања је по први пут уведена за републички буџет у буџетском циклусу за следећу годину.</w:t>
      </w:r>
    </w:p>
    <w:p w14:paraId="59286AB6" w14:textId="77777777" w:rsidR="006D0778" w:rsidRPr="006D0778" w:rsidRDefault="006D0778" w:rsidP="002B77D1">
      <w:pPr>
        <w:rPr>
          <w:lang w:val="sr-Latn-RS" w:eastAsia="ja-JP"/>
        </w:rPr>
      </w:pPr>
      <w:r w:rsidRPr="006D0778">
        <w:rPr>
          <w:lang w:eastAsia="ja-JP"/>
        </w:rPr>
        <w:t>Побољшање квалитета и транспарентности статистике државних финансија</w:t>
      </w:r>
      <w:r w:rsidRPr="006D0778">
        <w:rPr>
          <w:b/>
          <w:bCs/>
          <w:lang w:eastAsia="ja-JP"/>
        </w:rPr>
        <w:t xml:space="preserve"> </w:t>
      </w:r>
      <w:r w:rsidRPr="006D0778">
        <w:rPr>
          <w:lang w:eastAsia="ja-JP"/>
        </w:rPr>
        <w:t>врши се кроз унапређење свеобухватне, правовремене и аутоматске размене података између надлежних институција – Републичког завода за статистику, Народне банке Србије и Министарства финансија, у складу са Споразумом о сарадњи у области статистике националних рачуна сектора државе и с њом повезаних статистика. У априлу 2018. године Републички завод за статистику је објавио листу институција које чине сектор државе, као и остале секторе, у складу са Европским системом националних и регионалних рачуна (ESA 2010), Системом националних рачуна (SNA 2008) и Приручником о дефициту и дугу сектора државе, која је урађена у сарадњи са Народном банком Србије и Министарством финансија. Управа за јавни дуг од средине 2021. тромесечно објављује податке о мастришком дугу, који израђује Народна банка Србије у складу са ESA 2010</w:t>
      </w:r>
      <w:r w:rsidRPr="006D0778">
        <w:rPr>
          <w:b/>
          <w:bCs/>
          <w:lang w:eastAsia="ja-JP"/>
        </w:rPr>
        <w:t>.</w:t>
      </w:r>
      <w:r w:rsidRPr="006D0778">
        <w:rPr>
          <w:lang w:eastAsia="ja-JP"/>
        </w:rPr>
        <w:t xml:space="preserve"> У току је пројекат у сарадњи са ММФ који има за циљ да се у оквиру Управе за трезор, као централног информационог система и свеобухватне базе података изгради систем који ће омогућити прикупљање и консолидацију података за сектор државе како по националној методологији тако и по методологији GFSM 2014, укључујући и месечно извештавање о јавном дугу, кроз постепено увођење институција у његов обухват.</w:t>
      </w:r>
    </w:p>
    <w:p w14:paraId="42891AF1" w14:textId="77777777" w:rsidR="006D0778" w:rsidRPr="00652D12" w:rsidRDefault="006D0778" w:rsidP="002B77D1">
      <w:pPr>
        <w:rPr>
          <w:lang w:val="sr-Cyrl-RS" w:eastAsia="ja-JP"/>
        </w:rPr>
      </w:pPr>
    </w:p>
    <w:sectPr w:rsidR="006D0778" w:rsidRPr="00652D12" w:rsidSect="00C810F8">
      <w:footerReference w:type="default" r:id="rId26"/>
      <w:type w:val="continuous"/>
      <w:pgSz w:w="11906" w:h="16838" w:code="9"/>
      <w:pgMar w:top="1440" w:right="1440" w:bottom="1440" w:left="1440" w:header="720" w:footer="720" w:gutter="0"/>
      <w:cols w:space="720"/>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63E51988" w16cid:durableId="43D3EB00"/>
  <w16cid:commentId w16cid:paraId="74A1BD7F" w16cid:durableId="6CBBFF45"/>
  <w16cid:commentId w16cid:paraId="602701EB" w16cid:durableId="7B093AC8"/>
  <w16cid:commentId w16cid:paraId="32F83637" w16cid:durableId="03A50CDA"/>
  <w16cid:commentId w16cid:paraId="360775DA" w16cid:durableId="1A2F5E0D"/>
  <w16cid:commentId w16cid:paraId="4F01DE8A" w16cid:durableId="096421D2"/>
</w16cid:commentsIds>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4C24F8B" w14:textId="77777777" w:rsidR="00C4250D" w:rsidRDefault="00C4250D" w:rsidP="00797049">
      <w:pPr>
        <w:spacing w:after="0"/>
      </w:pPr>
      <w:r>
        <w:separator/>
      </w:r>
    </w:p>
  </w:endnote>
  <w:endnote w:type="continuationSeparator" w:id="0">
    <w:p w14:paraId="7C683FBB" w14:textId="77777777" w:rsidR="00C4250D" w:rsidRDefault="00C4250D" w:rsidP="00797049">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Yu Gothic UI"/>
    <w:panose1 w:val="02020609040205080304"/>
    <w:charset w:val="80"/>
    <w:family w:val="modern"/>
    <w:pitch w:val="fixed"/>
    <w:sig w:usb0="E00002FF" w:usb1="6AC7FDFB" w:usb2="08000012" w:usb3="00000000" w:csb0="0002009F" w:csb1="00000000"/>
  </w:font>
  <w:font w:name="Cambria Math">
    <w:panose1 w:val="02040503050406030204"/>
    <w:charset w:val="00"/>
    <w:family w:val="roman"/>
    <w:pitch w:val="variable"/>
    <w:sig w:usb0="E00006FF" w:usb1="420024FF" w:usb2="02000000" w:usb3="00000000" w:csb0="0000019F" w:csb1="00000000"/>
  </w:font>
  <w:font w:name="Constantia">
    <w:panose1 w:val="02030602050306030303"/>
    <w:charset w:val="00"/>
    <w:family w:val="roman"/>
    <w:pitch w:val="variable"/>
    <w:sig w:usb0="A00002EF" w:usb1="4000204B" w:usb2="00000000" w:usb3="00000000" w:csb0="0000019F" w:csb1="00000000"/>
  </w:font>
  <w:font w:name="Verdana">
    <w:panose1 w:val="020B0604030504040204"/>
    <w:charset w:val="00"/>
    <w:family w:val="swiss"/>
    <w:pitch w:val="variable"/>
    <w:sig w:usb0="A00006FF" w:usb1="4000205B" w:usb2="00000010" w:usb3="00000000" w:csb0="0000019F" w:csb1="00000000"/>
  </w:font>
  <w:font w:name="Comic Sans MS">
    <w:panose1 w:val="030F0702030302020204"/>
    <w:charset w:val="00"/>
    <w:family w:val="script"/>
    <w:pitch w:val="variable"/>
    <w:sig w:usb0="00000287" w:usb1="00000013"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 w:name="Consolas">
    <w:panose1 w:val="020B0609020204030204"/>
    <w:charset w:val="00"/>
    <w:family w:val="modern"/>
    <w:pitch w:val="fixed"/>
    <w:sig w:usb0="E00006FF" w:usb1="0000FCFF" w:usb2="00000001" w:usb3="00000000" w:csb0="0000019F" w:csb1="00000000"/>
  </w:font>
  <w:font w:name="Franklin Gothic Medium">
    <w:panose1 w:val="020B0603020102020204"/>
    <w:charset w:val="00"/>
    <w:family w:val="swiss"/>
    <w:pitch w:val="variable"/>
    <w:sig w:usb0="00000287" w:usb1="00000000" w:usb2="00000000" w:usb3="00000000" w:csb0="0000009F" w:csb1="00000000"/>
  </w:font>
  <w:font w:name="Tunga">
    <w:panose1 w:val="00000400000000000000"/>
    <w:charset w:val="01"/>
    <w:family w:val="roman"/>
    <w:notTrueType/>
    <w:pitch w:val="variable"/>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cs="Times New Roman"/>
      </w:rPr>
      <w:id w:val="1119728229"/>
      <w:docPartObj>
        <w:docPartGallery w:val="Page Numbers (Bottom of Page)"/>
        <w:docPartUnique/>
      </w:docPartObj>
    </w:sdtPr>
    <w:sdtEndPr>
      <w:rPr>
        <w:noProof/>
      </w:rPr>
    </w:sdtEndPr>
    <w:sdtContent>
      <w:sdt>
        <w:sdtPr>
          <w:rPr>
            <w:rFonts w:cs="Times New Roman"/>
          </w:rPr>
          <w:id w:val="685183512"/>
          <w:docPartObj>
            <w:docPartGallery w:val="Page Numbers (Bottom of Page)"/>
            <w:docPartUnique/>
          </w:docPartObj>
        </w:sdtPr>
        <w:sdtEndPr>
          <w:rPr>
            <w:noProof/>
            <w:sz w:val="20"/>
          </w:rPr>
        </w:sdtEndPr>
        <w:sdtContent>
          <w:p w14:paraId="43E9E2C6" w14:textId="724D4193" w:rsidR="004C27FC" w:rsidRPr="00B06AA2" w:rsidRDefault="004C27FC" w:rsidP="00B06AA2">
            <w:pPr>
              <w:pStyle w:val="Footer"/>
              <w:rPr>
                <w:rFonts w:cs="Times New Roman"/>
                <w:noProof/>
                <w:sz w:val="20"/>
              </w:rPr>
            </w:pPr>
            <w:r w:rsidRPr="00446676">
              <w:rPr>
                <w:rFonts w:cs="Times New Roman"/>
                <w:sz w:val="20"/>
              </w:rPr>
              <w:fldChar w:fldCharType="begin"/>
            </w:r>
            <w:r w:rsidRPr="00446676">
              <w:rPr>
                <w:rFonts w:cs="Times New Roman"/>
                <w:sz w:val="20"/>
              </w:rPr>
              <w:instrText xml:space="preserve"> PAGE   \* MERGEFORMAT </w:instrText>
            </w:r>
            <w:r w:rsidRPr="00446676">
              <w:rPr>
                <w:rFonts w:cs="Times New Roman"/>
                <w:sz w:val="20"/>
              </w:rPr>
              <w:fldChar w:fldCharType="separate"/>
            </w:r>
            <w:r w:rsidR="000E5C13">
              <w:rPr>
                <w:rFonts w:cs="Times New Roman"/>
                <w:noProof/>
                <w:sz w:val="20"/>
              </w:rPr>
              <w:t>65</w:t>
            </w:r>
            <w:r w:rsidRPr="00446676">
              <w:rPr>
                <w:rFonts w:cs="Times New Roman"/>
                <w:noProof/>
                <w:sz w:val="20"/>
              </w:rPr>
              <w:fldChar w:fldCharType="end"/>
            </w:r>
          </w:p>
        </w:sdtContent>
      </w:sdt>
    </w:sdtContent>
  </w:sdt>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D7CB7B6" w14:textId="77777777" w:rsidR="00C4250D" w:rsidRDefault="00C4250D" w:rsidP="00797049">
      <w:pPr>
        <w:spacing w:after="0"/>
      </w:pPr>
      <w:r>
        <w:separator/>
      </w:r>
    </w:p>
  </w:footnote>
  <w:footnote w:type="continuationSeparator" w:id="0">
    <w:p w14:paraId="2B5DB49E" w14:textId="77777777" w:rsidR="00C4250D" w:rsidRDefault="00C4250D" w:rsidP="00797049">
      <w:pPr>
        <w:spacing w:after="0"/>
      </w:pPr>
      <w:r>
        <w:continuationSeparator/>
      </w:r>
    </w:p>
  </w:footnote>
  <w:footnote w:id="1">
    <w:p w14:paraId="2B1AB215" w14:textId="77777777" w:rsidR="004C27FC" w:rsidRPr="002D6721" w:rsidRDefault="004C27FC" w:rsidP="001D58B7">
      <w:pPr>
        <w:pStyle w:val="FootnoteText"/>
        <w:rPr>
          <w:rFonts w:ascii="Times New Roman" w:hAnsi="Times New Roman"/>
          <w:sz w:val="16"/>
          <w:szCs w:val="16"/>
          <w:lang w:val="sr-Latn-RS"/>
        </w:rPr>
      </w:pPr>
      <w:r w:rsidRPr="002D6721">
        <w:rPr>
          <w:rStyle w:val="FootnoteReference"/>
          <w:rFonts w:ascii="Times New Roman" w:hAnsi="Times New Roman"/>
          <w:sz w:val="16"/>
          <w:szCs w:val="16"/>
        </w:rPr>
        <w:footnoteRef/>
      </w:r>
      <w:r w:rsidRPr="002D6721">
        <w:rPr>
          <w:rFonts w:ascii="Times New Roman" w:hAnsi="Times New Roman"/>
          <w:sz w:val="16"/>
          <w:szCs w:val="16"/>
        </w:rPr>
        <w:t xml:space="preserve"> </w:t>
      </w:r>
      <w:r w:rsidRPr="002D6721">
        <w:rPr>
          <w:rFonts w:ascii="Times New Roman" w:hAnsi="Times New Roman"/>
          <w:sz w:val="16"/>
          <w:szCs w:val="16"/>
          <w:lang w:val="sr-Cyrl-RS"/>
        </w:rPr>
        <w:t>Подаци о укупном извозу и увозу робе дати су према методологији платног биланса, док су детаљни подаци (по различитим класификацијама) дати према методологији спољне трговине.</w:t>
      </w:r>
    </w:p>
  </w:footnote>
  <w:footnote w:id="2">
    <w:p w14:paraId="3A2E9B3B" w14:textId="77777777" w:rsidR="004C27FC" w:rsidRPr="002D6721" w:rsidRDefault="004C27FC" w:rsidP="001D58B7">
      <w:pPr>
        <w:pStyle w:val="FootnoteText"/>
        <w:rPr>
          <w:rFonts w:ascii="Times New Roman" w:hAnsi="Times New Roman"/>
          <w:sz w:val="16"/>
          <w:szCs w:val="16"/>
        </w:rPr>
      </w:pPr>
      <w:r w:rsidRPr="002D6721">
        <w:rPr>
          <w:rStyle w:val="FootnoteReference"/>
          <w:rFonts w:ascii="Times New Roman" w:hAnsi="Times New Roman"/>
          <w:sz w:val="16"/>
          <w:szCs w:val="16"/>
        </w:rPr>
        <w:footnoteRef/>
      </w:r>
      <w:r w:rsidRPr="002D6721">
        <w:rPr>
          <w:rFonts w:ascii="Times New Roman" w:hAnsi="Times New Roman"/>
          <w:sz w:val="16"/>
          <w:szCs w:val="16"/>
        </w:rPr>
        <w:t xml:space="preserve"> </w:t>
      </w:r>
      <w:r w:rsidRPr="002D6721">
        <w:rPr>
          <w:rFonts w:ascii="Times New Roman" w:hAnsi="Times New Roman"/>
          <w:sz w:val="16"/>
          <w:szCs w:val="16"/>
          <w:lang w:val="sr-Cyrl-RS"/>
        </w:rPr>
        <w:t>Са стањем у јуну</w:t>
      </w:r>
      <w:r w:rsidRPr="002D6721">
        <w:rPr>
          <w:rFonts w:ascii="Times New Roman" w:hAnsi="Times New Roman"/>
          <w:sz w:val="16"/>
          <w:szCs w:val="16"/>
        </w:rPr>
        <w:t xml:space="preserve"> 20</w:t>
      </w:r>
      <w:r w:rsidRPr="002D6721">
        <w:rPr>
          <w:rFonts w:ascii="Times New Roman" w:hAnsi="Times New Roman"/>
          <w:sz w:val="16"/>
          <w:szCs w:val="16"/>
          <w:lang w:val="sr-Cyrl-RS"/>
        </w:rPr>
        <w:t>2</w:t>
      </w:r>
      <w:r>
        <w:rPr>
          <w:rFonts w:ascii="Times New Roman" w:hAnsi="Times New Roman"/>
          <w:sz w:val="16"/>
          <w:szCs w:val="16"/>
          <w:lang w:val="sr-Cyrl-RS"/>
        </w:rPr>
        <w:t>4</w:t>
      </w:r>
      <w:r w:rsidRPr="002D6721">
        <w:rPr>
          <w:rFonts w:ascii="Times New Roman" w:hAnsi="Times New Roman"/>
          <w:sz w:val="16"/>
          <w:szCs w:val="16"/>
        </w:rPr>
        <w:t>.</w:t>
      </w:r>
    </w:p>
  </w:footnote>
  <w:footnote w:id="3">
    <w:p w14:paraId="29060AD7" w14:textId="77777777" w:rsidR="004C27FC" w:rsidRPr="000F15A2" w:rsidRDefault="004C27FC" w:rsidP="001D58B7">
      <w:pPr>
        <w:pStyle w:val="FootnoteText"/>
        <w:rPr>
          <w:rFonts w:ascii="Times New Roman" w:hAnsi="Times New Roman"/>
          <w:sz w:val="16"/>
          <w:szCs w:val="16"/>
          <w:lang w:val="sr-Cyrl-RS"/>
        </w:rPr>
      </w:pPr>
      <w:r w:rsidRPr="000F15A2">
        <w:rPr>
          <w:rStyle w:val="FootnoteReference"/>
          <w:rFonts w:ascii="Times New Roman" w:hAnsi="Times New Roman"/>
          <w:sz w:val="16"/>
          <w:szCs w:val="16"/>
        </w:rPr>
        <w:footnoteRef/>
      </w:r>
      <w:r w:rsidRPr="000F15A2">
        <w:rPr>
          <w:rFonts w:ascii="Times New Roman" w:hAnsi="Times New Roman"/>
          <w:sz w:val="16"/>
          <w:szCs w:val="16"/>
        </w:rPr>
        <w:t xml:space="preserve"> Тај праг се даље смањује на 64% у 2026. и 57% у 2027.</w:t>
      </w:r>
    </w:p>
  </w:footnote>
  <w:footnote w:id="4">
    <w:p w14:paraId="67DA9CDD" w14:textId="77777777" w:rsidR="004C27FC" w:rsidRPr="002D6721" w:rsidRDefault="004C27FC" w:rsidP="001D58B7">
      <w:pPr>
        <w:pStyle w:val="FootnoteText"/>
        <w:rPr>
          <w:rFonts w:ascii="Times New Roman" w:hAnsi="Times New Roman"/>
          <w:sz w:val="16"/>
          <w:szCs w:val="16"/>
          <w:lang w:val="sr-Cyrl-RS"/>
        </w:rPr>
      </w:pPr>
      <w:r w:rsidRPr="002D6721">
        <w:rPr>
          <w:rStyle w:val="FootnoteReference"/>
          <w:rFonts w:ascii="Times New Roman" w:hAnsi="Times New Roman"/>
          <w:sz w:val="16"/>
          <w:szCs w:val="16"/>
        </w:rPr>
        <w:footnoteRef/>
      </w:r>
      <w:r w:rsidRPr="002D6721">
        <w:rPr>
          <w:rFonts w:ascii="Times New Roman" w:hAnsi="Times New Roman"/>
          <w:sz w:val="16"/>
          <w:szCs w:val="16"/>
        </w:rPr>
        <w:t xml:space="preserve"> </w:t>
      </w:r>
      <w:r>
        <w:rPr>
          <w:rFonts w:ascii="Times New Roman" w:hAnsi="Times New Roman"/>
          <w:sz w:val="16"/>
          <w:szCs w:val="16"/>
          <w:lang w:val="sr-Cyrl-RS"/>
        </w:rPr>
        <w:t xml:space="preserve">Ако се уључе нерезиденти динарска штедња је у септембру износила 174,0 млрд динара, а према </w:t>
      </w:r>
      <w:r w:rsidRPr="002D6721">
        <w:rPr>
          <w:rFonts w:ascii="Times New Roman" w:hAnsi="Times New Roman"/>
          <w:sz w:val="16"/>
          <w:szCs w:val="16"/>
          <w:lang w:val="sr-Cyrl-RS"/>
        </w:rPr>
        <w:t xml:space="preserve">прелиминарним подацима, у </w:t>
      </w:r>
      <w:r w:rsidRPr="00B307A9">
        <w:rPr>
          <w:rFonts w:ascii="Times New Roman" w:hAnsi="Times New Roman"/>
          <w:sz w:val="16"/>
          <w:szCs w:val="16"/>
          <w:lang w:val="sr-Cyrl-RS"/>
        </w:rPr>
        <w:t xml:space="preserve">октобру је </w:t>
      </w:r>
      <w:r w:rsidRPr="00B307A9">
        <w:rPr>
          <w:rFonts w:ascii="Times New Roman" w:hAnsi="Times New Roman"/>
          <w:sz w:val="16"/>
          <w:szCs w:val="16"/>
        </w:rPr>
        <w:t xml:space="preserve">износила рекордних </w:t>
      </w:r>
      <w:r w:rsidRPr="00B307A9">
        <w:rPr>
          <w:rFonts w:ascii="Times New Roman" w:hAnsi="Times New Roman"/>
          <w:sz w:val="16"/>
          <w:szCs w:val="16"/>
          <w:lang w:val="sr-Cyrl-RS"/>
        </w:rPr>
        <w:t>175</w:t>
      </w:r>
      <w:r w:rsidRPr="00B307A9">
        <w:rPr>
          <w:rFonts w:ascii="Times New Roman" w:hAnsi="Times New Roman"/>
          <w:sz w:val="16"/>
          <w:szCs w:val="16"/>
        </w:rPr>
        <w:t>,6 млрд динара</w:t>
      </w:r>
      <w:r w:rsidRPr="002D6721">
        <w:rPr>
          <w:rFonts w:ascii="Times New Roman" w:hAnsi="Times New Roman"/>
          <w:sz w:val="16"/>
          <w:szCs w:val="16"/>
          <w:lang w:val="sr-Cyrl-RS"/>
        </w:rPr>
        <w:t xml:space="preserve"> </w:t>
      </w:r>
      <w:r>
        <w:rPr>
          <w:rFonts w:ascii="Times New Roman" w:hAnsi="Times New Roman"/>
          <w:sz w:val="16"/>
          <w:szCs w:val="16"/>
          <w:lang w:val="sr-Cyrl-RS"/>
        </w:rPr>
        <w:t>што одговара</w:t>
      </w:r>
      <w:r w:rsidRPr="002D6721">
        <w:rPr>
          <w:rFonts w:ascii="Times New Roman" w:hAnsi="Times New Roman"/>
          <w:sz w:val="16"/>
          <w:szCs w:val="16"/>
        </w:rPr>
        <w:t xml:space="preserve"> противвредности од </w:t>
      </w:r>
      <w:r>
        <w:rPr>
          <w:rFonts w:ascii="Times New Roman" w:hAnsi="Times New Roman"/>
          <w:sz w:val="16"/>
          <w:szCs w:val="16"/>
          <w:lang w:val="sr-Cyrl-RS"/>
        </w:rPr>
        <w:t>1,5 млрд</w:t>
      </w:r>
      <w:r w:rsidRPr="002D6721">
        <w:rPr>
          <w:rFonts w:ascii="Times New Roman" w:hAnsi="Times New Roman"/>
          <w:sz w:val="16"/>
          <w:szCs w:val="16"/>
        </w:rPr>
        <w:t xml:space="preserve"> евра</w:t>
      </w:r>
      <w:r w:rsidRPr="002D6721">
        <w:rPr>
          <w:rFonts w:ascii="Times New Roman" w:hAnsi="Times New Roman"/>
          <w:sz w:val="16"/>
          <w:szCs w:val="16"/>
          <w:lang w:val="sr-Cyrl-RS"/>
        </w:rPr>
        <w:t>.</w:t>
      </w:r>
    </w:p>
  </w:footnote>
  <w:footnote w:id="5">
    <w:p w14:paraId="48C0C46B" w14:textId="77777777" w:rsidR="004C27FC" w:rsidRPr="000268BD" w:rsidRDefault="004C27FC" w:rsidP="001D58B7">
      <w:pPr>
        <w:pStyle w:val="FootnoteText"/>
        <w:rPr>
          <w:lang w:val="sr-Cyrl-RS"/>
        </w:rPr>
      </w:pPr>
      <w:r w:rsidRPr="00854FF7">
        <w:rPr>
          <w:rStyle w:val="FootnoteReference"/>
          <w:rFonts w:ascii="Times New Roman" w:hAnsi="Times New Roman"/>
          <w:sz w:val="16"/>
          <w:szCs w:val="16"/>
        </w:rPr>
        <w:footnoteRef/>
      </w:r>
      <w:r w:rsidRPr="00854FF7">
        <w:rPr>
          <w:rStyle w:val="FootnoteReference"/>
          <w:rFonts w:ascii="Times New Roman" w:hAnsi="Times New Roman"/>
          <w:sz w:val="16"/>
          <w:szCs w:val="16"/>
        </w:rPr>
        <w:t xml:space="preserve"> У складу са Одлуком о утврђивању листе системски значајних банака у Републици Србији и стопа заштитног слоја капитала за те банке од 10. маја 2024. године.</w:t>
      </w:r>
    </w:p>
  </w:footnote>
  <w:footnote w:id="6">
    <w:p w14:paraId="543FB1F3" w14:textId="77777777" w:rsidR="004C27FC" w:rsidRPr="008F7892" w:rsidRDefault="004C27FC" w:rsidP="001D58B7">
      <w:pPr>
        <w:pStyle w:val="FootnoteText"/>
        <w:rPr>
          <w:rFonts w:ascii="Times New Roman" w:hAnsi="Times New Roman"/>
          <w:sz w:val="16"/>
          <w:szCs w:val="16"/>
        </w:rPr>
      </w:pPr>
      <w:r w:rsidRPr="00F252D5">
        <w:rPr>
          <w:rFonts w:ascii="Times New Roman" w:hAnsi="Times New Roman"/>
          <w:sz w:val="16"/>
          <w:szCs w:val="16"/>
          <w:vertAlign w:val="superscript"/>
        </w:rPr>
        <w:footnoteRef/>
      </w:r>
      <w:r w:rsidRPr="008F7892">
        <w:rPr>
          <w:rFonts w:ascii="Times New Roman" w:hAnsi="Times New Roman"/>
          <w:sz w:val="16"/>
          <w:szCs w:val="16"/>
          <w:vertAlign w:val="superscript"/>
        </w:rPr>
        <w:t xml:space="preserve"> </w:t>
      </w:r>
      <w:r>
        <w:rPr>
          <w:rFonts w:ascii="Times New Roman" w:hAnsi="Times New Roman"/>
          <w:sz w:val="16"/>
          <w:szCs w:val="16"/>
          <w:lang w:val="sr-Cyrl-RS"/>
        </w:rPr>
        <w:t>У</w:t>
      </w:r>
      <w:r w:rsidRPr="00BD1F94">
        <w:rPr>
          <w:rFonts w:ascii="Times New Roman" w:hAnsi="Times New Roman"/>
          <w:sz w:val="16"/>
          <w:szCs w:val="16"/>
        </w:rPr>
        <w:t xml:space="preserve"> односу 80:20.</w:t>
      </w:r>
    </w:p>
  </w:footnote>
  <w:footnote w:id="7">
    <w:p w14:paraId="17BB6428" w14:textId="77777777" w:rsidR="004C27FC" w:rsidRPr="0047402B" w:rsidRDefault="004C27FC" w:rsidP="006D0778">
      <w:pPr>
        <w:pStyle w:val="FootnoteText"/>
        <w:ind w:firstLine="0"/>
        <w:rPr>
          <w:rFonts w:ascii="Times New Roman" w:hAnsi="Times New Roman" w:cs="Times New Roman"/>
          <w:sz w:val="16"/>
          <w:szCs w:val="16"/>
          <w:lang w:val="sr-Cyrl-RS"/>
        </w:rPr>
      </w:pPr>
      <w:r w:rsidRPr="0047402B">
        <w:rPr>
          <w:rStyle w:val="FootnoteReference"/>
          <w:rFonts w:ascii="Times New Roman" w:hAnsi="Times New Roman" w:cs="Times New Roman"/>
          <w:color w:val="auto"/>
          <w:sz w:val="16"/>
          <w:szCs w:val="16"/>
        </w:rPr>
        <w:footnoteRef/>
      </w:r>
      <w:r w:rsidRPr="0047402B">
        <w:rPr>
          <w:rFonts w:ascii="Times New Roman" w:hAnsi="Times New Roman" w:cs="Times New Roman"/>
          <w:color w:val="auto"/>
          <w:sz w:val="16"/>
          <w:szCs w:val="16"/>
          <w:lang w:val="sr-Cyrl-RS"/>
        </w:rPr>
        <w:t xml:space="preserve"> Нови ентитети могу се укључити или искључити из обухвата сектора државе у складу са статистичким критеријумима и међународним стандардима који их одређују.</w:t>
      </w:r>
    </w:p>
  </w:footnote>
  <w:footnote w:id="8">
    <w:p w14:paraId="0AFE0ABB" w14:textId="77777777" w:rsidR="004C27FC" w:rsidRPr="008C0499" w:rsidRDefault="004C27FC" w:rsidP="006D0778">
      <w:pPr>
        <w:spacing w:after="60"/>
        <w:rPr>
          <w:rFonts w:cs="Times New Roman"/>
          <w:sz w:val="16"/>
          <w:szCs w:val="16"/>
          <w:lang w:val="sr-Cyrl-RS"/>
        </w:rPr>
      </w:pPr>
      <w:r w:rsidRPr="008C0499">
        <w:rPr>
          <w:rStyle w:val="FootnoteReference"/>
          <w:rFonts w:cs="Times New Roman"/>
          <w:sz w:val="16"/>
          <w:szCs w:val="16"/>
          <w:lang w:val="sr-Cyrl-RS"/>
        </w:rPr>
        <w:footnoteRef/>
      </w:r>
      <w:r w:rsidRPr="008C0499">
        <w:rPr>
          <w:rFonts w:cs="Times New Roman"/>
          <w:sz w:val="16"/>
          <w:szCs w:val="16"/>
          <w:lang w:val="sr-Cyrl-RS"/>
        </w:rPr>
        <w:t xml:space="preserve"> </w:t>
      </w:r>
      <w:r w:rsidRPr="008C0499">
        <w:rPr>
          <w:rFonts w:eastAsia="Times New Roman" w:cs="Times New Roman"/>
          <w:bCs/>
          <w:sz w:val="16"/>
          <w:szCs w:val="16"/>
          <w:lang w:val="sr-Cyrl-RS"/>
        </w:rPr>
        <w:t>Детаљнији опис коришћене методологије и резултата могу се пронаћи у Фискалној стратегији за 2013. годину са пројекцијама за 2014. и 2015. годину или путем линка</w:t>
      </w:r>
      <w:r w:rsidRPr="008C0499">
        <w:rPr>
          <w:rFonts w:cs="Times New Roman"/>
          <w:sz w:val="16"/>
          <w:szCs w:val="16"/>
          <w:lang w:val="sr-Cyrl-RS"/>
        </w:rPr>
        <w:t xml:space="preserve"> </w:t>
      </w:r>
      <w:hyperlink r:id="rId1" w:history="1">
        <w:r w:rsidRPr="008C0499">
          <w:rPr>
            <w:rStyle w:val="Hyperlink"/>
            <w:rFonts w:cs="Times New Roman"/>
            <w:color w:val="44546A" w:themeColor="text2"/>
            <w:sz w:val="16"/>
            <w:szCs w:val="16"/>
          </w:rPr>
          <w:t>https</w:t>
        </w:r>
        <w:r w:rsidRPr="008C0499">
          <w:rPr>
            <w:rStyle w:val="Hyperlink"/>
            <w:rFonts w:cs="Times New Roman"/>
            <w:color w:val="44546A" w:themeColor="text2"/>
            <w:sz w:val="16"/>
            <w:szCs w:val="16"/>
            <w:lang w:val="sr-Cyrl-RS"/>
          </w:rPr>
          <w:t>://</w:t>
        </w:r>
        <w:r w:rsidRPr="008C0499">
          <w:rPr>
            <w:rStyle w:val="Hyperlink"/>
            <w:rFonts w:cs="Times New Roman"/>
            <w:color w:val="44546A" w:themeColor="text2"/>
            <w:sz w:val="16"/>
            <w:szCs w:val="16"/>
          </w:rPr>
          <w:t>www</w:t>
        </w:r>
        <w:r w:rsidRPr="008C0499">
          <w:rPr>
            <w:rStyle w:val="Hyperlink"/>
            <w:rFonts w:cs="Times New Roman"/>
            <w:color w:val="44546A" w:themeColor="text2"/>
            <w:sz w:val="16"/>
            <w:szCs w:val="16"/>
            <w:lang w:val="sr-Cyrl-RS"/>
          </w:rPr>
          <w:t>.</w:t>
        </w:r>
        <w:r w:rsidRPr="008C0499">
          <w:rPr>
            <w:rStyle w:val="Hyperlink"/>
            <w:rFonts w:cs="Times New Roman"/>
            <w:color w:val="44546A" w:themeColor="text2"/>
            <w:sz w:val="16"/>
            <w:szCs w:val="16"/>
          </w:rPr>
          <w:t>mfin</w:t>
        </w:r>
        <w:r w:rsidRPr="008C0499">
          <w:rPr>
            <w:rStyle w:val="Hyperlink"/>
            <w:rFonts w:cs="Times New Roman"/>
            <w:color w:val="44546A" w:themeColor="text2"/>
            <w:sz w:val="16"/>
            <w:szCs w:val="16"/>
            <w:lang w:val="sr-Cyrl-RS"/>
          </w:rPr>
          <w:t>.</w:t>
        </w:r>
        <w:r w:rsidRPr="008C0499">
          <w:rPr>
            <w:rStyle w:val="Hyperlink"/>
            <w:rFonts w:cs="Times New Roman"/>
            <w:color w:val="44546A" w:themeColor="text2"/>
            <w:sz w:val="16"/>
            <w:szCs w:val="16"/>
          </w:rPr>
          <w:t>gov</w:t>
        </w:r>
        <w:r w:rsidRPr="008C0499">
          <w:rPr>
            <w:rStyle w:val="Hyperlink"/>
            <w:rFonts w:cs="Times New Roman"/>
            <w:color w:val="44546A" w:themeColor="text2"/>
            <w:sz w:val="16"/>
            <w:szCs w:val="16"/>
            <w:lang w:val="sr-Cyrl-RS"/>
          </w:rPr>
          <w:t>.</w:t>
        </w:r>
        <w:r w:rsidRPr="008C0499">
          <w:rPr>
            <w:rStyle w:val="Hyperlink"/>
            <w:rFonts w:cs="Times New Roman"/>
            <w:color w:val="44546A" w:themeColor="text2"/>
            <w:sz w:val="16"/>
            <w:szCs w:val="16"/>
          </w:rPr>
          <w:t>rs</w:t>
        </w:r>
        <w:r w:rsidRPr="008C0499">
          <w:rPr>
            <w:rStyle w:val="Hyperlink"/>
            <w:rFonts w:cs="Times New Roman"/>
            <w:color w:val="44546A" w:themeColor="text2"/>
            <w:sz w:val="16"/>
            <w:szCs w:val="16"/>
            <w:lang w:val="sr-Cyrl-RS"/>
          </w:rPr>
          <w:t>//</w:t>
        </w:r>
        <w:r w:rsidRPr="008C0499">
          <w:rPr>
            <w:rStyle w:val="Hyperlink"/>
            <w:rFonts w:cs="Times New Roman"/>
            <w:color w:val="44546A" w:themeColor="text2"/>
            <w:sz w:val="16"/>
            <w:szCs w:val="16"/>
          </w:rPr>
          <w:t>upload</w:t>
        </w:r>
        <w:r w:rsidRPr="008C0499">
          <w:rPr>
            <w:rStyle w:val="Hyperlink"/>
            <w:rFonts w:cs="Times New Roman"/>
            <w:color w:val="44546A" w:themeColor="text2"/>
            <w:sz w:val="16"/>
            <w:szCs w:val="16"/>
            <w:lang w:val="sr-Cyrl-RS"/>
          </w:rPr>
          <w:t>/</w:t>
        </w:r>
        <w:r w:rsidRPr="008C0499">
          <w:rPr>
            <w:rStyle w:val="Hyperlink"/>
            <w:rFonts w:cs="Times New Roman"/>
            <w:color w:val="44546A" w:themeColor="text2"/>
            <w:sz w:val="16"/>
            <w:szCs w:val="16"/>
          </w:rPr>
          <w:t>media</w:t>
        </w:r>
        <w:r w:rsidRPr="008C0499">
          <w:rPr>
            <w:rStyle w:val="Hyperlink"/>
            <w:rFonts w:cs="Times New Roman"/>
            <w:color w:val="44546A" w:themeColor="text2"/>
            <w:sz w:val="16"/>
            <w:szCs w:val="16"/>
            <w:lang w:val="sr-Cyrl-RS"/>
          </w:rPr>
          <w:t>/</w:t>
        </w:r>
        <w:r w:rsidRPr="008C0499">
          <w:rPr>
            <w:rStyle w:val="Hyperlink"/>
            <w:rFonts w:cs="Times New Roman"/>
            <w:color w:val="44546A" w:themeColor="text2"/>
            <w:sz w:val="16"/>
            <w:szCs w:val="16"/>
          </w:rPr>
          <w:t>jzsbpL</w:t>
        </w:r>
        <w:r w:rsidRPr="008C0499">
          <w:rPr>
            <w:rStyle w:val="Hyperlink"/>
            <w:rFonts w:cs="Times New Roman"/>
            <w:color w:val="44546A" w:themeColor="text2"/>
            <w:sz w:val="16"/>
            <w:szCs w:val="16"/>
            <w:lang w:val="sr-Cyrl-RS"/>
          </w:rPr>
          <w:t>_601</w:t>
        </w:r>
        <w:r w:rsidRPr="008C0499">
          <w:rPr>
            <w:rStyle w:val="Hyperlink"/>
            <w:rFonts w:cs="Times New Roman"/>
            <w:color w:val="44546A" w:themeColor="text2"/>
            <w:sz w:val="16"/>
            <w:szCs w:val="16"/>
          </w:rPr>
          <w:t>ab</w:t>
        </w:r>
        <w:r w:rsidRPr="008C0499">
          <w:rPr>
            <w:rStyle w:val="Hyperlink"/>
            <w:rFonts w:cs="Times New Roman"/>
            <w:color w:val="44546A" w:themeColor="text2"/>
            <w:sz w:val="16"/>
            <w:szCs w:val="16"/>
            <w:lang w:val="sr-Cyrl-RS"/>
          </w:rPr>
          <w:t>1585</w:t>
        </w:r>
        <w:r w:rsidRPr="008C0499">
          <w:rPr>
            <w:rStyle w:val="Hyperlink"/>
            <w:rFonts w:cs="Times New Roman"/>
            <w:color w:val="44546A" w:themeColor="text2"/>
            <w:sz w:val="16"/>
            <w:szCs w:val="16"/>
          </w:rPr>
          <w:t>ca</w:t>
        </w:r>
        <w:r w:rsidRPr="008C0499">
          <w:rPr>
            <w:rStyle w:val="Hyperlink"/>
            <w:rFonts w:cs="Times New Roman"/>
            <w:color w:val="44546A" w:themeColor="text2"/>
            <w:sz w:val="16"/>
            <w:szCs w:val="16"/>
            <w:lang w:val="sr-Cyrl-RS"/>
          </w:rPr>
          <w:t>02.</w:t>
        </w:r>
        <w:r w:rsidRPr="008C0499">
          <w:rPr>
            <w:rStyle w:val="Hyperlink"/>
            <w:rFonts w:cs="Times New Roman"/>
            <w:color w:val="44546A" w:themeColor="text2"/>
            <w:sz w:val="16"/>
            <w:szCs w:val="16"/>
          </w:rPr>
          <w:t>pdf</w:t>
        </w:r>
      </w:hyperlink>
    </w:p>
  </w:footnote>
  <w:footnote w:id="9">
    <w:p w14:paraId="4EEE6440" w14:textId="77777777" w:rsidR="004C27FC" w:rsidRPr="00D0767F" w:rsidRDefault="004C27FC" w:rsidP="006D0778">
      <w:pPr>
        <w:pStyle w:val="FootnoteText"/>
        <w:ind w:firstLine="0"/>
        <w:rPr>
          <w:rFonts w:ascii="Times New Roman" w:hAnsi="Times New Roman" w:cs="Times New Roman"/>
          <w:sz w:val="16"/>
          <w:szCs w:val="16"/>
          <w:lang w:val="sr-Cyrl-RS"/>
        </w:rPr>
      </w:pPr>
      <w:r w:rsidRPr="00D0767F">
        <w:rPr>
          <w:rStyle w:val="FootnoteReference"/>
          <w:rFonts w:ascii="Times New Roman" w:hAnsi="Times New Roman" w:cs="Times New Roman"/>
          <w:sz w:val="16"/>
          <w:szCs w:val="16"/>
          <w:lang w:val="sr-Cyrl-RS"/>
        </w:rPr>
        <w:footnoteRef/>
      </w:r>
      <w:r w:rsidRPr="00D0767F">
        <w:rPr>
          <w:rFonts w:ascii="Times New Roman" w:hAnsi="Times New Roman" w:cs="Times New Roman"/>
          <w:sz w:val="16"/>
          <w:szCs w:val="16"/>
          <w:lang w:val="sr-Cyrl-RS"/>
        </w:rPr>
        <w:t xml:space="preserve"> Закон о јавном дугу („Службени гласник РС”, бр. 61/05, 107/09, 78/11, 68/15, 95/18, 91/19 и 149/20).</w:t>
      </w:r>
    </w:p>
  </w:footnote>
  <w:footnote w:id="10">
    <w:p w14:paraId="2A88CD8F" w14:textId="77777777" w:rsidR="004C27FC" w:rsidRPr="00870B54" w:rsidRDefault="004C27FC" w:rsidP="006D0778">
      <w:pPr>
        <w:pStyle w:val="FootnoteText"/>
        <w:ind w:firstLine="0"/>
        <w:rPr>
          <w:rFonts w:ascii="Times New Roman" w:hAnsi="Times New Roman" w:cs="Times New Roman"/>
          <w:sz w:val="16"/>
          <w:szCs w:val="16"/>
          <w:lang w:val="sr-Cyrl-RS"/>
        </w:rPr>
      </w:pPr>
      <w:r w:rsidRPr="00870B54">
        <w:rPr>
          <w:rStyle w:val="FootnoteReference"/>
          <w:rFonts w:ascii="Times New Roman" w:hAnsi="Times New Roman" w:cs="Times New Roman"/>
          <w:sz w:val="16"/>
          <w:szCs w:val="16"/>
        </w:rPr>
        <w:footnoteRef/>
      </w:r>
      <w:r w:rsidRPr="00870B54">
        <w:rPr>
          <w:rFonts w:ascii="Times New Roman" w:hAnsi="Times New Roman" w:cs="Times New Roman"/>
          <w:sz w:val="16"/>
          <w:szCs w:val="16"/>
        </w:rPr>
        <w:t xml:space="preserve"> </w:t>
      </w:r>
      <w:r w:rsidRPr="00870B54">
        <w:rPr>
          <w:rFonts w:ascii="Times New Roman" w:hAnsi="Times New Roman" w:cs="Times New Roman"/>
          <w:sz w:val="16"/>
          <w:szCs w:val="16"/>
          <w:lang w:val="sr-Cyrl-RS"/>
        </w:rPr>
        <w:t>Програм економских реформи 2024-2026</w:t>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60E6EB78"/>
    <w:lvl w:ilvl="0">
      <w:start w:val="1"/>
      <w:numFmt w:val="bullet"/>
      <w:pStyle w:val="ListBullet1"/>
      <w:lvlText w:val="•"/>
      <w:lvlJc w:val="left"/>
      <w:pPr>
        <w:ind w:left="576" w:hanging="288"/>
      </w:pPr>
      <w:rPr>
        <w:rFonts w:ascii="Cambria" w:hAnsi="Cambria" w:hint="default"/>
        <w:color w:val="5B9BD5" w:themeColor="accent1"/>
      </w:rPr>
    </w:lvl>
  </w:abstractNum>
  <w:abstractNum w:abstractNumId="1" w15:restartNumberingAfterBreak="0">
    <w:nsid w:val="04167F5D"/>
    <w:multiLevelType w:val="hybridMultilevel"/>
    <w:tmpl w:val="E28809B4"/>
    <w:lvl w:ilvl="0" w:tplc="04090001">
      <w:start w:val="1"/>
      <w:numFmt w:val="bullet"/>
      <w:pStyle w:val="ListNumber5"/>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5401AF9"/>
    <w:multiLevelType w:val="hybridMultilevel"/>
    <w:tmpl w:val="A154AE00"/>
    <w:lvl w:ilvl="0" w:tplc="BFA4663C">
      <w:start w:val="1"/>
      <w:numFmt w:val="bullet"/>
      <w:lvlText w:val="-"/>
      <w:lvlJc w:val="left"/>
      <w:pPr>
        <w:ind w:left="720" w:hanging="360"/>
      </w:pPr>
      <w:rPr>
        <w:rFonts w:ascii="Calibri" w:eastAsia="MS PGothic"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9C328B3"/>
    <w:multiLevelType w:val="hybridMultilevel"/>
    <w:tmpl w:val="4B8002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DFA5C74"/>
    <w:multiLevelType w:val="hybridMultilevel"/>
    <w:tmpl w:val="361EA2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02F00BE"/>
    <w:multiLevelType w:val="hybridMultilevel"/>
    <w:tmpl w:val="6E8082D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6" w15:restartNumberingAfterBreak="0">
    <w:nsid w:val="114F2D2B"/>
    <w:multiLevelType w:val="hybridMultilevel"/>
    <w:tmpl w:val="14FEBE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6196F9C"/>
    <w:multiLevelType w:val="hybridMultilevel"/>
    <w:tmpl w:val="03588D7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360" w:hanging="360"/>
      </w:pPr>
      <w:rPr>
        <w:rFonts w:ascii="Courier New" w:hAnsi="Courier New" w:cs="Courier New"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800" w:hanging="360"/>
      </w:pPr>
      <w:rPr>
        <w:rFonts w:ascii="Symbol" w:hAnsi="Symbol" w:hint="default"/>
      </w:rPr>
    </w:lvl>
    <w:lvl w:ilvl="4" w:tplc="04090003" w:tentative="1">
      <w:start w:val="1"/>
      <w:numFmt w:val="bullet"/>
      <w:lvlText w:val="o"/>
      <w:lvlJc w:val="left"/>
      <w:pPr>
        <w:ind w:left="2520" w:hanging="360"/>
      </w:pPr>
      <w:rPr>
        <w:rFonts w:ascii="Courier New" w:hAnsi="Courier New" w:cs="Courier New" w:hint="default"/>
      </w:rPr>
    </w:lvl>
    <w:lvl w:ilvl="5" w:tplc="04090005" w:tentative="1">
      <w:start w:val="1"/>
      <w:numFmt w:val="bullet"/>
      <w:lvlText w:val=""/>
      <w:lvlJc w:val="left"/>
      <w:pPr>
        <w:ind w:left="3240" w:hanging="360"/>
      </w:pPr>
      <w:rPr>
        <w:rFonts w:ascii="Wingdings" w:hAnsi="Wingdings" w:hint="default"/>
      </w:rPr>
    </w:lvl>
    <w:lvl w:ilvl="6" w:tplc="04090001" w:tentative="1">
      <w:start w:val="1"/>
      <w:numFmt w:val="bullet"/>
      <w:lvlText w:val=""/>
      <w:lvlJc w:val="left"/>
      <w:pPr>
        <w:ind w:left="3960" w:hanging="360"/>
      </w:pPr>
      <w:rPr>
        <w:rFonts w:ascii="Symbol" w:hAnsi="Symbol" w:hint="default"/>
      </w:rPr>
    </w:lvl>
    <w:lvl w:ilvl="7" w:tplc="04090003" w:tentative="1">
      <w:start w:val="1"/>
      <w:numFmt w:val="bullet"/>
      <w:lvlText w:val="o"/>
      <w:lvlJc w:val="left"/>
      <w:pPr>
        <w:ind w:left="4680" w:hanging="360"/>
      </w:pPr>
      <w:rPr>
        <w:rFonts w:ascii="Courier New" w:hAnsi="Courier New" w:cs="Courier New" w:hint="default"/>
      </w:rPr>
    </w:lvl>
    <w:lvl w:ilvl="8" w:tplc="04090005" w:tentative="1">
      <w:start w:val="1"/>
      <w:numFmt w:val="bullet"/>
      <w:lvlText w:val=""/>
      <w:lvlJc w:val="left"/>
      <w:pPr>
        <w:ind w:left="5400" w:hanging="360"/>
      </w:pPr>
      <w:rPr>
        <w:rFonts w:ascii="Wingdings" w:hAnsi="Wingdings" w:hint="default"/>
      </w:rPr>
    </w:lvl>
  </w:abstractNum>
  <w:abstractNum w:abstractNumId="8" w15:restartNumberingAfterBreak="0">
    <w:nsid w:val="1A7C45D5"/>
    <w:multiLevelType w:val="hybridMultilevel"/>
    <w:tmpl w:val="9756494C"/>
    <w:lvl w:ilvl="0" w:tplc="281A0001">
      <w:start w:val="1"/>
      <w:numFmt w:val="bullet"/>
      <w:lvlText w:val=""/>
      <w:lvlJc w:val="left"/>
      <w:pPr>
        <w:ind w:left="720" w:hanging="360"/>
      </w:pPr>
      <w:rPr>
        <w:rFonts w:ascii="Symbol" w:hAnsi="Symbol" w:hint="default"/>
      </w:rPr>
    </w:lvl>
    <w:lvl w:ilvl="1" w:tplc="281A0003" w:tentative="1">
      <w:start w:val="1"/>
      <w:numFmt w:val="bullet"/>
      <w:lvlText w:val="o"/>
      <w:lvlJc w:val="left"/>
      <w:pPr>
        <w:ind w:left="1440" w:hanging="360"/>
      </w:pPr>
      <w:rPr>
        <w:rFonts w:ascii="Courier New" w:hAnsi="Courier New" w:cs="Courier New" w:hint="default"/>
      </w:rPr>
    </w:lvl>
    <w:lvl w:ilvl="2" w:tplc="281A0005" w:tentative="1">
      <w:start w:val="1"/>
      <w:numFmt w:val="bullet"/>
      <w:lvlText w:val=""/>
      <w:lvlJc w:val="left"/>
      <w:pPr>
        <w:ind w:left="2160" w:hanging="360"/>
      </w:pPr>
      <w:rPr>
        <w:rFonts w:ascii="Wingdings" w:hAnsi="Wingdings" w:hint="default"/>
      </w:rPr>
    </w:lvl>
    <w:lvl w:ilvl="3" w:tplc="281A0001" w:tentative="1">
      <w:start w:val="1"/>
      <w:numFmt w:val="bullet"/>
      <w:lvlText w:val=""/>
      <w:lvlJc w:val="left"/>
      <w:pPr>
        <w:ind w:left="2880" w:hanging="360"/>
      </w:pPr>
      <w:rPr>
        <w:rFonts w:ascii="Symbol" w:hAnsi="Symbol" w:hint="default"/>
      </w:rPr>
    </w:lvl>
    <w:lvl w:ilvl="4" w:tplc="281A0003" w:tentative="1">
      <w:start w:val="1"/>
      <w:numFmt w:val="bullet"/>
      <w:lvlText w:val="o"/>
      <w:lvlJc w:val="left"/>
      <w:pPr>
        <w:ind w:left="3600" w:hanging="360"/>
      </w:pPr>
      <w:rPr>
        <w:rFonts w:ascii="Courier New" w:hAnsi="Courier New" w:cs="Courier New" w:hint="default"/>
      </w:rPr>
    </w:lvl>
    <w:lvl w:ilvl="5" w:tplc="281A0005" w:tentative="1">
      <w:start w:val="1"/>
      <w:numFmt w:val="bullet"/>
      <w:lvlText w:val=""/>
      <w:lvlJc w:val="left"/>
      <w:pPr>
        <w:ind w:left="4320" w:hanging="360"/>
      </w:pPr>
      <w:rPr>
        <w:rFonts w:ascii="Wingdings" w:hAnsi="Wingdings" w:hint="default"/>
      </w:rPr>
    </w:lvl>
    <w:lvl w:ilvl="6" w:tplc="281A0001" w:tentative="1">
      <w:start w:val="1"/>
      <w:numFmt w:val="bullet"/>
      <w:lvlText w:val=""/>
      <w:lvlJc w:val="left"/>
      <w:pPr>
        <w:ind w:left="5040" w:hanging="360"/>
      </w:pPr>
      <w:rPr>
        <w:rFonts w:ascii="Symbol" w:hAnsi="Symbol" w:hint="default"/>
      </w:rPr>
    </w:lvl>
    <w:lvl w:ilvl="7" w:tplc="281A0003" w:tentative="1">
      <w:start w:val="1"/>
      <w:numFmt w:val="bullet"/>
      <w:lvlText w:val="o"/>
      <w:lvlJc w:val="left"/>
      <w:pPr>
        <w:ind w:left="5760" w:hanging="360"/>
      </w:pPr>
      <w:rPr>
        <w:rFonts w:ascii="Courier New" w:hAnsi="Courier New" w:cs="Courier New" w:hint="default"/>
      </w:rPr>
    </w:lvl>
    <w:lvl w:ilvl="8" w:tplc="281A0005" w:tentative="1">
      <w:start w:val="1"/>
      <w:numFmt w:val="bullet"/>
      <w:lvlText w:val=""/>
      <w:lvlJc w:val="left"/>
      <w:pPr>
        <w:ind w:left="6480" w:hanging="360"/>
      </w:pPr>
      <w:rPr>
        <w:rFonts w:ascii="Wingdings" w:hAnsi="Wingdings" w:hint="default"/>
      </w:rPr>
    </w:lvl>
  </w:abstractNum>
  <w:abstractNum w:abstractNumId="9" w15:restartNumberingAfterBreak="0">
    <w:nsid w:val="1EC1773A"/>
    <w:multiLevelType w:val="multilevel"/>
    <w:tmpl w:val="705C1ACA"/>
    <w:lvl w:ilvl="0">
      <w:start w:val="1"/>
      <w:numFmt w:val="upperRoman"/>
      <w:lvlText w:val="%1."/>
      <w:lvlJc w:val="left"/>
      <w:pPr>
        <w:ind w:left="360" w:hanging="360"/>
      </w:pPr>
      <w:rPr>
        <w:rFonts w:hint="default"/>
      </w:rPr>
    </w:lvl>
    <w:lvl w:ilvl="1">
      <w:start w:val="1"/>
      <w:numFmt w:val="decimal"/>
      <w:pStyle w:val="EFPNaslov2"/>
      <w:lvlText w:val="%1.%2."/>
      <w:lvlJc w:val="left"/>
      <w:pPr>
        <w:ind w:left="792" w:hanging="432"/>
      </w:pPr>
      <w:rPr>
        <w:rFonts w:hint="default"/>
        <w:sz w:val="24"/>
        <w:szCs w:val="24"/>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0" w15:restartNumberingAfterBreak="0">
    <w:nsid w:val="20FA5E91"/>
    <w:multiLevelType w:val="hybridMultilevel"/>
    <w:tmpl w:val="5DF4BD48"/>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24836565"/>
    <w:multiLevelType w:val="hybridMultilevel"/>
    <w:tmpl w:val="63CADC3A"/>
    <w:lvl w:ilvl="0" w:tplc="241A0001">
      <w:start w:val="1"/>
      <w:numFmt w:val="bullet"/>
      <w:lvlText w:val=""/>
      <w:lvlJc w:val="left"/>
      <w:pPr>
        <w:ind w:left="720" w:hanging="360"/>
      </w:pPr>
      <w:rPr>
        <w:rFonts w:ascii="Symbol" w:hAnsi="Symbol"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12" w15:restartNumberingAfterBreak="0">
    <w:nsid w:val="2D9E4A7A"/>
    <w:multiLevelType w:val="hybridMultilevel"/>
    <w:tmpl w:val="C0505144"/>
    <w:lvl w:ilvl="0" w:tplc="D8A2529A">
      <w:start w:val="1"/>
      <w:numFmt w:val="decimal"/>
      <w:pStyle w:val="ListNumber2"/>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EC61598"/>
    <w:multiLevelType w:val="hybridMultilevel"/>
    <w:tmpl w:val="26EA460E"/>
    <w:lvl w:ilvl="0" w:tplc="241A0011">
      <w:start w:val="1"/>
      <w:numFmt w:val="decimal"/>
      <w:lvlText w:val="%1)"/>
      <w:lvlJc w:val="left"/>
      <w:pPr>
        <w:ind w:left="720" w:hanging="360"/>
      </w:pPr>
    </w:lvl>
    <w:lvl w:ilvl="1" w:tplc="241A0019">
      <w:start w:val="1"/>
      <w:numFmt w:val="lowerLetter"/>
      <w:lvlText w:val="%2."/>
      <w:lvlJc w:val="left"/>
      <w:pPr>
        <w:ind w:left="1440" w:hanging="360"/>
      </w:pPr>
    </w:lvl>
    <w:lvl w:ilvl="2" w:tplc="241A001B">
      <w:start w:val="1"/>
      <w:numFmt w:val="lowerRoman"/>
      <w:lvlText w:val="%3."/>
      <w:lvlJc w:val="right"/>
      <w:pPr>
        <w:ind w:left="2160" w:hanging="180"/>
      </w:pPr>
    </w:lvl>
    <w:lvl w:ilvl="3" w:tplc="241A000F">
      <w:start w:val="1"/>
      <w:numFmt w:val="decimal"/>
      <w:lvlText w:val="%4."/>
      <w:lvlJc w:val="left"/>
      <w:pPr>
        <w:ind w:left="2880" w:hanging="360"/>
      </w:pPr>
    </w:lvl>
    <w:lvl w:ilvl="4" w:tplc="241A0019">
      <w:start w:val="1"/>
      <w:numFmt w:val="lowerLetter"/>
      <w:lvlText w:val="%5."/>
      <w:lvlJc w:val="left"/>
      <w:pPr>
        <w:ind w:left="3600" w:hanging="360"/>
      </w:pPr>
    </w:lvl>
    <w:lvl w:ilvl="5" w:tplc="241A001B">
      <w:start w:val="1"/>
      <w:numFmt w:val="lowerRoman"/>
      <w:lvlText w:val="%6."/>
      <w:lvlJc w:val="right"/>
      <w:pPr>
        <w:ind w:left="4320" w:hanging="180"/>
      </w:pPr>
    </w:lvl>
    <w:lvl w:ilvl="6" w:tplc="241A000F">
      <w:start w:val="1"/>
      <w:numFmt w:val="decimal"/>
      <w:lvlText w:val="%7."/>
      <w:lvlJc w:val="left"/>
      <w:pPr>
        <w:ind w:left="5040" w:hanging="360"/>
      </w:pPr>
    </w:lvl>
    <w:lvl w:ilvl="7" w:tplc="241A0019">
      <w:start w:val="1"/>
      <w:numFmt w:val="lowerLetter"/>
      <w:lvlText w:val="%8."/>
      <w:lvlJc w:val="left"/>
      <w:pPr>
        <w:ind w:left="5760" w:hanging="360"/>
      </w:pPr>
    </w:lvl>
    <w:lvl w:ilvl="8" w:tplc="241A001B">
      <w:start w:val="1"/>
      <w:numFmt w:val="lowerRoman"/>
      <w:lvlText w:val="%9."/>
      <w:lvlJc w:val="right"/>
      <w:pPr>
        <w:ind w:left="6480" w:hanging="180"/>
      </w:pPr>
    </w:lvl>
  </w:abstractNum>
  <w:abstractNum w:abstractNumId="14" w15:restartNumberingAfterBreak="0">
    <w:nsid w:val="30195F79"/>
    <w:multiLevelType w:val="hybridMultilevel"/>
    <w:tmpl w:val="DDF6E3A4"/>
    <w:lvl w:ilvl="0" w:tplc="281A0001">
      <w:start w:val="1"/>
      <w:numFmt w:val="bullet"/>
      <w:lvlText w:val=""/>
      <w:lvlJc w:val="left"/>
      <w:pPr>
        <w:ind w:left="720" w:hanging="360"/>
      </w:pPr>
      <w:rPr>
        <w:rFonts w:ascii="Symbol" w:hAnsi="Symbol" w:hint="default"/>
      </w:rPr>
    </w:lvl>
    <w:lvl w:ilvl="1" w:tplc="0C1A0003" w:tentative="1">
      <w:start w:val="1"/>
      <w:numFmt w:val="bullet"/>
      <w:lvlText w:val="o"/>
      <w:lvlJc w:val="left"/>
      <w:pPr>
        <w:ind w:left="1440" w:hanging="360"/>
      </w:pPr>
      <w:rPr>
        <w:rFonts w:ascii="Courier New" w:hAnsi="Courier New" w:cs="Courier New" w:hint="default"/>
      </w:rPr>
    </w:lvl>
    <w:lvl w:ilvl="2" w:tplc="0C1A0005" w:tentative="1">
      <w:start w:val="1"/>
      <w:numFmt w:val="bullet"/>
      <w:lvlText w:val=""/>
      <w:lvlJc w:val="left"/>
      <w:pPr>
        <w:ind w:left="2160" w:hanging="360"/>
      </w:pPr>
      <w:rPr>
        <w:rFonts w:ascii="Wingdings" w:hAnsi="Wingdings" w:hint="default"/>
      </w:rPr>
    </w:lvl>
    <w:lvl w:ilvl="3" w:tplc="0C1A0001" w:tentative="1">
      <w:start w:val="1"/>
      <w:numFmt w:val="bullet"/>
      <w:lvlText w:val=""/>
      <w:lvlJc w:val="left"/>
      <w:pPr>
        <w:ind w:left="2880" w:hanging="360"/>
      </w:pPr>
      <w:rPr>
        <w:rFonts w:ascii="Symbol" w:hAnsi="Symbol" w:hint="default"/>
      </w:rPr>
    </w:lvl>
    <w:lvl w:ilvl="4" w:tplc="0C1A0003" w:tentative="1">
      <w:start w:val="1"/>
      <w:numFmt w:val="bullet"/>
      <w:lvlText w:val="o"/>
      <w:lvlJc w:val="left"/>
      <w:pPr>
        <w:ind w:left="3600" w:hanging="360"/>
      </w:pPr>
      <w:rPr>
        <w:rFonts w:ascii="Courier New" w:hAnsi="Courier New" w:cs="Courier New" w:hint="default"/>
      </w:rPr>
    </w:lvl>
    <w:lvl w:ilvl="5" w:tplc="0C1A0005" w:tentative="1">
      <w:start w:val="1"/>
      <w:numFmt w:val="bullet"/>
      <w:lvlText w:val=""/>
      <w:lvlJc w:val="left"/>
      <w:pPr>
        <w:ind w:left="4320" w:hanging="360"/>
      </w:pPr>
      <w:rPr>
        <w:rFonts w:ascii="Wingdings" w:hAnsi="Wingdings" w:hint="default"/>
      </w:rPr>
    </w:lvl>
    <w:lvl w:ilvl="6" w:tplc="0C1A0001" w:tentative="1">
      <w:start w:val="1"/>
      <w:numFmt w:val="bullet"/>
      <w:lvlText w:val=""/>
      <w:lvlJc w:val="left"/>
      <w:pPr>
        <w:ind w:left="5040" w:hanging="360"/>
      </w:pPr>
      <w:rPr>
        <w:rFonts w:ascii="Symbol" w:hAnsi="Symbol" w:hint="default"/>
      </w:rPr>
    </w:lvl>
    <w:lvl w:ilvl="7" w:tplc="0C1A0003" w:tentative="1">
      <w:start w:val="1"/>
      <w:numFmt w:val="bullet"/>
      <w:lvlText w:val="o"/>
      <w:lvlJc w:val="left"/>
      <w:pPr>
        <w:ind w:left="5760" w:hanging="360"/>
      </w:pPr>
      <w:rPr>
        <w:rFonts w:ascii="Courier New" w:hAnsi="Courier New" w:cs="Courier New" w:hint="default"/>
      </w:rPr>
    </w:lvl>
    <w:lvl w:ilvl="8" w:tplc="0C1A0005" w:tentative="1">
      <w:start w:val="1"/>
      <w:numFmt w:val="bullet"/>
      <w:lvlText w:val=""/>
      <w:lvlJc w:val="left"/>
      <w:pPr>
        <w:ind w:left="6480" w:hanging="360"/>
      </w:pPr>
      <w:rPr>
        <w:rFonts w:ascii="Wingdings" w:hAnsi="Wingdings" w:hint="default"/>
      </w:rPr>
    </w:lvl>
  </w:abstractNum>
  <w:abstractNum w:abstractNumId="15" w15:restartNumberingAfterBreak="0">
    <w:nsid w:val="311B23A4"/>
    <w:multiLevelType w:val="hybridMultilevel"/>
    <w:tmpl w:val="0F4E72EE"/>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314850F7"/>
    <w:multiLevelType w:val="hybridMultilevel"/>
    <w:tmpl w:val="9D58C0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33D7BB7"/>
    <w:multiLevelType w:val="hybridMultilevel"/>
    <w:tmpl w:val="70E435F0"/>
    <w:lvl w:ilvl="0" w:tplc="41C0CB00">
      <w:start w:val="1"/>
      <w:numFmt w:val="decimal"/>
      <w:pStyle w:val="ParagraphNumbering"/>
      <w:lvlText w:val="%1.     "/>
      <w:lvlJc w:val="left"/>
      <w:pPr>
        <w:ind w:left="630" w:hanging="360"/>
      </w:pPr>
      <w:rPr>
        <w:rFonts w:ascii="Segoe UI" w:hAnsi="Segoe UI" w:hint="default"/>
        <w:b/>
        <w:i w:val="0"/>
        <w:sz w:val="21"/>
      </w:rPr>
    </w:lvl>
    <w:lvl w:ilvl="1" w:tplc="33B40FEA" w:tentative="1">
      <w:start w:val="1"/>
      <w:numFmt w:val="lowerLetter"/>
      <w:lvlText w:val="%2."/>
      <w:lvlJc w:val="left"/>
      <w:pPr>
        <w:ind w:left="1440" w:hanging="360"/>
      </w:pPr>
    </w:lvl>
    <w:lvl w:ilvl="2" w:tplc="DCB0CC42" w:tentative="1">
      <w:start w:val="1"/>
      <w:numFmt w:val="lowerRoman"/>
      <w:lvlText w:val="%3."/>
      <w:lvlJc w:val="right"/>
      <w:pPr>
        <w:ind w:left="2160" w:hanging="180"/>
      </w:pPr>
    </w:lvl>
    <w:lvl w:ilvl="3" w:tplc="B790AE84" w:tentative="1">
      <w:start w:val="1"/>
      <w:numFmt w:val="decimal"/>
      <w:lvlText w:val="%4."/>
      <w:lvlJc w:val="left"/>
      <w:pPr>
        <w:ind w:left="2880" w:hanging="360"/>
      </w:pPr>
    </w:lvl>
    <w:lvl w:ilvl="4" w:tplc="889A005E" w:tentative="1">
      <w:start w:val="1"/>
      <w:numFmt w:val="lowerLetter"/>
      <w:lvlText w:val="%5."/>
      <w:lvlJc w:val="left"/>
      <w:pPr>
        <w:ind w:left="3600" w:hanging="360"/>
      </w:pPr>
    </w:lvl>
    <w:lvl w:ilvl="5" w:tplc="6960F5F0" w:tentative="1">
      <w:start w:val="1"/>
      <w:numFmt w:val="lowerRoman"/>
      <w:lvlText w:val="%6."/>
      <w:lvlJc w:val="right"/>
      <w:pPr>
        <w:ind w:left="4320" w:hanging="180"/>
      </w:pPr>
    </w:lvl>
    <w:lvl w:ilvl="6" w:tplc="BBB45C82" w:tentative="1">
      <w:start w:val="1"/>
      <w:numFmt w:val="decimal"/>
      <w:lvlText w:val="%7."/>
      <w:lvlJc w:val="left"/>
      <w:pPr>
        <w:ind w:left="5040" w:hanging="360"/>
      </w:pPr>
    </w:lvl>
    <w:lvl w:ilvl="7" w:tplc="5516958C" w:tentative="1">
      <w:start w:val="1"/>
      <w:numFmt w:val="lowerLetter"/>
      <w:lvlText w:val="%8."/>
      <w:lvlJc w:val="left"/>
      <w:pPr>
        <w:ind w:left="5760" w:hanging="360"/>
      </w:pPr>
    </w:lvl>
    <w:lvl w:ilvl="8" w:tplc="98DCDC2C" w:tentative="1">
      <w:start w:val="1"/>
      <w:numFmt w:val="lowerRoman"/>
      <w:lvlText w:val="%9."/>
      <w:lvlJc w:val="right"/>
      <w:pPr>
        <w:ind w:left="6480" w:hanging="180"/>
      </w:pPr>
    </w:lvl>
  </w:abstractNum>
  <w:abstractNum w:abstractNumId="18" w15:restartNumberingAfterBreak="0">
    <w:nsid w:val="367F6A45"/>
    <w:multiLevelType w:val="multilevel"/>
    <w:tmpl w:val="0436C7FE"/>
    <w:lvl w:ilvl="0">
      <w:start w:val="1"/>
      <w:numFmt w:val="decimal"/>
      <w:pStyle w:val="ListNumber1"/>
      <w:lvlText w:val="%1."/>
      <w:lvlJc w:val="left"/>
      <w:pPr>
        <w:ind w:left="360" w:hanging="360"/>
      </w:pPr>
      <w:rPr>
        <w:rFonts w:hint="default"/>
        <w:color w:val="5B9BD5" w:themeColor="accent1"/>
      </w:rPr>
    </w:lvl>
    <w:lvl w:ilvl="1">
      <w:start w:val="1"/>
      <w:numFmt w:val="decimal"/>
      <w:pStyle w:val="ListNumber21"/>
      <w:suff w:val="space"/>
      <w:lvlText w:val="%1.%2"/>
      <w:lvlJc w:val="left"/>
      <w:pPr>
        <w:ind w:left="936" w:hanging="576"/>
      </w:pPr>
      <w:rPr>
        <w:rFonts w:hint="default"/>
        <w:color w:val="5B9BD5" w:themeColor="accent1"/>
      </w:rPr>
    </w:lvl>
    <w:lvl w:ilvl="2">
      <w:start w:val="1"/>
      <w:numFmt w:val="lowerLetter"/>
      <w:pStyle w:val="ListNumber31"/>
      <w:lvlText w:val="%3."/>
      <w:lvlJc w:val="left"/>
      <w:pPr>
        <w:ind w:left="720" w:hanging="360"/>
      </w:pPr>
      <w:rPr>
        <w:rFonts w:hint="default"/>
        <w:color w:val="5B9BD5" w:themeColor="accent1"/>
      </w:rPr>
    </w:lvl>
    <w:lvl w:ilvl="3">
      <w:start w:val="1"/>
      <w:numFmt w:val="lowerRoman"/>
      <w:pStyle w:val="ListNumber41"/>
      <w:lvlText w:val="%4."/>
      <w:lvlJc w:val="left"/>
      <w:pPr>
        <w:ind w:left="1080" w:hanging="360"/>
      </w:pPr>
      <w:rPr>
        <w:rFonts w:hint="default"/>
        <w:color w:val="5B9BD5" w:themeColor="accent1"/>
      </w:rPr>
    </w:lvl>
    <w:lvl w:ilvl="4">
      <w:start w:val="1"/>
      <w:numFmt w:val="lowerLetter"/>
      <w:pStyle w:val="ListNumber51"/>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15:restartNumberingAfterBreak="0">
    <w:nsid w:val="374F1C1E"/>
    <w:multiLevelType w:val="hybridMultilevel"/>
    <w:tmpl w:val="D12AD8A4"/>
    <w:lvl w:ilvl="0" w:tplc="08090011">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37A0236D"/>
    <w:multiLevelType w:val="hybridMultilevel"/>
    <w:tmpl w:val="F6F47070"/>
    <w:lvl w:ilvl="0" w:tplc="014AD722">
      <w:start w:val="1"/>
      <w:numFmt w:val="decimal"/>
      <w:pStyle w:val="Nabrajanjemera"/>
      <w:lvlText w:val="Приоритетна мера %1."/>
      <w:lvlJc w:val="left"/>
      <w:pPr>
        <w:ind w:left="786" w:hanging="360"/>
      </w:pPr>
      <w:rPr>
        <w:rFonts w:hint="default"/>
        <w:b/>
        <w:i w:val="0"/>
        <w:smallCaps/>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8FE286B"/>
    <w:multiLevelType w:val="multilevel"/>
    <w:tmpl w:val="7E8E7DFC"/>
    <w:lvl w:ilvl="0">
      <w:start w:val="1"/>
      <w:numFmt w:val="upperRoman"/>
      <w:pStyle w:val="IFS2012naslov1"/>
      <w:lvlText w:val="%1."/>
      <w:lvlJc w:val="left"/>
      <w:pPr>
        <w:ind w:left="1080" w:hanging="720"/>
      </w:pPr>
      <w:rPr>
        <w:rFonts w:hint="default"/>
      </w:rPr>
    </w:lvl>
    <w:lvl w:ilvl="1">
      <w:start w:val="1"/>
      <w:numFmt w:val="decimal"/>
      <w:isLgl/>
      <w:lvlText w:val="%1.%2."/>
      <w:lvlJc w:val="left"/>
      <w:pPr>
        <w:ind w:left="9651"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2" w15:restartNumberingAfterBreak="0">
    <w:nsid w:val="430A1BA8"/>
    <w:multiLevelType w:val="hybridMultilevel"/>
    <w:tmpl w:val="9560019E"/>
    <w:lvl w:ilvl="0" w:tplc="1DFCD06E">
      <w:start w:val="1"/>
      <w:numFmt w:val="bullet"/>
      <w:lvlText w:val=""/>
      <w:lvlJc w:val="left"/>
      <w:pPr>
        <w:ind w:left="1440" w:hanging="360"/>
      </w:pPr>
      <w:rPr>
        <w:rFonts w:ascii="Wingdings" w:hAnsi="Wingdings" w:hint="default"/>
        <w:color w:val="44546A" w:themeColor="text2"/>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15:restartNumberingAfterBreak="0">
    <w:nsid w:val="43A85611"/>
    <w:multiLevelType w:val="multilevel"/>
    <w:tmpl w:val="18667D1A"/>
    <w:lvl w:ilvl="0">
      <w:start w:val="1"/>
      <w:numFmt w:val="decimal"/>
      <w:pStyle w:val="NumPar1"/>
      <w:lvlText w:val="%1."/>
      <w:lvlJc w:val="left"/>
      <w:pPr>
        <w:tabs>
          <w:tab w:val="num" w:pos="850"/>
        </w:tabs>
        <w:ind w:left="850" w:hanging="850"/>
      </w:pPr>
      <w:rPr>
        <w:rFonts w:cs="Times New Roman"/>
      </w:rPr>
    </w:lvl>
    <w:lvl w:ilvl="1">
      <w:start w:val="1"/>
      <w:numFmt w:val="decimal"/>
      <w:pStyle w:val="NumPar2"/>
      <w:lvlText w:val="%1.%2."/>
      <w:lvlJc w:val="left"/>
      <w:pPr>
        <w:tabs>
          <w:tab w:val="num" w:pos="850"/>
        </w:tabs>
        <w:ind w:left="850" w:hanging="850"/>
      </w:pPr>
      <w:rPr>
        <w:rFonts w:cs="Times New Roman"/>
      </w:rPr>
    </w:lvl>
    <w:lvl w:ilvl="2">
      <w:start w:val="1"/>
      <w:numFmt w:val="decimal"/>
      <w:pStyle w:val="NumPar3"/>
      <w:lvlText w:val="%1.%2.%3."/>
      <w:lvlJc w:val="left"/>
      <w:pPr>
        <w:tabs>
          <w:tab w:val="num" w:pos="850"/>
        </w:tabs>
        <w:ind w:left="850" w:hanging="850"/>
      </w:pPr>
      <w:rPr>
        <w:rFonts w:cs="Times New Roman"/>
      </w:rPr>
    </w:lvl>
    <w:lvl w:ilvl="3">
      <w:start w:val="1"/>
      <w:numFmt w:val="decimal"/>
      <w:pStyle w:val="NumPar4"/>
      <w:lvlText w:val="%1.%2.%3.%4."/>
      <w:lvlJc w:val="left"/>
      <w:pPr>
        <w:tabs>
          <w:tab w:val="num" w:pos="850"/>
        </w:tabs>
        <w:ind w:left="850" w:hanging="85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24" w15:restartNumberingAfterBreak="0">
    <w:nsid w:val="46F3294C"/>
    <w:multiLevelType w:val="hybridMultilevel"/>
    <w:tmpl w:val="0C0A48A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F87463E"/>
    <w:multiLevelType w:val="hybridMultilevel"/>
    <w:tmpl w:val="F5B0096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67802E6"/>
    <w:multiLevelType w:val="hybridMultilevel"/>
    <w:tmpl w:val="D8BA17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D717A3C"/>
    <w:multiLevelType w:val="hybridMultilevel"/>
    <w:tmpl w:val="4498CBF0"/>
    <w:lvl w:ilvl="0" w:tplc="1DFCD06E">
      <w:start w:val="1"/>
      <w:numFmt w:val="bullet"/>
      <w:lvlText w:val=""/>
      <w:lvlJc w:val="left"/>
      <w:pPr>
        <w:ind w:left="720" w:hanging="360"/>
      </w:pPr>
      <w:rPr>
        <w:rFonts w:ascii="Wingdings" w:hAnsi="Wingdings" w:hint="default"/>
        <w:color w:val="44546A" w:themeColor="text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5FD5C5B"/>
    <w:multiLevelType w:val="hybridMultilevel"/>
    <w:tmpl w:val="A216C010"/>
    <w:lvl w:ilvl="0" w:tplc="1DFCD06E">
      <w:start w:val="1"/>
      <w:numFmt w:val="bullet"/>
      <w:lvlText w:val=""/>
      <w:lvlJc w:val="left"/>
      <w:pPr>
        <w:ind w:left="720" w:hanging="360"/>
      </w:pPr>
      <w:rPr>
        <w:rFonts w:ascii="Wingdings" w:hAnsi="Wingdings" w:hint="default"/>
        <w:color w:val="44546A" w:themeColor="text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89A278D"/>
    <w:multiLevelType w:val="hybridMultilevel"/>
    <w:tmpl w:val="2CA41BF0"/>
    <w:lvl w:ilvl="0" w:tplc="04090001">
      <w:start w:val="1"/>
      <w:numFmt w:val="bullet"/>
      <w:pStyle w:val="ListNumber4"/>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AA75434"/>
    <w:multiLevelType w:val="hybridMultilevel"/>
    <w:tmpl w:val="1F682A80"/>
    <w:lvl w:ilvl="0" w:tplc="1DFCD06E">
      <w:start w:val="1"/>
      <w:numFmt w:val="bullet"/>
      <w:lvlText w:val=""/>
      <w:lvlJc w:val="left"/>
      <w:pPr>
        <w:ind w:left="720" w:hanging="360"/>
      </w:pPr>
      <w:rPr>
        <w:rFonts w:ascii="Wingdings" w:hAnsi="Wingdings" w:hint="default"/>
        <w:color w:val="44546A" w:themeColor="text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8"/>
  </w:num>
  <w:num w:numId="3">
    <w:abstractNumId w:val="12"/>
  </w:num>
  <w:num w:numId="4">
    <w:abstractNumId w:val="17"/>
  </w:num>
  <w:num w:numId="5">
    <w:abstractNumId w:val="29"/>
  </w:num>
  <w:num w:numId="6">
    <w:abstractNumId w:val="1"/>
  </w:num>
  <w:num w:numId="7">
    <w:abstractNumId w:val="21"/>
  </w:num>
  <w:num w:numId="8">
    <w:abstractNumId w:val="9"/>
  </w:num>
  <w:num w:numId="9">
    <w:abstractNumId w:val="20"/>
  </w:num>
  <w:num w:numId="10">
    <w:abstractNumId w:val="15"/>
  </w:num>
  <w:num w:numId="11">
    <w:abstractNumId w:val="24"/>
  </w:num>
  <w:num w:numId="12">
    <w:abstractNumId w:val="25"/>
  </w:num>
  <w:num w:numId="13">
    <w:abstractNumId w:val="28"/>
  </w:num>
  <w:num w:numId="14">
    <w:abstractNumId w:val="27"/>
  </w:num>
  <w:num w:numId="15">
    <w:abstractNumId w:val="22"/>
  </w:num>
  <w:num w:numId="16">
    <w:abstractNumId w:val="8"/>
  </w:num>
  <w:num w:numId="17">
    <w:abstractNumId w:val="3"/>
  </w:num>
  <w:num w:numId="18">
    <w:abstractNumId w:val="10"/>
  </w:num>
  <w:num w:numId="19">
    <w:abstractNumId w:val="7"/>
  </w:num>
  <w:num w:numId="20">
    <w:abstractNumId w:val="6"/>
  </w:num>
  <w:num w:numId="21">
    <w:abstractNumId w:val="5"/>
  </w:num>
  <w:num w:numId="22">
    <w:abstractNumId w:val="4"/>
  </w:num>
  <w:num w:numId="23">
    <w:abstractNumId w:val="26"/>
  </w:num>
  <w:num w:numId="24">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30"/>
  </w:num>
  <w:num w:numId="26">
    <w:abstractNumId w:val="2"/>
  </w:num>
  <w:num w:numId="27">
    <w:abstractNumId w:val="19"/>
  </w:num>
  <w:num w:numId="28">
    <w:abstractNumId w:val="23"/>
  </w:num>
  <w:num w:numId="29">
    <w:abstractNumId w:val="11"/>
  </w:num>
  <w:num w:numId="30">
    <w:abstractNumId w:val="16"/>
  </w:num>
  <w:num w:numId="31">
    <w:abstractNumId w:val="14"/>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activeWritingStyle w:appName="MSWord" w:lang="ru-RU" w:vendorID="64" w:dllVersion="6" w:nlCheck="1" w:checkStyle="0"/>
  <w:activeWritingStyle w:appName="MSWord" w:lang="en-US" w:vendorID="64" w:dllVersion="6" w:nlCheck="1" w:checkStyle="0"/>
  <w:activeWritingStyle w:appName="MSWord" w:lang="en-GB" w:vendorID="64" w:dllVersion="6" w:nlCheck="1" w:checkStyle="1"/>
  <w:activeWritingStyle w:appName="MSWord" w:lang="en-GB" w:vendorID="64" w:dllVersion="4096" w:nlCheck="1" w:checkStyle="0"/>
  <w:activeWritingStyle w:appName="MSWord" w:lang="en-US" w:vendorID="64" w:dllVersion="4096" w:nlCheck="1" w:checkStyle="0"/>
  <w:activeWritingStyle w:appName="MSWord" w:lang="en-US" w:vendorID="64" w:dllVersion="131078" w:nlCheck="1" w:checkStyle="0"/>
  <w:activeWritingStyle w:appName="MSWord" w:lang="en-GB" w:vendorID="64" w:dllVersion="131078" w:nlCheck="1" w:checkStyle="0"/>
  <w:activeWritingStyle w:appName="MSWord" w:lang="ru-RU" w:vendorID="64" w:dllVersion="131078" w:nlCheck="1" w:checkStyle="0"/>
  <w:proofState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ayMDIyMjE2NjY0NzUxMDFT0lEKTi0uzszPAykwNKsFAOfHWSMtAAAA"/>
  </w:docVars>
  <w:rsids>
    <w:rsidRoot w:val="00797049"/>
    <w:rsid w:val="000006E6"/>
    <w:rsid w:val="00000DE8"/>
    <w:rsid w:val="00001E72"/>
    <w:rsid w:val="000020A3"/>
    <w:rsid w:val="00002B05"/>
    <w:rsid w:val="00012D78"/>
    <w:rsid w:val="000137AC"/>
    <w:rsid w:val="00013A0B"/>
    <w:rsid w:val="00014DAA"/>
    <w:rsid w:val="00015AE1"/>
    <w:rsid w:val="00015B4B"/>
    <w:rsid w:val="00016066"/>
    <w:rsid w:val="00016287"/>
    <w:rsid w:val="000169B7"/>
    <w:rsid w:val="00017C48"/>
    <w:rsid w:val="00022AB8"/>
    <w:rsid w:val="00024FE3"/>
    <w:rsid w:val="000260F7"/>
    <w:rsid w:val="000272D5"/>
    <w:rsid w:val="000274D2"/>
    <w:rsid w:val="000306FA"/>
    <w:rsid w:val="000309BB"/>
    <w:rsid w:val="00030D5A"/>
    <w:rsid w:val="00031CC2"/>
    <w:rsid w:val="00032157"/>
    <w:rsid w:val="000324A5"/>
    <w:rsid w:val="00032945"/>
    <w:rsid w:val="000335F3"/>
    <w:rsid w:val="00033627"/>
    <w:rsid w:val="000336DF"/>
    <w:rsid w:val="00033E00"/>
    <w:rsid w:val="00035AD8"/>
    <w:rsid w:val="00036356"/>
    <w:rsid w:val="00036738"/>
    <w:rsid w:val="00036DD7"/>
    <w:rsid w:val="00040056"/>
    <w:rsid w:val="00040ACE"/>
    <w:rsid w:val="00042597"/>
    <w:rsid w:val="00043758"/>
    <w:rsid w:val="000439A4"/>
    <w:rsid w:val="00045A4B"/>
    <w:rsid w:val="0004613A"/>
    <w:rsid w:val="0004623F"/>
    <w:rsid w:val="000466D1"/>
    <w:rsid w:val="00046CA9"/>
    <w:rsid w:val="000520F8"/>
    <w:rsid w:val="000524AA"/>
    <w:rsid w:val="00052735"/>
    <w:rsid w:val="00053A8F"/>
    <w:rsid w:val="00055592"/>
    <w:rsid w:val="00055B7C"/>
    <w:rsid w:val="000569AA"/>
    <w:rsid w:val="00056B85"/>
    <w:rsid w:val="00057B4C"/>
    <w:rsid w:val="00057F4B"/>
    <w:rsid w:val="000604DA"/>
    <w:rsid w:val="00063378"/>
    <w:rsid w:val="0006370D"/>
    <w:rsid w:val="00065017"/>
    <w:rsid w:val="00065B13"/>
    <w:rsid w:val="00067011"/>
    <w:rsid w:val="00067709"/>
    <w:rsid w:val="0007083B"/>
    <w:rsid w:val="0007126F"/>
    <w:rsid w:val="00071E66"/>
    <w:rsid w:val="000733FF"/>
    <w:rsid w:val="00074995"/>
    <w:rsid w:val="00074B8A"/>
    <w:rsid w:val="0007697A"/>
    <w:rsid w:val="00076C95"/>
    <w:rsid w:val="00077C67"/>
    <w:rsid w:val="00083E78"/>
    <w:rsid w:val="000840EF"/>
    <w:rsid w:val="00084834"/>
    <w:rsid w:val="0008543E"/>
    <w:rsid w:val="00092829"/>
    <w:rsid w:val="000962C5"/>
    <w:rsid w:val="00096BBB"/>
    <w:rsid w:val="000971EA"/>
    <w:rsid w:val="0009786B"/>
    <w:rsid w:val="000A195A"/>
    <w:rsid w:val="000A1B24"/>
    <w:rsid w:val="000A2ED6"/>
    <w:rsid w:val="000A3003"/>
    <w:rsid w:val="000A3531"/>
    <w:rsid w:val="000A4EC1"/>
    <w:rsid w:val="000A518D"/>
    <w:rsid w:val="000A5857"/>
    <w:rsid w:val="000A663B"/>
    <w:rsid w:val="000A7001"/>
    <w:rsid w:val="000A78FC"/>
    <w:rsid w:val="000A7CED"/>
    <w:rsid w:val="000B0B28"/>
    <w:rsid w:val="000B10CF"/>
    <w:rsid w:val="000B3461"/>
    <w:rsid w:val="000B3740"/>
    <w:rsid w:val="000B38A6"/>
    <w:rsid w:val="000B39F2"/>
    <w:rsid w:val="000B4DB4"/>
    <w:rsid w:val="000B544A"/>
    <w:rsid w:val="000B5661"/>
    <w:rsid w:val="000B590C"/>
    <w:rsid w:val="000B5A70"/>
    <w:rsid w:val="000B5EDA"/>
    <w:rsid w:val="000C01FD"/>
    <w:rsid w:val="000C07AF"/>
    <w:rsid w:val="000C3BEC"/>
    <w:rsid w:val="000C44D1"/>
    <w:rsid w:val="000C4B58"/>
    <w:rsid w:val="000C5935"/>
    <w:rsid w:val="000C6FA1"/>
    <w:rsid w:val="000D0544"/>
    <w:rsid w:val="000D0E36"/>
    <w:rsid w:val="000D2C56"/>
    <w:rsid w:val="000D310F"/>
    <w:rsid w:val="000D3771"/>
    <w:rsid w:val="000D410C"/>
    <w:rsid w:val="000D5CE6"/>
    <w:rsid w:val="000D6108"/>
    <w:rsid w:val="000D6A65"/>
    <w:rsid w:val="000D6ED5"/>
    <w:rsid w:val="000D722D"/>
    <w:rsid w:val="000D7465"/>
    <w:rsid w:val="000E0422"/>
    <w:rsid w:val="000E1C07"/>
    <w:rsid w:val="000E2A0C"/>
    <w:rsid w:val="000E3447"/>
    <w:rsid w:val="000E50E4"/>
    <w:rsid w:val="000E5602"/>
    <w:rsid w:val="000E5C13"/>
    <w:rsid w:val="000E5CD1"/>
    <w:rsid w:val="000E5E6B"/>
    <w:rsid w:val="000E6525"/>
    <w:rsid w:val="000E7DFE"/>
    <w:rsid w:val="000F00CC"/>
    <w:rsid w:val="000F26D4"/>
    <w:rsid w:val="000F28C3"/>
    <w:rsid w:val="000F44A7"/>
    <w:rsid w:val="000F4634"/>
    <w:rsid w:val="000F4925"/>
    <w:rsid w:val="000F5304"/>
    <w:rsid w:val="000F569C"/>
    <w:rsid w:val="000F647E"/>
    <w:rsid w:val="000F67F8"/>
    <w:rsid w:val="000F6F06"/>
    <w:rsid w:val="000F7989"/>
    <w:rsid w:val="00100974"/>
    <w:rsid w:val="00101941"/>
    <w:rsid w:val="00101E69"/>
    <w:rsid w:val="001024EF"/>
    <w:rsid w:val="0010272F"/>
    <w:rsid w:val="00102974"/>
    <w:rsid w:val="001050DB"/>
    <w:rsid w:val="00105E58"/>
    <w:rsid w:val="0010617D"/>
    <w:rsid w:val="001077E6"/>
    <w:rsid w:val="0011280A"/>
    <w:rsid w:val="00112B29"/>
    <w:rsid w:val="00112B6F"/>
    <w:rsid w:val="001138AE"/>
    <w:rsid w:val="001148BC"/>
    <w:rsid w:val="00114C7A"/>
    <w:rsid w:val="0011558D"/>
    <w:rsid w:val="00115D0E"/>
    <w:rsid w:val="001162EE"/>
    <w:rsid w:val="00117995"/>
    <w:rsid w:val="00120EF7"/>
    <w:rsid w:val="001216F1"/>
    <w:rsid w:val="001218D4"/>
    <w:rsid w:val="00123DB2"/>
    <w:rsid w:val="00123DFA"/>
    <w:rsid w:val="001242B4"/>
    <w:rsid w:val="00124DCA"/>
    <w:rsid w:val="001252B9"/>
    <w:rsid w:val="00125B23"/>
    <w:rsid w:val="00125E3B"/>
    <w:rsid w:val="00126765"/>
    <w:rsid w:val="00127CF3"/>
    <w:rsid w:val="00127F10"/>
    <w:rsid w:val="0013006E"/>
    <w:rsid w:val="001311AC"/>
    <w:rsid w:val="00131770"/>
    <w:rsid w:val="00131B9B"/>
    <w:rsid w:val="00132FE3"/>
    <w:rsid w:val="001341ED"/>
    <w:rsid w:val="00134DD9"/>
    <w:rsid w:val="001362F0"/>
    <w:rsid w:val="00136E03"/>
    <w:rsid w:val="00137637"/>
    <w:rsid w:val="00137728"/>
    <w:rsid w:val="00137A2E"/>
    <w:rsid w:val="00140B2E"/>
    <w:rsid w:val="0014139B"/>
    <w:rsid w:val="00141FEF"/>
    <w:rsid w:val="00142AC7"/>
    <w:rsid w:val="001436CE"/>
    <w:rsid w:val="00144B54"/>
    <w:rsid w:val="0014590C"/>
    <w:rsid w:val="00145DF8"/>
    <w:rsid w:val="001460C0"/>
    <w:rsid w:val="00147A94"/>
    <w:rsid w:val="00150ED1"/>
    <w:rsid w:val="0015100B"/>
    <w:rsid w:val="00151326"/>
    <w:rsid w:val="00152223"/>
    <w:rsid w:val="0015261E"/>
    <w:rsid w:val="00152E92"/>
    <w:rsid w:val="0015349A"/>
    <w:rsid w:val="001550BB"/>
    <w:rsid w:val="001553F6"/>
    <w:rsid w:val="00155FA6"/>
    <w:rsid w:val="001603E0"/>
    <w:rsid w:val="001608D7"/>
    <w:rsid w:val="001617F0"/>
    <w:rsid w:val="00162C43"/>
    <w:rsid w:val="0016454D"/>
    <w:rsid w:val="00165C22"/>
    <w:rsid w:val="00165F2B"/>
    <w:rsid w:val="001704C6"/>
    <w:rsid w:val="00170609"/>
    <w:rsid w:val="00170F63"/>
    <w:rsid w:val="001721D8"/>
    <w:rsid w:val="001737A3"/>
    <w:rsid w:val="00174752"/>
    <w:rsid w:val="00174D57"/>
    <w:rsid w:val="00174EDF"/>
    <w:rsid w:val="00175636"/>
    <w:rsid w:val="00176B54"/>
    <w:rsid w:val="00177234"/>
    <w:rsid w:val="00177DD2"/>
    <w:rsid w:val="00180D37"/>
    <w:rsid w:val="00181FA8"/>
    <w:rsid w:val="00183419"/>
    <w:rsid w:val="00184075"/>
    <w:rsid w:val="001840C4"/>
    <w:rsid w:val="0018553E"/>
    <w:rsid w:val="00186479"/>
    <w:rsid w:val="001870DE"/>
    <w:rsid w:val="00187D83"/>
    <w:rsid w:val="00190BD7"/>
    <w:rsid w:val="00192E23"/>
    <w:rsid w:val="0019320C"/>
    <w:rsid w:val="00193EC0"/>
    <w:rsid w:val="00194096"/>
    <w:rsid w:val="00196F94"/>
    <w:rsid w:val="001A00A7"/>
    <w:rsid w:val="001A035D"/>
    <w:rsid w:val="001A1222"/>
    <w:rsid w:val="001A3D0D"/>
    <w:rsid w:val="001A51FE"/>
    <w:rsid w:val="001B3D27"/>
    <w:rsid w:val="001B4CA8"/>
    <w:rsid w:val="001B6E46"/>
    <w:rsid w:val="001B6F54"/>
    <w:rsid w:val="001B7533"/>
    <w:rsid w:val="001C293A"/>
    <w:rsid w:val="001C42A2"/>
    <w:rsid w:val="001C6110"/>
    <w:rsid w:val="001C6A81"/>
    <w:rsid w:val="001C72D2"/>
    <w:rsid w:val="001C7B88"/>
    <w:rsid w:val="001C7C49"/>
    <w:rsid w:val="001D02F2"/>
    <w:rsid w:val="001D0341"/>
    <w:rsid w:val="001D0812"/>
    <w:rsid w:val="001D320E"/>
    <w:rsid w:val="001D4171"/>
    <w:rsid w:val="001D58B7"/>
    <w:rsid w:val="001D5AEF"/>
    <w:rsid w:val="001D71BB"/>
    <w:rsid w:val="001D775A"/>
    <w:rsid w:val="001E1744"/>
    <w:rsid w:val="001E1F98"/>
    <w:rsid w:val="001E28C8"/>
    <w:rsid w:val="001E3615"/>
    <w:rsid w:val="001E3C95"/>
    <w:rsid w:val="001E558B"/>
    <w:rsid w:val="001E604A"/>
    <w:rsid w:val="001E71D5"/>
    <w:rsid w:val="001E7781"/>
    <w:rsid w:val="001F1366"/>
    <w:rsid w:val="001F1E43"/>
    <w:rsid w:val="001F2ECD"/>
    <w:rsid w:val="001F3146"/>
    <w:rsid w:val="001F50C9"/>
    <w:rsid w:val="001F5119"/>
    <w:rsid w:val="001F728D"/>
    <w:rsid w:val="00200379"/>
    <w:rsid w:val="00200942"/>
    <w:rsid w:val="00201191"/>
    <w:rsid w:val="00201456"/>
    <w:rsid w:val="00201BEA"/>
    <w:rsid w:val="00202977"/>
    <w:rsid w:val="00202F36"/>
    <w:rsid w:val="00203015"/>
    <w:rsid w:val="002039D9"/>
    <w:rsid w:val="00204287"/>
    <w:rsid w:val="00204479"/>
    <w:rsid w:val="00205955"/>
    <w:rsid w:val="00206218"/>
    <w:rsid w:val="00206C1B"/>
    <w:rsid w:val="00207DB8"/>
    <w:rsid w:val="00210AD2"/>
    <w:rsid w:val="00210EBE"/>
    <w:rsid w:val="00211200"/>
    <w:rsid w:val="002122F3"/>
    <w:rsid w:val="00213E6E"/>
    <w:rsid w:val="002148DB"/>
    <w:rsid w:val="00214EDA"/>
    <w:rsid w:val="00215B72"/>
    <w:rsid w:val="00217452"/>
    <w:rsid w:val="0022028E"/>
    <w:rsid w:val="00220464"/>
    <w:rsid w:val="002216E6"/>
    <w:rsid w:val="00222585"/>
    <w:rsid w:val="00224134"/>
    <w:rsid w:val="0022473D"/>
    <w:rsid w:val="0022790B"/>
    <w:rsid w:val="00227AB9"/>
    <w:rsid w:val="00231E85"/>
    <w:rsid w:val="00233ECA"/>
    <w:rsid w:val="00234522"/>
    <w:rsid w:val="00234FB1"/>
    <w:rsid w:val="002364CD"/>
    <w:rsid w:val="00236EF5"/>
    <w:rsid w:val="00240B61"/>
    <w:rsid w:val="00241912"/>
    <w:rsid w:val="00243B8E"/>
    <w:rsid w:val="00244AC7"/>
    <w:rsid w:val="002466EA"/>
    <w:rsid w:val="0025003D"/>
    <w:rsid w:val="0025015E"/>
    <w:rsid w:val="00251AB4"/>
    <w:rsid w:val="00252161"/>
    <w:rsid w:val="002532F1"/>
    <w:rsid w:val="0025348C"/>
    <w:rsid w:val="00253A76"/>
    <w:rsid w:val="00253B3A"/>
    <w:rsid w:val="00253C01"/>
    <w:rsid w:val="00253E50"/>
    <w:rsid w:val="00254B25"/>
    <w:rsid w:val="00254ECD"/>
    <w:rsid w:val="00256703"/>
    <w:rsid w:val="002567A4"/>
    <w:rsid w:val="0026139F"/>
    <w:rsid w:val="00262C32"/>
    <w:rsid w:val="0026427F"/>
    <w:rsid w:val="002661A7"/>
    <w:rsid w:val="0026699A"/>
    <w:rsid w:val="00266F9F"/>
    <w:rsid w:val="00267430"/>
    <w:rsid w:val="00270295"/>
    <w:rsid w:val="002704DB"/>
    <w:rsid w:val="002716C6"/>
    <w:rsid w:val="00271C31"/>
    <w:rsid w:val="00272BBA"/>
    <w:rsid w:val="0027332F"/>
    <w:rsid w:val="00274030"/>
    <w:rsid w:val="002741A2"/>
    <w:rsid w:val="00274A67"/>
    <w:rsid w:val="00275739"/>
    <w:rsid w:val="0027579B"/>
    <w:rsid w:val="00275AE8"/>
    <w:rsid w:val="00276402"/>
    <w:rsid w:val="00280CDF"/>
    <w:rsid w:val="00280FC2"/>
    <w:rsid w:val="002826CE"/>
    <w:rsid w:val="00282C9C"/>
    <w:rsid w:val="00284191"/>
    <w:rsid w:val="00285C20"/>
    <w:rsid w:val="002860F8"/>
    <w:rsid w:val="002863C3"/>
    <w:rsid w:val="002879DB"/>
    <w:rsid w:val="002905C9"/>
    <w:rsid w:val="0029061D"/>
    <w:rsid w:val="00291CBC"/>
    <w:rsid w:val="002927F6"/>
    <w:rsid w:val="00292BCF"/>
    <w:rsid w:val="00293EB8"/>
    <w:rsid w:val="0029458E"/>
    <w:rsid w:val="002979AC"/>
    <w:rsid w:val="00297E37"/>
    <w:rsid w:val="002A2B8C"/>
    <w:rsid w:val="002A36D3"/>
    <w:rsid w:val="002A409F"/>
    <w:rsid w:val="002A6857"/>
    <w:rsid w:val="002A6B84"/>
    <w:rsid w:val="002A6C79"/>
    <w:rsid w:val="002A7232"/>
    <w:rsid w:val="002B0CFF"/>
    <w:rsid w:val="002B14D4"/>
    <w:rsid w:val="002B1550"/>
    <w:rsid w:val="002B16E7"/>
    <w:rsid w:val="002B176D"/>
    <w:rsid w:val="002B1F42"/>
    <w:rsid w:val="002B1F9D"/>
    <w:rsid w:val="002B36DA"/>
    <w:rsid w:val="002B3805"/>
    <w:rsid w:val="002B4647"/>
    <w:rsid w:val="002B469E"/>
    <w:rsid w:val="002B52B8"/>
    <w:rsid w:val="002B54DB"/>
    <w:rsid w:val="002B5E97"/>
    <w:rsid w:val="002B6728"/>
    <w:rsid w:val="002B77D1"/>
    <w:rsid w:val="002B7BA0"/>
    <w:rsid w:val="002C0AD2"/>
    <w:rsid w:val="002C0C52"/>
    <w:rsid w:val="002C0CB5"/>
    <w:rsid w:val="002C13A3"/>
    <w:rsid w:val="002C1A76"/>
    <w:rsid w:val="002C25D1"/>
    <w:rsid w:val="002C3436"/>
    <w:rsid w:val="002C3B67"/>
    <w:rsid w:val="002C3EC4"/>
    <w:rsid w:val="002C3FEF"/>
    <w:rsid w:val="002C4928"/>
    <w:rsid w:val="002C5470"/>
    <w:rsid w:val="002C5640"/>
    <w:rsid w:val="002C69B3"/>
    <w:rsid w:val="002C7197"/>
    <w:rsid w:val="002D0105"/>
    <w:rsid w:val="002D2BFB"/>
    <w:rsid w:val="002D318D"/>
    <w:rsid w:val="002D385F"/>
    <w:rsid w:val="002D42E1"/>
    <w:rsid w:val="002D475F"/>
    <w:rsid w:val="002D47AE"/>
    <w:rsid w:val="002D49B9"/>
    <w:rsid w:val="002D7078"/>
    <w:rsid w:val="002E0420"/>
    <w:rsid w:val="002E04BB"/>
    <w:rsid w:val="002E0CE3"/>
    <w:rsid w:val="002E1FF2"/>
    <w:rsid w:val="002E222C"/>
    <w:rsid w:val="002E248F"/>
    <w:rsid w:val="002E3364"/>
    <w:rsid w:val="002E35EF"/>
    <w:rsid w:val="002E3746"/>
    <w:rsid w:val="002E3CFC"/>
    <w:rsid w:val="002E5484"/>
    <w:rsid w:val="002E5B35"/>
    <w:rsid w:val="002E6934"/>
    <w:rsid w:val="002E6D1F"/>
    <w:rsid w:val="002E6D91"/>
    <w:rsid w:val="002E7E81"/>
    <w:rsid w:val="002F2911"/>
    <w:rsid w:val="002F2E15"/>
    <w:rsid w:val="002F4CC9"/>
    <w:rsid w:val="002F7F16"/>
    <w:rsid w:val="0030089D"/>
    <w:rsid w:val="00301463"/>
    <w:rsid w:val="00301E35"/>
    <w:rsid w:val="0030288E"/>
    <w:rsid w:val="003030E9"/>
    <w:rsid w:val="00304202"/>
    <w:rsid w:val="00304985"/>
    <w:rsid w:val="00306E5F"/>
    <w:rsid w:val="00307068"/>
    <w:rsid w:val="00310355"/>
    <w:rsid w:val="00310C45"/>
    <w:rsid w:val="0031123A"/>
    <w:rsid w:val="00312F4E"/>
    <w:rsid w:val="003155FE"/>
    <w:rsid w:val="00315DDB"/>
    <w:rsid w:val="00317FEC"/>
    <w:rsid w:val="003207C4"/>
    <w:rsid w:val="00320C35"/>
    <w:rsid w:val="00323489"/>
    <w:rsid w:val="0032417B"/>
    <w:rsid w:val="00324F32"/>
    <w:rsid w:val="003256E1"/>
    <w:rsid w:val="00325EAB"/>
    <w:rsid w:val="003276B1"/>
    <w:rsid w:val="003277A6"/>
    <w:rsid w:val="00330051"/>
    <w:rsid w:val="00330F5C"/>
    <w:rsid w:val="00330FF2"/>
    <w:rsid w:val="00332F5A"/>
    <w:rsid w:val="003330BA"/>
    <w:rsid w:val="0033359C"/>
    <w:rsid w:val="00333BF3"/>
    <w:rsid w:val="00333CD8"/>
    <w:rsid w:val="00334FF8"/>
    <w:rsid w:val="003352B8"/>
    <w:rsid w:val="00335DAD"/>
    <w:rsid w:val="00336757"/>
    <w:rsid w:val="00336AFC"/>
    <w:rsid w:val="00336C41"/>
    <w:rsid w:val="00336E7A"/>
    <w:rsid w:val="00340355"/>
    <w:rsid w:val="00342334"/>
    <w:rsid w:val="00342655"/>
    <w:rsid w:val="00343A3D"/>
    <w:rsid w:val="00344045"/>
    <w:rsid w:val="00344830"/>
    <w:rsid w:val="0034615F"/>
    <w:rsid w:val="003461C2"/>
    <w:rsid w:val="003468CB"/>
    <w:rsid w:val="003479DE"/>
    <w:rsid w:val="0035065C"/>
    <w:rsid w:val="003510B9"/>
    <w:rsid w:val="00352812"/>
    <w:rsid w:val="003529A3"/>
    <w:rsid w:val="00355C2A"/>
    <w:rsid w:val="0035745F"/>
    <w:rsid w:val="003579AC"/>
    <w:rsid w:val="00360754"/>
    <w:rsid w:val="003616A1"/>
    <w:rsid w:val="003633A8"/>
    <w:rsid w:val="00363A18"/>
    <w:rsid w:val="00366425"/>
    <w:rsid w:val="00366A11"/>
    <w:rsid w:val="00366CFD"/>
    <w:rsid w:val="0037056F"/>
    <w:rsid w:val="00371033"/>
    <w:rsid w:val="003711D8"/>
    <w:rsid w:val="00371A0E"/>
    <w:rsid w:val="00371F25"/>
    <w:rsid w:val="00373BE9"/>
    <w:rsid w:val="00373D56"/>
    <w:rsid w:val="003756BB"/>
    <w:rsid w:val="00375C03"/>
    <w:rsid w:val="00376B1A"/>
    <w:rsid w:val="003777B9"/>
    <w:rsid w:val="00377D9F"/>
    <w:rsid w:val="00377E1E"/>
    <w:rsid w:val="00380C07"/>
    <w:rsid w:val="00380F46"/>
    <w:rsid w:val="003816A6"/>
    <w:rsid w:val="00381D4E"/>
    <w:rsid w:val="00381EDD"/>
    <w:rsid w:val="00382BAC"/>
    <w:rsid w:val="00383E1F"/>
    <w:rsid w:val="00384026"/>
    <w:rsid w:val="00384515"/>
    <w:rsid w:val="00384F61"/>
    <w:rsid w:val="003852E0"/>
    <w:rsid w:val="0038541A"/>
    <w:rsid w:val="00385A24"/>
    <w:rsid w:val="00385B7D"/>
    <w:rsid w:val="00386680"/>
    <w:rsid w:val="00386775"/>
    <w:rsid w:val="003869CF"/>
    <w:rsid w:val="00386D27"/>
    <w:rsid w:val="00387094"/>
    <w:rsid w:val="00387A44"/>
    <w:rsid w:val="00387B35"/>
    <w:rsid w:val="0039015B"/>
    <w:rsid w:val="00390AA0"/>
    <w:rsid w:val="00393930"/>
    <w:rsid w:val="003948E5"/>
    <w:rsid w:val="0039538A"/>
    <w:rsid w:val="00395722"/>
    <w:rsid w:val="00396340"/>
    <w:rsid w:val="00396B9D"/>
    <w:rsid w:val="00396D62"/>
    <w:rsid w:val="00396F3D"/>
    <w:rsid w:val="0039768E"/>
    <w:rsid w:val="00397D0C"/>
    <w:rsid w:val="00397D50"/>
    <w:rsid w:val="003A0AE3"/>
    <w:rsid w:val="003A1248"/>
    <w:rsid w:val="003A1974"/>
    <w:rsid w:val="003A35B1"/>
    <w:rsid w:val="003A39D4"/>
    <w:rsid w:val="003A39F4"/>
    <w:rsid w:val="003A3FB3"/>
    <w:rsid w:val="003A6ABA"/>
    <w:rsid w:val="003B03B6"/>
    <w:rsid w:val="003B248B"/>
    <w:rsid w:val="003B3CCF"/>
    <w:rsid w:val="003B3D00"/>
    <w:rsid w:val="003B5984"/>
    <w:rsid w:val="003B5B09"/>
    <w:rsid w:val="003B60E6"/>
    <w:rsid w:val="003B6C1F"/>
    <w:rsid w:val="003C1037"/>
    <w:rsid w:val="003C1049"/>
    <w:rsid w:val="003C104E"/>
    <w:rsid w:val="003C2A0B"/>
    <w:rsid w:val="003C2A7D"/>
    <w:rsid w:val="003C4AE7"/>
    <w:rsid w:val="003C4B9F"/>
    <w:rsid w:val="003C5DC4"/>
    <w:rsid w:val="003C6FA6"/>
    <w:rsid w:val="003D0D20"/>
    <w:rsid w:val="003D1113"/>
    <w:rsid w:val="003D2724"/>
    <w:rsid w:val="003D3394"/>
    <w:rsid w:val="003D55F3"/>
    <w:rsid w:val="003D5869"/>
    <w:rsid w:val="003D5FE3"/>
    <w:rsid w:val="003D76C1"/>
    <w:rsid w:val="003D7AAF"/>
    <w:rsid w:val="003E04E7"/>
    <w:rsid w:val="003E12CE"/>
    <w:rsid w:val="003E312F"/>
    <w:rsid w:val="003E3683"/>
    <w:rsid w:val="003E3750"/>
    <w:rsid w:val="003E3C9B"/>
    <w:rsid w:val="003E3E51"/>
    <w:rsid w:val="003E4DB6"/>
    <w:rsid w:val="003E57B8"/>
    <w:rsid w:val="003E640B"/>
    <w:rsid w:val="003E7A90"/>
    <w:rsid w:val="003E7D1D"/>
    <w:rsid w:val="003F01A2"/>
    <w:rsid w:val="003F4269"/>
    <w:rsid w:val="003F5310"/>
    <w:rsid w:val="003F56B1"/>
    <w:rsid w:val="003F5B19"/>
    <w:rsid w:val="003F6ECB"/>
    <w:rsid w:val="003F721E"/>
    <w:rsid w:val="00400538"/>
    <w:rsid w:val="004006D2"/>
    <w:rsid w:val="004013DE"/>
    <w:rsid w:val="00401C93"/>
    <w:rsid w:val="00403284"/>
    <w:rsid w:val="0040385C"/>
    <w:rsid w:val="004050EB"/>
    <w:rsid w:val="00407172"/>
    <w:rsid w:val="00410D53"/>
    <w:rsid w:val="00410DB2"/>
    <w:rsid w:val="00410DEF"/>
    <w:rsid w:val="004111E9"/>
    <w:rsid w:val="00411455"/>
    <w:rsid w:val="004118F0"/>
    <w:rsid w:val="004119EE"/>
    <w:rsid w:val="00411FBD"/>
    <w:rsid w:val="0041208E"/>
    <w:rsid w:val="00413D49"/>
    <w:rsid w:val="00415A12"/>
    <w:rsid w:val="00415B3D"/>
    <w:rsid w:val="004202A9"/>
    <w:rsid w:val="00421233"/>
    <w:rsid w:val="00421267"/>
    <w:rsid w:val="00421FAF"/>
    <w:rsid w:val="00422633"/>
    <w:rsid w:val="00422E18"/>
    <w:rsid w:val="00422F3C"/>
    <w:rsid w:val="0042307B"/>
    <w:rsid w:val="00424517"/>
    <w:rsid w:val="004245AE"/>
    <w:rsid w:val="00424F05"/>
    <w:rsid w:val="00425264"/>
    <w:rsid w:val="004262B3"/>
    <w:rsid w:val="00426466"/>
    <w:rsid w:val="0042748E"/>
    <w:rsid w:val="00430371"/>
    <w:rsid w:val="0043062B"/>
    <w:rsid w:val="00431107"/>
    <w:rsid w:val="004314F0"/>
    <w:rsid w:val="0043218A"/>
    <w:rsid w:val="00432907"/>
    <w:rsid w:val="00434C03"/>
    <w:rsid w:val="00434D9C"/>
    <w:rsid w:val="00435CA6"/>
    <w:rsid w:val="004379F8"/>
    <w:rsid w:val="00440B9B"/>
    <w:rsid w:val="00440DD7"/>
    <w:rsid w:val="00442605"/>
    <w:rsid w:val="00442AEC"/>
    <w:rsid w:val="004442F2"/>
    <w:rsid w:val="004449E9"/>
    <w:rsid w:val="00445BF4"/>
    <w:rsid w:val="00446676"/>
    <w:rsid w:val="004468DB"/>
    <w:rsid w:val="00447339"/>
    <w:rsid w:val="00447F5E"/>
    <w:rsid w:val="004512D1"/>
    <w:rsid w:val="00451981"/>
    <w:rsid w:val="00451B8D"/>
    <w:rsid w:val="004527CB"/>
    <w:rsid w:val="0045341D"/>
    <w:rsid w:val="00453E27"/>
    <w:rsid w:val="00453F51"/>
    <w:rsid w:val="004546A2"/>
    <w:rsid w:val="00455182"/>
    <w:rsid w:val="00457C30"/>
    <w:rsid w:val="00464796"/>
    <w:rsid w:val="00464F5F"/>
    <w:rsid w:val="004652DD"/>
    <w:rsid w:val="00465CE2"/>
    <w:rsid w:val="004669FD"/>
    <w:rsid w:val="0046775B"/>
    <w:rsid w:val="00467AFF"/>
    <w:rsid w:val="0047017C"/>
    <w:rsid w:val="00471ACC"/>
    <w:rsid w:val="0047302B"/>
    <w:rsid w:val="004739FD"/>
    <w:rsid w:val="0047512E"/>
    <w:rsid w:val="0047598D"/>
    <w:rsid w:val="0047749A"/>
    <w:rsid w:val="004777A4"/>
    <w:rsid w:val="004801D0"/>
    <w:rsid w:val="0048081F"/>
    <w:rsid w:val="00480BCD"/>
    <w:rsid w:val="004819DA"/>
    <w:rsid w:val="00482291"/>
    <w:rsid w:val="004825B8"/>
    <w:rsid w:val="0048287C"/>
    <w:rsid w:val="00482C63"/>
    <w:rsid w:val="00483284"/>
    <w:rsid w:val="0048553F"/>
    <w:rsid w:val="00485BCD"/>
    <w:rsid w:val="004874B7"/>
    <w:rsid w:val="004904B2"/>
    <w:rsid w:val="004905E2"/>
    <w:rsid w:val="0049158C"/>
    <w:rsid w:val="004938BE"/>
    <w:rsid w:val="004940F0"/>
    <w:rsid w:val="00494380"/>
    <w:rsid w:val="00494FC0"/>
    <w:rsid w:val="00495774"/>
    <w:rsid w:val="00495EF3"/>
    <w:rsid w:val="00495F46"/>
    <w:rsid w:val="00496883"/>
    <w:rsid w:val="004A02EE"/>
    <w:rsid w:val="004A1D96"/>
    <w:rsid w:val="004A3031"/>
    <w:rsid w:val="004A3525"/>
    <w:rsid w:val="004A3CCD"/>
    <w:rsid w:val="004A4F9E"/>
    <w:rsid w:val="004A5A65"/>
    <w:rsid w:val="004A6D12"/>
    <w:rsid w:val="004A6EEE"/>
    <w:rsid w:val="004B03A0"/>
    <w:rsid w:val="004B0B23"/>
    <w:rsid w:val="004B0CC8"/>
    <w:rsid w:val="004B1B7C"/>
    <w:rsid w:val="004B1F66"/>
    <w:rsid w:val="004B2A91"/>
    <w:rsid w:val="004B2F06"/>
    <w:rsid w:val="004B3192"/>
    <w:rsid w:val="004B3ED5"/>
    <w:rsid w:val="004B4045"/>
    <w:rsid w:val="004B4786"/>
    <w:rsid w:val="004B53A6"/>
    <w:rsid w:val="004B5EFA"/>
    <w:rsid w:val="004B6B15"/>
    <w:rsid w:val="004B7060"/>
    <w:rsid w:val="004B77A8"/>
    <w:rsid w:val="004C07DE"/>
    <w:rsid w:val="004C0D78"/>
    <w:rsid w:val="004C1702"/>
    <w:rsid w:val="004C18C7"/>
    <w:rsid w:val="004C211C"/>
    <w:rsid w:val="004C2768"/>
    <w:rsid w:val="004C27FC"/>
    <w:rsid w:val="004C28EA"/>
    <w:rsid w:val="004C35AB"/>
    <w:rsid w:val="004C43DB"/>
    <w:rsid w:val="004C541E"/>
    <w:rsid w:val="004C599B"/>
    <w:rsid w:val="004C7997"/>
    <w:rsid w:val="004D19A0"/>
    <w:rsid w:val="004D230C"/>
    <w:rsid w:val="004D33F0"/>
    <w:rsid w:val="004D3F5B"/>
    <w:rsid w:val="004D4156"/>
    <w:rsid w:val="004D461F"/>
    <w:rsid w:val="004D6726"/>
    <w:rsid w:val="004D728F"/>
    <w:rsid w:val="004D7572"/>
    <w:rsid w:val="004D7E44"/>
    <w:rsid w:val="004E0984"/>
    <w:rsid w:val="004E0A88"/>
    <w:rsid w:val="004E16D2"/>
    <w:rsid w:val="004E21EF"/>
    <w:rsid w:val="004E2E5D"/>
    <w:rsid w:val="004E4F1A"/>
    <w:rsid w:val="004E576E"/>
    <w:rsid w:val="004E57DB"/>
    <w:rsid w:val="004E5D95"/>
    <w:rsid w:val="004E601F"/>
    <w:rsid w:val="004E6AFD"/>
    <w:rsid w:val="004E7230"/>
    <w:rsid w:val="004E72CF"/>
    <w:rsid w:val="004E7B0F"/>
    <w:rsid w:val="004F1583"/>
    <w:rsid w:val="004F1AA1"/>
    <w:rsid w:val="004F1BF8"/>
    <w:rsid w:val="004F1C33"/>
    <w:rsid w:val="004F1EF3"/>
    <w:rsid w:val="004F287B"/>
    <w:rsid w:val="004F4240"/>
    <w:rsid w:val="004F4ADA"/>
    <w:rsid w:val="004F5192"/>
    <w:rsid w:val="004F59B9"/>
    <w:rsid w:val="004F70CB"/>
    <w:rsid w:val="00501568"/>
    <w:rsid w:val="005021DB"/>
    <w:rsid w:val="00502A14"/>
    <w:rsid w:val="00503B0C"/>
    <w:rsid w:val="00503C85"/>
    <w:rsid w:val="00504E10"/>
    <w:rsid w:val="005052DA"/>
    <w:rsid w:val="00505A5E"/>
    <w:rsid w:val="005060A6"/>
    <w:rsid w:val="005060D9"/>
    <w:rsid w:val="00506244"/>
    <w:rsid w:val="00506C1F"/>
    <w:rsid w:val="00506E75"/>
    <w:rsid w:val="00510260"/>
    <w:rsid w:val="005104C2"/>
    <w:rsid w:val="00510973"/>
    <w:rsid w:val="0051225A"/>
    <w:rsid w:val="00512282"/>
    <w:rsid w:val="00513541"/>
    <w:rsid w:val="00513D86"/>
    <w:rsid w:val="00514D6A"/>
    <w:rsid w:val="00515142"/>
    <w:rsid w:val="005153C0"/>
    <w:rsid w:val="00515E22"/>
    <w:rsid w:val="005164CE"/>
    <w:rsid w:val="00516C31"/>
    <w:rsid w:val="0052044C"/>
    <w:rsid w:val="00521287"/>
    <w:rsid w:val="00524A98"/>
    <w:rsid w:val="00524AB1"/>
    <w:rsid w:val="00524E61"/>
    <w:rsid w:val="00525362"/>
    <w:rsid w:val="0052577F"/>
    <w:rsid w:val="00525F7A"/>
    <w:rsid w:val="00526094"/>
    <w:rsid w:val="0052689F"/>
    <w:rsid w:val="00526F36"/>
    <w:rsid w:val="00527A51"/>
    <w:rsid w:val="00527B84"/>
    <w:rsid w:val="00527D14"/>
    <w:rsid w:val="0053028D"/>
    <w:rsid w:val="00530F17"/>
    <w:rsid w:val="005326D7"/>
    <w:rsid w:val="00534798"/>
    <w:rsid w:val="00534C06"/>
    <w:rsid w:val="00534F4E"/>
    <w:rsid w:val="005351A0"/>
    <w:rsid w:val="0053595C"/>
    <w:rsid w:val="005375DF"/>
    <w:rsid w:val="00537B19"/>
    <w:rsid w:val="00540609"/>
    <w:rsid w:val="00541C08"/>
    <w:rsid w:val="00543E3A"/>
    <w:rsid w:val="005444CD"/>
    <w:rsid w:val="005457D2"/>
    <w:rsid w:val="00545F19"/>
    <w:rsid w:val="00546453"/>
    <w:rsid w:val="005478EF"/>
    <w:rsid w:val="00547D89"/>
    <w:rsid w:val="00550474"/>
    <w:rsid w:val="00551263"/>
    <w:rsid w:val="0055152E"/>
    <w:rsid w:val="0055280A"/>
    <w:rsid w:val="00552B30"/>
    <w:rsid w:val="005552E3"/>
    <w:rsid w:val="0055693E"/>
    <w:rsid w:val="005569E7"/>
    <w:rsid w:val="00560635"/>
    <w:rsid w:val="00560CAC"/>
    <w:rsid w:val="00562D11"/>
    <w:rsid w:val="00562D74"/>
    <w:rsid w:val="00563037"/>
    <w:rsid w:val="00563F10"/>
    <w:rsid w:val="00564155"/>
    <w:rsid w:val="00564540"/>
    <w:rsid w:val="00565BFB"/>
    <w:rsid w:val="005674A7"/>
    <w:rsid w:val="0057091A"/>
    <w:rsid w:val="005714F2"/>
    <w:rsid w:val="00571D45"/>
    <w:rsid w:val="00572619"/>
    <w:rsid w:val="00573009"/>
    <w:rsid w:val="005739CD"/>
    <w:rsid w:val="00574019"/>
    <w:rsid w:val="005744A5"/>
    <w:rsid w:val="00575CD2"/>
    <w:rsid w:val="00577BF9"/>
    <w:rsid w:val="00577C04"/>
    <w:rsid w:val="00577D6E"/>
    <w:rsid w:val="00580059"/>
    <w:rsid w:val="00580133"/>
    <w:rsid w:val="00580E99"/>
    <w:rsid w:val="005813EB"/>
    <w:rsid w:val="0058170F"/>
    <w:rsid w:val="005817F0"/>
    <w:rsid w:val="005818F4"/>
    <w:rsid w:val="005820D7"/>
    <w:rsid w:val="005823F8"/>
    <w:rsid w:val="00583A8C"/>
    <w:rsid w:val="00587133"/>
    <w:rsid w:val="00587875"/>
    <w:rsid w:val="00591CC0"/>
    <w:rsid w:val="0059206E"/>
    <w:rsid w:val="0059589C"/>
    <w:rsid w:val="005965A2"/>
    <w:rsid w:val="0059669D"/>
    <w:rsid w:val="00597FE3"/>
    <w:rsid w:val="00597FF7"/>
    <w:rsid w:val="005A0495"/>
    <w:rsid w:val="005A1859"/>
    <w:rsid w:val="005A1958"/>
    <w:rsid w:val="005A1E5D"/>
    <w:rsid w:val="005A2B43"/>
    <w:rsid w:val="005A3081"/>
    <w:rsid w:val="005A33CF"/>
    <w:rsid w:val="005A3946"/>
    <w:rsid w:val="005A3C17"/>
    <w:rsid w:val="005A4237"/>
    <w:rsid w:val="005A4830"/>
    <w:rsid w:val="005A52A6"/>
    <w:rsid w:val="005A5F68"/>
    <w:rsid w:val="005A611A"/>
    <w:rsid w:val="005A65E2"/>
    <w:rsid w:val="005A6DD6"/>
    <w:rsid w:val="005A7265"/>
    <w:rsid w:val="005A7294"/>
    <w:rsid w:val="005B0363"/>
    <w:rsid w:val="005B2030"/>
    <w:rsid w:val="005B2C3E"/>
    <w:rsid w:val="005B2E1E"/>
    <w:rsid w:val="005B35F3"/>
    <w:rsid w:val="005B4B18"/>
    <w:rsid w:val="005B6AAF"/>
    <w:rsid w:val="005B6D11"/>
    <w:rsid w:val="005B70AB"/>
    <w:rsid w:val="005B7DB6"/>
    <w:rsid w:val="005C11EC"/>
    <w:rsid w:val="005C2649"/>
    <w:rsid w:val="005C288D"/>
    <w:rsid w:val="005C2EFD"/>
    <w:rsid w:val="005C35FA"/>
    <w:rsid w:val="005C3ABF"/>
    <w:rsid w:val="005C40FB"/>
    <w:rsid w:val="005C4156"/>
    <w:rsid w:val="005C451A"/>
    <w:rsid w:val="005C756A"/>
    <w:rsid w:val="005C77E2"/>
    <w:rsid w:val="005D0D13"/>
    <w:rsid w:val="005D0E66"/>
    <w:rsid w:val="005D2EEE"/>
    <w:rsid w:val="005D77C7"/>
    <w:rsid w:val="005E2598"/>
    <w:rsid w:val="005E2CDC"/>
    <w:rsid w:val="005E333F"/>
    <w:rsid w:val="005E65E7"/>
    <w:rsid w:val="005E78EA"/>
    <w:rsid w:val="005F0318"/>
    <w:rsid w:val="005F1B90"/>
    <w:rsid w:val="005F2182"/>
    <w:rsid w:val="005F26DA"/>
    <w:rsid w:val="005F2E61"/>
    <w:rsid w:val="005F3193"/>
    <w:rsid w:val="005F4510"/>
    <w:rsid w:val="005F5A7D"/>
    <w:rsid w:val="005F733E"/>
    <w:rsid w:val="005F7CEE"/>
    <w:rsid w:val="005F7E08"/>
    <w:rsid w:val="0060016D"/>
    <w:rsid w:val="00600D1C"/>
    <w:rsid w:val="00601439"/>
    <w:rsid w:val="00602019"/>
    <w:rsid w:val="006039A4"/>
    <w:rsid w:val="00603A8B"/>
    <w:rsid w:val="00603C5B"/>
    <w:rsid w:val="0060423A"/>
    <w:rsid w:val="006047A9"/>
    <w:rsid w:val="00607145"/>
    <w:rsid w:val="00607898"/>
    <w:rsid w:val="006104B4"/>
    <w:rsid w:val="00610A75"/>
    <w:rsid w:val="00610F9D"/>
    <w:rsid w:val="0061107C"/>
    <w:rsid w:val="00611338"/>
    <w:rsid w:val="00611DA0"/>
    <w:rsid w:val="00611DAF"/>
    <w:rsid w:val="00612D57"/>
    <w:rsid w:val="00613408"/>
    <w:rsid w:val="00613492"/>
    <w:rsid w:val="00613CB3"/>
    <w:rsid w:val="0061413A"/>
    <w:rsid w:val="0061418F"/>
    <w:rsid w:val="00615D63"/>
    <w:rsid w:val="00616221"/>
    <w:rsid w:val="0061628B"/>
    <w:rsid w:val="00617CB9"/>
    <w:rsid w:val="006205D2"/>
    <w:rsid w:val="00620844"/>
    <w:rsid w:val="0062169A"/>
    <w:rsid w:val="00621B32"/>
    <w:rsid w:val="00623484"/>
    <w:rsid w:val="00623B24"/>
    <w:rsid w:val="006244BF"/>
    <w:rsid w:val="00625DBF"/>
    <w:rsid w:val="00626314"/>
    <w:rsid w:val="00626AC4"/>
    <w:rsid w:val="00626E55"/>
    <w:rsid w:val="0062763C"/>
    <w:rsid w:val="00631EAD"/>
    <w:rsid w:val="0063370F"/>
    <w:rsid w:val="00633BAF"/>
    <w:rsid w:val="00636500"/>
    <w:rsid w:val="00637C64"/>
    <w:rsid w:val="00640567"/>
    <w:rsid w:val="00641419"/>
    <w:rsid w:val="00642E17"/>
    <w:rsid w:val="006437C7"/>
    <w:rsid w:val="00643C8D"/>
    <w:rsid w:val="00646A9B"/>
    <w:rsid w:val="00647E8A"/>
    <w:rsid w:val="00650ECB"/>
    <w:rsid w:val="00650F7F"/>
    <w:rsid w:val="0065245F"/>
    <w:rsid w:val="00652D12"/>
    <w:rsid w:val="00653585"/>
    <w:rsid w:val="0065364A"/>
    <w:rsid w:val="006566ED"/>
    <w:rsid w:val="0065728B"/>
    <w:rsid w:val="00657819"/>
    <w:rsid w:val="00660066"/>
    <w:rsid w:val="0066087D"/>
    <w:rsid w:val="00660CA2"/>
    <w:rsid w:val="006615AC"/>
    <w:rsid w:val="00661603"/>
    <w:rsid w:val="0066187F"/>
    <w:rsid w:val="00661D48"/>
    <w:rsid w:val="00663CE6"/>
    <w:rsid w:val="00665099"/>
    <w:rsid w:val="00665839"/>
    <w:rsid w:val="0066789A"/>
    <w:rsid w:val="0067024C"/>
    <w:rsid w:val="006703FC"/>
    <w:rsid w:val="006715CE"/>
    <w:rsid w:val="00671AC9"/>
    <w:rsid w:val="00671F4B"/>
    <w:rsid w:val="00672D1F"/>
    <w:rsid w:val="0067426F"/>
    <w:rsid w:val="00674E64"/>
    <w:rsid w:val="006755A1"/>
    <w:rsid w:val="0067605A"/>
    <w:rsid w:val="00676837"/>
    <w:rsid w:val="006778F6"/>
    <w:rsid w:val="0068036B"/>
    <w:rsid w:val="00682BA0"/>
    <w:rsid w:val="00685C5A"/>
    <w:rsid w:val="00686BC1"/>
    <w:rsid w:val="00687260"/>
    <w:rsid w:val="006902A1"/>
    <w:rsid w:val="0069096A"/>
    <w:rsid w:val="00691D63"/>
    <w:rsid w:val="006940F1"/>
    <w:rsid w:val="0069425C"/>
    <w:rsid w:val="0069448E"/>
    <w:rsid w:val="00695770"/>
    <w:rsid w:val="00695C78"/>
    <w:rsid w:val="00696F78"/>
    <w:rsid w:val="00697382"/>
    <w:rsid w:val="00697724"/>
    <w:rsid w:val="006A0140"/>
    <w:rsid w:val="006A138B"/>
    <w:rsid w:val="006A1BEF"/>
    <w:rsid w:val="006A28CE"/>
    <w:rsid w:val="006A48F5"/>
    <w:rsid w:val="006A4E10"/>
    <w:rsid w:val="006A60B5"/>
    <w:rsid w:val="006A66F4"/>
    <w:rsid w:val="006A789C"/>
    <w:rsid w:val="006A7A99"/>
    <w:rsid w:val="006B041F"/>
    <w:rsid w:val="006B051D"/>
    <w:rsid w:val="006B0787"/>
    <w:rsid w:val="006B0889"/>
    <w:rsid w:val="006B1227"/>
    <w:rsid w:val="006B314E"/>
    <w:rsid w:val="006B3D79"/>
    <w:rsid w:val="006B5B76"/>
    <w:rsid w:val="006B6780"/>
    <w:rsid w:val="006B69D6"/>
    <w:rsid w:val="006C0E63"/>
    <w:rsid w:val="006C198C"/>
    <w:rsid w:val="006C1F01"/>
    <w:rsid w:val="006C20D0"/>
    <w:rsid w:val="006C20F6"/>
    <w:rsid w:val="006C2389"/>
    <w:rsid w:val="006C23AF"/>
    <w:rsid w:val="006C2F27"/>
    <w:rsid w:val="006C365B"/>
    <w:rsid w:val="006C4A33"/>
    <w:rsid w:val="006C547C"/>
    <w:rsid w:val="006C5944"/>
    <w:rsid w:val="006C5948"/>
    <w:rsid w:val="006C633C"/>
    <w:rsid w:val="006C63C9"/>
    <w:rsid w:val="006C7009"/>
    <w:rsid w:val="006C7B8D"/>
    <w:rsid w:val="006D0778"/>
    <w:rsid w:val="006D0C6D"/>
    <w:rsid w:val="006D0F50"/>
    <w:rsid w:val="006D131B"/>
    <w:rsid w:val="006D1CBD"/>
    <w:rsid w:val="006D2BE2"/>
    <w:rsid w:val="006D5474"/>
    <w:rsid w:val="006D6696"/>
    <w:rsid w:val="006D67F5"/>
    <w:rsid w:val="006D690A"/>
    <w:rsid w:val="006D6D1D"/>
    <w:rsid w:val="006D72AC"/>
    <w:rsid w:val="006D787D"/>
    <w:rsid w:val="006D7F18"/>
    <w:rsid w:val="006E0F34"/>
    <w:rsid w:val="006E1AF2"/>
    <w:rsid w:val="006E2776"/>
    <w:rsid w:val="006E3D67"/>
    <w:rsid w:val="006E4BD3"/>
    <w:rsid w:val="006E68F3"/>
    <w:rsid w:val="006E6FF7"/>
    <w:rsid w:val="006E7673"/>
    <w:rsid w:val="006E778F"/>
    <w:rsid w:val="006F038E"/>
    <w:rsid w:val="006F0467"/>
    <w:rsid w:val="006F09C2"/>
    <w:rsid w:val="006F2955"/>
    <w:rsid w:val="006F4A7D"/>
    <w:rsid w:val="006F4BDE"/>
    <w:rsid w:val="006F5417"/>
    <w:rsid w:val="006F645D"/>
    <w:rsid w:val="006F6891"/>
    <w:rsid w:val="006F6D53"/>
    <w:rsid w:val="006F759C"/>
    <w:rsid w:val="00700E5A"/>
    <w:rsid w:val="00701EC8"/>
    <w:rsid w:val="0070260A"/>
    <w:rsid w:val="0070276C"/>
    <w:rsid w:val="0070417B"/>
    <w:rsid w:val="007042B6"/>
    <w:rsid w:val="00705918"/>
    <w:rsid w:val="00705B21"/>
    <w:rsid w:val="00706959"/>
    <w:rsid w:val="00707304"/>
    <w:rsid w:val="00710F0A"/>
    <w:rsid w:val="00710FE9"/>
    <w:rsid w:val="007117C2"/>
    <w:rsid w:val="00711AF5"/>
    <w:rsid w:val="00711F30"/>
    <w:rsid w:val="0071281F"/>
    <w:rsid w:val="0071335A"/>
    <w:rsid w:val="007141C1"/>
    <w:rsid w:val="00714796"/>
    <w:rsid w:val="00715B79"/>
    <w:rsid w:val="00715B97"/>
    <w:rsid w:val="00715D28"/>
    <w:rsid w:val="00715EA2"/>
    <w:rsid w:val="007160BB"/>
    <w:rsid w:val="007160E5"/>
    <w:rsid w:val="00716DC6"/>
    <w:rsid w:val="00720961"/>
    <w:rsid w:val="00721B88"/>
    <w:rsid w:val="00722515"/>
    <w:rsid w:val="00722715"/>
    <w:rsid w:val="007236D3"/>
    <w:rsid w:val="00724541"/>
    <w:rsid w:val="007246F3"/>
    <w:rsid w:val="007251A9"/>
    <w:rsid w:val="00725578"/>
    <w:rsid w:val="007262B8"/>
    <w:rsid w:val="007272B6"/>
    <w:rsid w:val="00727B35"/>
    <w:rsid w:val="00730771"/>
    <w:rsid w:val="00731814"/>
    <w:rsid w:val="0073236A"/>
    <w:rsid w:val="00732445"/>
    <w:rsid w:val="00734F86"/>
    <w:rsid w:val="00734FAD"/>
    <w:rsid w:val="007351E3"/>
    <w:rsid w:val="007357D6"/>
    <w:rsid w:val="00735C8F"/>
    <w:rsid w:val="00736876"/>
    <w:rsid w:val="0073704A"/>
    <w:rsid w:val="00740003"/>
    <w:rsid w:val="00740E58"/>
    <w:rsid w:val="00740EE7"/>
    <w:rsid w:val="00741267"/>
    <w:rsid w:val="00741890"/>
    <w:rsid w:val="00742053"/>
    <w:rsid w:val="007425E8"/>
    <w:rsid w:val="00743871"/>
    <w:rsid w:val="007448F7"/>
    <w:rsid w:val="007463A9"/>
    <w:rsid w:val="00746C5F"/>
    <w:rsid w:val="00747367"/>
    <w:rsid w:val="00747A4C"/>
    <w:rsid w:val="007505B1"/>
    <w:rsid w:val="00750ADF"/>
    <w:rsid w:val="007510F2"/>
    <w:rsid w:val="00753287"/>
    <w:rsid w:val="00753D07"/>
    <w:rsid w:val="0075409F"/>
    <w:rsid w:val="0075490C"/>
    <w:rsid w:val="0075494B"/>
    <w:rsid w:val="007553DD"/>
    <w:rsid w:val="0075602B"/>
    <w:rsid w:val="0075627A"/>
    <w:rsid w:val="00756FB1"/>
    <w:rsid w:val="007575CC"/>
    <w:rsid w:val="00757DEB"/>
    <w:rsid w:val="00760D38"/>
    <w:rsid w:val="007616DF"/>
    <w:rsid w:val="007622B6"/>
    <w:rsid w:val="007629CA"/>
    <w:rsid w:val="00762DE5"/>
    <w:rsid w:val="00763141"/>
    <w:rsid w:val="007639D9"/>
    <w:rsid w:val="00764B06"/>
    <w:rsid w:val="00765B8F"/>
    <w:rsid w:val="00766476"/>
    <w:rsid w:val="00766F9D"/>
    <w:rsid w:val="0076756B"/>
    <w:rsid w:val="0076760C"/>
    <w:rsid w:val="00770530"/>
    <w:rsid w:val="00770694"/>
    <w:rsid w:val="007706DE"/>
    <w:rsid w:val="00770DE4"/>
    <w:rsid w:val="00772C60"/>
    <w:rsid w:val="00773F74"/>
    <w:rsid w:val="00774AF1"/>
    <w:rsid w:val="00776BD7"/>
    <w:rsid w:val="00781122"/>
    <w:rsid w:val="007821FB"/>
    <w:rsid w:val="00783C0A"/>
    <w:rsid w:val="00784623"/>
    <w:rsid w:val="00784ABE"/>
    <w:rsid w:val="00787889"/>
    <w:rsid w:val="007902D0"/>
    <w:rsid w:val="00791E6E"/>
    <w:rsid w:val="00792ABB"/>
    <w:rsid w:val="00795C03"/>
    <w:rsid w:val="00795D8E"/>
    <w:rsid w:val="007966E4"/>
    <w:rsid w:val="00796F9C"/>
    <w:rsid w:val="00797049"/>
    <w:rsid w:val="00797AE0"/>
    <w:rsid w:val="007A07E7"/>
    <w:rsid w:val="007A0E6C"/>
    <w:rsid w:val="007A0EB8"/>
    <w:rsid w:val="007A14A2"/>
    <w:rsid w:val="007A1539"/>
    <w:rsid w:val="007A17B7"/>
    <w:rsid w:val="007A2188"/>
    <w:rsid w:val="007A2496"/>
    <w:rsid w:val="007A25D3"/>
    <w:rsid w:val="007A25F4"/>
    <w:rsid w:val="007A28B9"/>
    <w:rsid w:val="007A2D0B"/>
    <w:rsid w:val="007A4B5B"/>
    <w:rsid w:val="007A4C17"/>
    <w:rsid w:val="007B2B5E"/>
    <w:rsid w:val="007B2ED1"/>
    <w:rsid w:val="007B59FE"/>
    <w:rsid w:val="007B61E5"/>
    <w:rsid w:val="007B69F9"/>
    <w:rsid w:val="007B6BFF"/>
    <w:rsid w:val="007B6F29"/>
    <w:rsid w:val="007B73C8"/>
    <w:rsid w:val="007C013F"/>
    <w:rsid w:val="007C0F14"/>
    <w:rsid w:val="007C1F34"/>
    <w:rsid w:val="007C2486"/>
    <w:rsid w:val="007C29DD"/>
    <w:rsid w:val="007C3538"/>
    <w:rsid w:val="007C56AD"/>
    <w:rsid w:val="007C56B7"/>
    <w:rsid w:val="007C7833"/>
    <w:rsid w:val="007C78CB"/>
    <w:rsid w:val="007C7DAA"/>
    <w:rsid w:val="007D09C0"/>
    <w:rsid w:val="007D1257"/>
    <w:rsid w:val="007D1B05"/>
    <w:rsid w:val="007D2445"/>
    <w:rsid w:val="007D28A5"/>
    <w:rsid w:val="007D322B"/>
    <w:rsid w:val="007D3416"/>
    <w:rsid w:val="007D3A61"/>
    <w:rsid w:val="007D4DEA"/>
    <w:rsid w:val="007D5448"/>
    <w:rsid w:val="007D5C1A"/>
    <w:rsid w:val="007D74AC"/>
    <w:rsid w:val="007E0785"/>
    <w:rsid w:val="007E139D"/>
    <w:rsid w:val="007E1B95"/>
    <w:rsid w:val="007E1DAE"/>
    <w:rsid w:val="007E3D2B"/>
    <w:rsid w:val="007E5F3C"/>
    <w:rsid w:val="007E67A6"/>
    <w:rsid w:val="007E7295"/>
    <w:rsid w:val="007E7580"/>
    <w:rsid w:val="007F1CC6"/>
    <w:rsid w:val="007F285F"/>
    <w:rsid w:val="007F3B95"/>
    <w:rsid w:val="007F3F19"/>
    <w:rsid w:val="007F4277"/>
    <w:rsid w:val="007F4B6E"/>
    <w:rsid w:val="007F4E06"/>
    <w:rsid w:val="007F7835"/>
    <w:rsid w:val="007F7EB2"/>
    <w:rsid w:val="00800AF5"/>
    <w:rsid w:val="008023BD"/>
    <w:rsid w:val="0080326F"/>
    <w:rsid w:val="00803EE5"/>
    <w:rsid w:val="008044C8"/>
    <w:rsid w:val="0080459A"/>
    <w:rsid w:val="00805B73"/>
    <w:rsid w:val="00807C35"/>
    <w:rsid w:val="00807E41"/>
    <w:rsid w:val="008105F9"/>
    <w:rsid w:val="00810C28"/>
    <w:rsid w:val="00812DFA"/>
    <w:rsid w:val="008147CA"/>
    <w:rsid w:val="00814DDB"/>
    <w:rsid w:val="00816D03"/>
    <w:rsid w:val="008171A7"/>
    <w:rsid w:val="00817867"/>
    <w:rsid w:val="008207C1"/>
    <w:rsid w:val="00820CEB"/>
    <w:rsid w:val="00821443"/>
    <w:rsid w:val="0082172D"/>
    <w:rsid w:val="008217AA"/>
    <w:rsid w:val="008226BC"/>
    <w:rsid w:val="00823AA0"/>
    <w:rsid w:val="00823CAB"/>
    <w:rsid w:val="00824676"/>
    <w:rsid w:val="00824BAC"/>
    <w:rsid w:val="00824C9A"/>
    <w:rsid w:val="00826441"/>
    <w:rsid w:val="00827887"/>
    <w:rsid w:val="00830135"/>
    <w:rsid w:val="00830D7D"/>
    <w:rsid w:val="00831C8B"/>
    <w:rsid w:val="00831FF9"/>
    <w:rsid w:val="00832BE1"/>
    <w:rsid w:val="00832DF3"/>
    <w:rsid w:val="00832EE5"/>
    <w:rsid w:val="008332B5"/>
    <w:rsid w:val="0083361C"/>
    <w:rsid w:val="008343A6"/>
    <w:rsid w:val="00834AB0"/>
    <w:rsid w:val="00835669"/>
    <w:rsid w:val="008365D0"/>
    <w:rsid w:val="008375C8"/>
    <w:rsid w:val="00841704"/>
    <w:rsid w:val="00841D37"/>
    <w:rsid w:val="00842861"/>
    <w:rsid w:val="00842EFE"/>
    <w:rsid w:val="008430DE"/>
    <w:rsid w:val="0084393C"/>
    <w:rsid w:val="00845CB0"/>
    <w:rsid w:val="0084640C"/>
    <w:rsid w:val="0085116E"/>
    <w:rsid w:val="008528E5"/>
    <w:rsid w:val="00853323"/>
    <w:rsid w:val="00854FCC"/>
    <w:rsid w:val="00854FFB"/>
    <w:rsid w:val="00855174"/>
    <w:rsid w:val="00855B48"/>
    <w:rsid w:val="00856857"/>
    <w:rsid w:val="008579CF"/>
    <w:rsid w:val="00860A19"/>
    <w:rsid w:val="00861631"/>
    <w:rsid w:val="00861649"/>
    <w:rsid w:val="00862232"/>
    <w:rsid w:val="008636AC"/>
    <w:rsid w:val="008639E6"/>
    <w:rsid w:val="008641D5"/>
    <w:rsid w:val="00864523"/>
    <w:rsid w:val="00866085"/>
    <w:rsid w:val="00866D9B"/>
    <w:rsid w:val="0087003E"/>
    <w:rsid w:val="00872089"/>
    <w:rsid w:val="008725AF"/>
    <w:rsid w:val="00872CF4"/>
    <w:rsid w:val="0087346D"/>
    <w:rsid w:val="00874F24"/>
    <w:rsid w:val="0087526E"/>
    <w:rsid w:val="00877A7B"/>
    <w:rsid w:val="00880510"/>
    <w:rsid w:val="00881254"/>
    <w:rsid w:val="008821DB"/>
    <w:rsid w:val="008822C7"/>
    <w:rsid w:val="00882CA6"/>
    <w:rsid w:val="00883BA2"/>
    <w:rsid w:val="0088400F"/>
    <w:rsid w:val="008840E0"/>
    <w:rsid w:val="00885300"/>
    <w:rsid w:val="00885330"/>
    <w:rsid w:val="0088590A"/>
    <w:rsid w:val="00885D1E"/>
    <w:rsid w:val="00886871"/>
    <w:rsid w:val="00892A98"/>
    <w:rsid w:val="00893374"/>
    <w:rsid w:val="008933D8"/>
    <w:rsid w:val="008943C8"/>
    <w:rsid w:val="00894DC8"/>
    <w:rsid w:val="00896365"/>
    <w:rsid w:val="008A012D"/>
    <w:rsid w:val="008A0C9D"/>
    <w:rsid w:val="008A11FA"/>
    <w:rsid w:val="008A1E98"/>
    <w:rsid w:val="008A1ECC"/>
    <w:rsid w:val="008A1EF9"/>
    <w:rsid w:val="008A214A"/>
    <w:rsid w:val="008A38D8"/>
    <w:rsid w:val="008A3BDF"/>
    <w:rsid w:val="008A3D21"/>
    <w:rsid w:val="008A4F01"/>
    <w:rsid w:val="008A5639"/>
    <w:rsid w:val="008A67EC"/>
    <w:rsid w:val="008A7E85"/>
    <w:rsid w:val="008B0404"/>
    <w:rsid w:val="008B0FB3"/>
    <w:rsid w:val="008B15E9"/>
    <w:rsid w:val="008B22E9"/>
    <w:rsid w:val="008B2FE3"/>
    <w:rsid w:val="008B38E4"/>
    <w:rsid w:val="008B3D55"/>
    <w:rsid w:val="008B587D"/>
    <w:rsid w:val="008B5BFB"/>
    <w:rsid w:val="008B75A0"/>
    <w:rsid w:val="008C0397"/>
    <w:rsid w:val="008C17E2"/>
    <w:rsid w:val="008C213A"/>
    <w:rsid w:val="008C2B1A"/>
    <w:rsid w:val="008C3E07"/>
    <w:rsid w:val="008C40F2"/>
    <w:rsid w:val="008C50EA"/>
    <w:rsid w:val="008C55A2"/>
    <w:rsid w:val="008C56A3"/>
    <w:rsid w:val="008C5CE3"/>
    <w:rsid w:val="008C5D77"/>
    <w:rsid w:val="008D1A79"/>
    <w:rsid w:val="008D1F13"/>
    <w:rsid w:val="008D22C0"/>
    <w:rsid w:val="008D3366"/>
    <w:rsid w:val="008D39C4"/>
    <w:rsid w:val="008D4802"/>
    <w:rsid w:val="008D4F38"/>
    <w:rsid w:val="008D5B8D"/>
    <w:rsid w:val="008D691E"/>
    <w:rsid w:val="008D70DC"/>
    <w:rsid w:val="008D7594"/>
    <w:rsid w:val="008D78F3"/>
    <w:rsid w:val="008E197B"/>
    <w:rsid w:val="008E2E8D"/>
    <w:rsid w:val="008E39EA"/>
    <w:rsid w:val="008E5060"/>
    <w:rsid w:val="008E68FA"/>
    <w:rsid w:val="008E6A75"/>
    <w:rsid w:val="008E74F9"/>
    <w:rsid w:val="008F1F0C"/>
    <w:rsid w:val="008F22E0"/>
    <w:rsid w:val="008F3B6D"/>
    <w:rsid w:val="008F48D8"/>
    <w:rsid w:val="008F521E"/>
    <w:rsid w:val="008F657A"/>
    <w:rsid w:val="00900A02"/>
    <w:rsid w:val="0090303B"/>
    <w:rsid w:val="00903A11"/>
    <w:rsid w:val="00903F69"/>
    <w:rsid w:val="00904640"/>
    <w:rsid w:val="00905A9F"/>
    <w:rsid w:val="0090611F"/>
    <w:rsid w:val="00906D02"/>
    <w:rsid w:val="009103FF"/>
    <w:rsid w:val="009105E8"/>
    <w:rsid w:val="00912C05"/>
    <w:rsid w:val="00912CA5"/>
    <w:rsid w:val="00913C14"/>
    <w:rsid w:val="00914076"/>
    <w:rsid w:val="00916E48"/>
    <w:rsid w:val="00916F31"/>
    <w:rsid w:val="00921113"/>
    <w:rsid w:val="009235C5"/>
    <w:rsid w:val="00923D8E"/>
    <w:rsid w:val="00923E25"/>
    <w:rsid w:val="0092412B"/>
    <w:rsid w:val="009241A2"/>
    <w:rsid w:val="0092468C"/>
    <w:rsid w:val="00924BCA"/>
    <w:rsid w:val="00925F0C"/>
    <w:rsid w:val="00926192"/>
    <w:rsid w:val="00926304"/>
    <w:rsid w:val="009308CE"/>
    <w:rsid w:val="00930E1A"/>
    <w:rsid w:val="00930F9D"/>
    <w:rsid w:val="00932B4F"/>
    <w:rsid w:val="00932F88"/>
    <w:rsid w:val="009332DB"/>
    <w:rsid w:val="009333E2"/>
    <w:rsid w:val="0093362A"/>
    <w:rsid w:val="00933E3D"/>
    <w:rsid w:val="00933F5C"/>
    <w:rsid w:val="00935ECF"/>
    <w:rsid w:val="0093681C"/>
    <w:rsid w:val="00937854"/>
    <w:rsid w:val="00937BFB"/>
    <w:rsid w:val="00941155"/>
    <w:rsid w:val="00941F82"/>
    <w:rsid w:val="00942077"/>
    <w:rsid w:val="0094261C"/>
    <w:rsid w:val="0094566A"/>
    <w:rsid w:val="00945CCC"/>
    <w:rsid w:val="00946500"/>
    <w:rsid w:val="00950C47"/>
    <w:rsid w:val="00950FDE"/>
    <w:rsid w:val="009511B5"/>
    <w:rsid w:val="009517A7"/>
    <w:rsid w:val="00951FE0"/>
    <w:rsid w:val="00953198"/>
    <w:rsid w:val="00954295"/>
    <w:rsid w:val="00954D52"/>
    <w:rsid w:val="009551C8"/>
    <w:rsid w:val="0095591A"/>
    <w:rsid w:val="00955EB4"/>
    <w:rsid w:val="00956282"/>
    <w:rsid w:val="0095794A"/>
    <w:rsid w:val="0096014E"/>
    <w:rsid w:val="009613EF"/>
    <w:rsid w:val="00961A04"/>
    <w:rsid w:val="00961D5A"/>
    <w:rsid w:val="00963514"/>
    <w:rsid w:val="0096436C"/>
    <w:rsid w:val="009653F7"/>
    <w:rsid w:val="009655A3"/>
    <w:rsid w:val="00966D98"/>
    <w:rsid w:val="00966F0C"/>
    <w:rsid w:val="00967283"/>
    <w:rsid w:val="00967A5D"/>
    <w:rsid w:val="00967E21"/>
    <w:rsid w:val="00970039"/>
    <w:rsid w:val="00970EFE"/>
    <w:rsid w:val="00970F0C"/>
    <w:rsid w:val="00971211"/>
    <w:rsid w:val="0097183A"/>
    <w:rsid w:val="00971CAE"/>
    <w:rsid w:val="009720B6"/>
    <w:rsid w:val="009720D6"/>
    <w:rsid w:val="009727B0"/>
    <w:rsid w:val="00973B05"/>
    <w:rsid w:val="00975218"/>
    <w:rsid w:val="009754B4"/>
    <w:rsid w:val="0097588D"/>
    <w:rsid w:val="009760C3"/>
    <w:rsid w:val="0098003B"/>
    <w:rsid w:val="00981B55"/>
    <w:rsid w:val="00981FDD"/>
    <w:rsid w:val="0098256F"/>
    <w:rsid w:val="009829C5"/>
    <w:rsid w:val="00982B31"/>
    <w:rsid w:val="00983920"/>
    <w:rsid w:val="00984CFE"/>
    <w:rsid w:val="009902EB"/>
    <w:rsid w:val="009910C5"/>
    <w:rsid w:val="00992527"/>
    <w:rsid w:val="00992B51"/>
    <w:rsid w:val="00992B59"/>
    <w:rsid w:val="0099332A"/>
    <w:rsid w:val="0099370B"/>
    <w:rsid w:val="009943B4"/>
    <w:rsid w:val="00995DD8"/>
    <w:rsid w:val="009A032C"/>
    <w:rsid w:val="009A1280"/>
    <w:rsid w:val="009A1321"/>
    <w:rsid w:val="009A1E48"/>
    <w:rsid w:val="009A2B9A"/>
    <w:rsid w:val="009A389E"/>
    <w:rsid w:val="009A431D"/>
    <w:rsid w:val="009A4EE8"/>
    <w:rsid w:val="009A5089"/>
    <w:rsid w:val="009A5C25"/>
    <w:rsid w:val="009B0814"/>
    <w:rsid w:val="009B241C"/>
    <w:rsid w:val="009B402F"/>
    <w:rsid w:val="009B4520"/>
    <w:rsid w:val="009B4A55"/>
    <w:rsid w:val="009B4C7F"/>
    <w:rsid w:val="009B5AAF"/>
    <w:rsid w:val="009B5C04"/>
    <w:rsid w:val="009B7C2D"/>
    <w:rsid w:val="009C01B4"/>
    <w:rsid w:val="009C0A23"/>
    <w:rsid w:val="009C1A2C"/>
    <w:rsid w:val="009C1F49"/>
    <w:rsid w:val="009C32E3"/>
    <w:rsid w:val="009C38FE"/>
    <w:rsid w:val="009C39F8"/>
    <w:rsid w:val="009C3E78"/>
    <w:rsid w:val="009C7740"/>
    <w:rsid w:val="009D0423"/>
    <w:rsid w:val="009D04A6"/>
    <w:rsid w:val="009D0C40"/>
    <w:rsid w:val="009D2C37"/>
    <w:rsid w:val="009D5767"/>
    <w:rsid w:val="009D6472"/>
    <w:rsid w:val="009D6798"/>
    <w:rsid w:val="009D6B48"/>
    <w:rsid w:val="009D7580"/>
    <w:rsid w:val="009D7735"/>
    <w:rsid w:val="009D7A09"/>
    <w:rsid w:val="009E0321"/>
    <w:rsid w:val="009E104C"/>
    <w:rsid w:val="009E1B81"/>
    <w:rsid w:val="009E1B88"/>
    <w:rsid w:val="009E33C6"/>
    <w:rsid w:val="009E3DAA"/>
    <w:rsid w:val="009E3E68"/>
    <w:rsid w:val="009E4346"/>
    <w:rsid w:val="009E51E9"/>
    <w:rsid w:val="009E5366"/>
    <w:rsid w:val="009E62DF"/>
    <w:rsid w:val="009E6E81"/>
    <w:rsid w:val="009E774C"/>
    <w:rsid w:val="009F046A"/>
    <w:rsid w:val="009F2129"/>
    <w:rsid w:val="009F2410"/>
    <w:rsid w:val="009F2AAD"/>
    <w:rsid w:val="009F305C"/>
    <w:rsid w:val="009F3BD8"/>
    <w:rsid w:val="009F5B62"/>
    <w:rsid w:val="009F66D5"/>
    <w:rsid w:val="009F7FB9"/>
    <w:rsid w:val="00A00CD6"/>
    <w:rsid w:val="00A023EB"/>
    <w:rsid w:val="00A02C36"/>
    <w:rsid w:val="00A03A46"/>
    <w:rsid w:val="00A041F8"/>
    <w:rsid w:val="00A044A7"/>
    <w:rsid w:val="00A045E8"/>
    <w:rsid w:val="00A054A5"/>
    <w:rsid w:val="00A10098"/>
    <w:rsid w:val="00A1019B"/>
    <w:rsid w:val="00A121A1"/>
    <w:rsid w:val="00A13A51"/>
    <w:rsid w:val="00A13C50"/>
    <w:rsid w:val="00A13F5E"/>
    <w:rsid w:val="00A14016"/>
    <w:rsid w:val="00A14517"/>
    <w:rsid w:val="00A15448"/>
    <w:rsid w:val="00A17481"/>
    <w:rsid w:val="00A20EA4"/>
    <w:rsid w:val="00A20FB9"/>
    <w:rsid w:val="00A21968"/>
    <w:rsid w:val="00A22C37"/>
    <w:rsid w:val="00A22E60"/>
    <w:rsid w:val="00A242BF"/>
    <w:rsid w:val="00A258B2"/>
    <w:rsid w:val="00A2635B"/>
    <w:rsid w:val="00A30655"/>
    <w:rsid w:val="00A3375F"/>
    <w:rsid w:val="00A34CAE"/>
    <w:rsid w:val="00A34F5F"/>
    <w:rsid w:val="00A364FA"/>
    <w:rsid w:val="00A36CC0"/>
    <w:rsid w:val="00A37211"/>
    <w:rsid w:val="00A37F3E"/>
    <w:rsid w:val="00A412E1"/>
    <w:rsid w:val="00A41C9C"/>
    <w:rsid w:val="00A431D6"/>
    <w:rsid w:val="00A43A99"/>
    <w:rsid w:val="00A4536F"/>
    <w:rsid w:val="00A45393"/>
    <w:rsid w:val="00A4561D"/>
    <w:rsid w:val="00A458D7"/>
    <w:rsid w:val="00A46D95"/>
    <w:rsid w:val="00A47630"/>
    <w:rsid w:val="00A477DE"/>
    <w:rsid w:val="00A47C2C"/>
    <w:rsid w:val="00A50E42"/>
    <w:rsid w:val="00A528EF"/>
    <w:rsid w:val="00A551AC"/>
    <w:rsid w:val="00A55675"/>
    <w:rsid w:val="00A55A8A"/>
    <w:rsid w:val="00A55ED2"/>
    <w:rsid w:val="00A56DC9"/>
    <w:rsid w:val="00A6030D"/>
    <w:rsid w:val="00A61090"/>
    <w:rsid w:val="00A61B6A"/>
    <w:rsid w:val="00A63AB9"/>
    <w:rsid w:val="00A6621F"/>
    <w:rsid w:val="00A662C8"/>
    <w:rsid w:val="00A67515"/>
    <w:rsid w:val="00A70329"/>
    <w:rsid w:val="00A70672"/>
    <w:rsid w:val="00A71BD7"/>
    <w:rsid w:val="00A72478"/>
    <w:rsid w:val="00A724F1"/>
    <w:rsid w:val="00A728D8"/>
    <w:rsid w:val="00A74A7D"/>
    <w:rsid w:val="00A74EC4"/>
    <w:rsid w:val="00A751A7"/>
    <w:rsid w:val="00A75382"/>
    <w:rsid w:val="00A7557E"/>
    <w:rsid w:val="00A80025"/>
    <w:rsid w:val="00A8050B"/>
    <w:rsid w:val="00A810FC"/>
    <w:rsid w:val="00A817E1"/>
    <w:rsid w:val="00A82C5B"/>
    <w:rsid w:val="00A8410A"/>
    <w:rsid w:val="00A85219"/>
    <w:rsid w:val="00A85C2B"/>
    <w:rsid w:val="00A85E0D"/>
    <w:rsid w:val="00A86097"/>
    <w:rsid w:val="00A8649F"/>
    <w:rsid w:val="00A867E5"/>
    <w:rsid w:val="00A90E23"/>
    <w:rsid w:val="00A9385D"/>
    <w:rsid w:val="00A93D49"/>
    <w:rsid w:val="00A93DA8"/>
    <w:rsid w:val="00A9505F"/>
    <w:rsid w:val="00A9529F"/>
    <w:rsid w:val="00A97BD9"/>
    <w:rsid w:val="00AA03C0"/>
    <w:rsid w:val="00AA0C6A"/>
    <w:rsid w:val="00AA0F94"/>
    <w:rsid w:val="00AA1085"/>
    <w:rsid w:val="00AA1092"/>
    <w:rsid w:val="00AA1BAE"/>
    <w:rsid w:val="00AA2AB7"/>
    <w:rsid w:val="00AA338B"/>
    <w:rsid w:val="00AA34B6"/>
    <w:rsid w:val="00AA368B"/>
    <w:rsid w:val="00AA5193"/>
    <w:rsid w:val="00AA52D5"/>
    <w:rsid w:val="00AA5AD3"/>
    <w:rsid w:val="00AA7490"/>
    <w:rsid w:val="00AA7B76"/>
    <w:rsid w:val="00AB00F9"/>
    <w:rsid w:val="00AB02CD"/>
    <w:rsid w:val="00AB2254"/>
    <w:rsid w:val="00AB2715"/>
    <w:rsid w:val="00AB2E92"/>
    <w:rsid w:val="00AB3AC5"/>
    <w:rsid w:val="00AB3B78"/>
    <w:rsid w:val="00AB3F77"/>
    <w:rsid w:val="00AB4A7F"/>
    <w:rsid w:val="00AB4F73"/>
    <w:rsid w:val="00AB5071"/>
    <w:rsid w:val="00AB53BF"/>
    <w:rsid w:val="00AB7442"/>
    <w:rsid w:val="00AC0746"/>
    <w:rsid w:val="00AC0E3C"/>
    <w:rsid w:val="00AC12B4"/>
    <w:rsid w:val="00AC1FEE"/>
    <w:rsid w:val="00AC260C"/>
    <w:rsid w:val="00AC2CA1"/>
    <w:rsid w:val="00AC2F68"/>
    <w:rsid w:val="00AC3EBB"/>
    <w:rsid w:val="00AC4759"/>
    <w:rsid w:val="00AC4AAC"/>
    <w:rsid w:val="00AC4F6B"/>
    <w:rsid w:val="00AC5D29"/>
    <w:rsid w:val="00AC7033"/>
    <w:rsid w:val="00AC74BB"/>
    <w:rsid w:val="00AC7A21"/>
    <w:rsid w:val="00AC7CC1"/>
    <w:rsid w:val="00AD08D6"/>
    <w:rsid w:val="00AD1A67"/>
    <w:rsid w:val="00AD229E"/>
    <w:rsid w:val="00AD3149"/>
    <w:rsid w:val="00AD32FB"/>
    <w:rsid w:val="00AD5E21"/>
    <w:rsid w:val="00AD62DA"/>
    <w:rsid w:val="00AD6447"/>
    <w:rsid w:val="00AD6C7C"/>
    <w:rsid w:val="00AD7EA0"/>
    <w:rsid w:val="00AE0752"/>
    <w:rsid w:val="00AE0C88"/>
    <w:rsid w:val="00AE1610"/>
    <w:rsid w:val="00AE21EC"/>
    <w:rsid w:val="00AE26FF"/>
    <w:rsid w:val="00AE28AE"/>
    <w:rsid w:val="00AE2E25"/>
    <w:rsid w:val="00AE2F44"/>
    <w:rsid w:val="00AE3D4D"/>
    <w:rsid w:val="00AE44EB"/>
    <w:rsid w:val="00AE7305"/>
    <w:rsid w:val="00AE7A62"/>
    <w:rsid w:val="00AE7B50"/>
    <w:rsid w:val="00AF05A3"/>
    <w:rsid w:val="00AF1691"/>
    <w:rsid w:val="00AF1831"/>
    <w:rsid w:val="00AF1BF1"/>
    <w:rsid w:val="00AF1C6C"/>
    <w:rsid w:val="00AF210A"/>
    <w:rsid w:val="00AF2FF9"/>
    <w:rsid w:val="00AF643F"/>
    <w:rsid w:val="00AF6B80"/>
    <w:rsid w:val="00AF6FA9"/>
    <w:rsid w:val="00AF76EC"/>
    <w:rsid w:val="00AF77D7"/>
    <w:rsid w:val="00B01746"/>
    <w:rsid w:val="00B021B7"/>
    <w:rsid w:val="00B03F96"/>
    <w:rsid w:val="00B045B3"/>
    <w:rsid w:val="00B061AE"/>
    <w:rsid w:val="00B06AA2"/>
    <w:rsid w:val="00B10FE2"/>
    <w:rsid w:val="00B119FB"/>
    <w:rsid w:val="00B11D4D"/>
    <w:rsid w:val="00B1210E"/>
    <w:rsid w:val="00B12A7C"/>
    <w:rsid w:val="00B1318C"/>
    <w:rsid w:val="00B13B77"/>
    <w:rsid w:val="00B1454A"/>
    <w:rsid w:val="00B14875"/>
    <w:rsid w:val="00B175E1"/>
    <w:rsid w:val="00B20677"/>
    <w:rsid w:val="00B20F0C"/>
    <w:rsid w:val="00B21972"/>
    <w:rsid w:val="00B2262A"/>
    <w:rsid w:val="00B24D6C"/>
    <w:rsid w:val="00B2747B"/>
    <w:rsid w:val="00B27953"/>
    <w:rsid w:val="00B31645"/>
    <w:rsid w:val="00B318F2"/>
    <w:rsid w:val="00B3196F"/>
    <w:rsid w:val="00B3237F"/>
    <w:rsid w:val="00B326DA"/>
    <w:rsid w:val="00B32A2B"/>
    <w:rsid w:val="00B3663A"/>
    <w:rsid w:val="00B373A7"/>
    <w:rsid w:val="00B376D0"/>
    <w:rsid w:val="00B4065C"/>
    <w:rsid w:val="00B425B2"/>
    <w:rsid w:val="00B42C76"/>
    <w:rsid w:val="00B43F64"/>
    <w:rsid w:val="00B4473E"/>
    <w:rsid w:val="00B45889"/>
    <w:rsid w:val="00B46507"/>
    <w:rsid w:val="00B46C04"/>
    <w:rsid w:val="00B46DED"/>
    <w:rsid w:val="00B5275E"/>
    <w:rsid w:val="00B53011"/>
    <w:rsid w:val="00B54602"/>
    <w:rsid w:val="00B5488A"/>
    <w:rsid w:val="00B54D1D"/>
    <w:rsid w:val="00B622F1"/>
    <w:rsid w:val="00B63947"/>
    <w:rsid w:val="00B649CF"/>
    <w:rsid w:val="00B64D4E"/>
    <w:rsid w:val="00B656B5"/>
    <w:rsid w:val="00B658B7"/>
    <w:rsid w:val="00B65911"/>
    <w:rsid w:val="00B662E5"/>
    <w:rsid w:val="00B66407"/>
    <w:rsid w:val="00B66F3B"/>
    <w:rsid w:val="00B67094"/>
    <w:rsid w:val="00B70382"/>
    <w:rsid w:val="00B704D2"/>
    <w:rsid w:val="00B70953"/>
    <w:rsid w:val="00B72DDF"/>
    <w:rsid w:val="00B74096"/>
    <w:rsid w:val="00B745CB"/>
    <w:rsid w:val="00B7525C"/>
    <w:rsid w:val="00B75489"/>
    <w:rsid w:val="00B75F26"/>
    <w:rsid w:val="00B764CB"/>
    <w:rsid w:val="00B76D0C"/>
    <w:rsid w:val="00B77252"/>
    <w:rsid w:val="00B779CC"/>
    <w:rsid w:val="00B80649"/>
    <w:rsid w:val="00B80B66"/>
    <w:rsid w:val="00B819B2"/>
    <w:rsid w:val="00B83279"/>
    <w:rsid w:val="00B84D32"/>
    <w:rsid w:val="00B8525C"/>
    <w:rsid w:val="00B86876"/>
    <w:rsid w:val="00B86E7C"/>
    <w:rsid w:val="00B87532"/>
    <w:rsid w:val="00B905D4"/>
    <w:rsid w:val="00B9068E"/>
    <w:rsid w:val="00B94141"/>
    <w:rsid w:val="00B94BB7"/>
    <w:rsid w:val="00B95333"/>
    <w:rsid w:val="00B957F7"/>
    <w:rsid w:val="00BA08C0"/>
    <w:rsid w:val="00BA138D"/>
    <w:rsid w:val="00BA1533"/>
    <w:rsid w:val="00BA4E0B"/>
    <w:rsid w:val="00BA503E"/>
    <w:rsid w:val="00BA50C1"/>
    <w:rsid w:val="00BA5980"/>
    <w:rsid w:val="00BA5C1D"/>
    <w:rsid w:val="00BA5F63"/>
    <w:rsid w:val="00BA6853"/>
    <w:rsid w:val="00BA7099"/>
    <w:rsid w:val="00BA75EE"/>
    <w:rsid w:val="00BB0BB4"/>
    <w:rsid w:val="00BB0FE1"/>
    <w:rsid w:val="00BB1F17"/>
    <w:rsid w:val="00BB400A"/>
    <w:rsid w:val="00BB4C2D"/>
    <w:rsid w:val="00BB4CD7"/>
    <w:rsid w:val="00BB7178"/>
    <w:rsid w:val="00BB756F"/>
    <w:rsid w:val="00BB7EA2"/>
    <w:rsid w:val="00BB7FAC"/>
    <w:rsid w:val="00BC0D07"/>
    <w:rsid w:val="00BC14AE"/>
    <w:rsid w:val="00BC1A50"/>
    <w:rsid w:val="00BC21D1"/>
    <w:rsid w:val="00BC2E87"/>
    <w:rsid w:val="00BC354B"/>
    <w:rsid w:val="00BC4BF7"/>
    <w:rsid w:val="00BC4DAD"/>
    <w:rsid w:val="00BC629F"/>
    <w:rsid w:val="00BC62E9"/>
    <w:rsid w:val="00BC68CA"/>
    <w:rsid w:val="00BC7CAB"/>
    <w:rsid w:val="00BC7EB4"/>
    <w:rsid w:val="00BD0E08"/>
    <w:rsid w:val="00BD2CB6"/>
    <w:rsid w:val="00BD3296"/>
    <w:rsid w:val="00BD3E0E"/>
    <w:rsid w:val="00BD4500"/>
    <w:rsid w:val="00BD4639"/>
    <w:rsid w:val="00BD5593"/>
    <w:rsid w:val="00BD6D39"/>
    <w:rsid w:val="00BD78F3"/>
    <w:rsid w:val="00BE030F"/>
    <w:rsid w:val="00BE08E2"/>
    <w:rsid w:val="00BE0BCF"/>
    <w:rsid w:val="00BE0C7F"/>
    <w:rsid w:val="00BE1ED5"/>
    <w:rsid w:val="00BE21D4"/>
    <w:rsid w:val="00BE27DA"/>
    <w:rsid w:val="00BE37B3"/>
    <w:rsid w:val="00BE3EF3"/>
    <w:rsid w:val="00BE461A"/>
    <w:rsid w:val="00BE462E"/>
    <w:rsid w:val="00BE638B"/>
    <w:rsid w:val="00BF08C7"/>
    <w:rsid w:val="00BF1087"/>
    <w:rsid w:val="00BF16F3"/>
    <w:rsid w:val="00BF1715"/>
    <w:rsid w:val="00BF1B06"/>
    <w:rsid w:val="00BF23E7"/>
    <w:rsid w:val="00BF244A"/>
    <w:rsid w:val="00BF37AF"/>
    <w:rsid w:val="00BF3A1B"/>
    <w:rsid w:val="00BF524A"/>
    <w:rsid w:val="00BF555C"/>
    <w:rsid w:val="00BF6B0B"/>
    <w:rsid w:val="00BF6DCE"/>
    <w:rsid w:val="00BF75D8"/>
    <w:rsid w:val="00C00109"/>
    <w:rsid w:val="00C003D1"/>
    <w:rsid w:val="00C01F15"/>
    <w:rsid w:val="00C035EB"/>
    <w:rsid w:val="00C03D9D"/>
    <w:rsid w:val="00C06295"/>
    <w:rsid w:val="00C06F9F"/>
    <w:rsid w:val="00C07058"/>
    <w:rsid w:val="00C0794B"/>
    <w:rsid w:val="00C10331"/>
    <w:rsid w:val="00C1056F"/>
    <w:rsid w:val="00C125E2"/>
    <w:rsid w:val="00C12765"/>
    <w:rsid w:val="00C1281D"/>
    <w:rsid w:val="00C1320A"/>
    <w:rsid w:val="00C13880"/>
    <w:rsid w:val="00C13F68"/>
    <w:rsid w:val="00C147B8"/>
    <w:rsid w:val="00C156D8"/>
    <w:rsid w:val="00C20CBF"/>
    <w:rsid w:val="00C21260"/>
    <w:rsid w:val="00C22CD3"/>
    <w:rsid w:val="00C242BA"/>
    <w:rsid w:val="00C249A2"/>
    <w:rsid w:val="00C24E54"/>
    <w:rsid w:val="00C25DC7"/>
    <w:rsid w:val="00C261B0"/>
    <w:rsid w:val="00C2639C"/>
    <w:rsid w:val="00C26B1D"/>
    <w:rsid w:val="00C2704A"/>
    <w:rsid w:val="00C27BEE"/>
    <w:rsid w:val="00C27E19"/>
    <w:rsid w:val="00C301C6"/>
    <w:rsid w:val="00C306BF"/>
    <w:rsid w:val="00C30FCC"/>
    <w:rsid w:val="00C31FA7"/>
    <w:rsid w:val="00C32536"/>
    <w:rsid w:val="00C34300"/>
    <w:rsid w:val="00C34526"/>
    <w:rsid w:val="00C35528"/>
    <w:rsid w:val="00C35BA1"/>
    <w:rsid w:val="00C36118"/>
    <w:rsid w:val="00C361D8"/>
    <w:rsid w:val="00C3637E"/>
    <w:rsid w:val="00C36E49"/>
    <w:rsid w:val="00C37509"/>
    <w:rsid w:val="00C37F84"/>
    <w:rsid w:val="00C40FBA"/>
    <w:rsid w:val="00C41821"/>
    <w:rsid w:val="00C4230C"/>
    <w:rsid w:val="00C4250D"/>
    <w:rsid w:val="00C4277B"/>
    <w:rsid w:val="00C43DEA"/>
    <w:rsid w:val="00C4495C"/>
    <w:rsid w:val="00C44A1B"/>
    <w:rsid w:val="00C45972"/>
    <w:rsid w:val="00C45A4C"/>
    <w:rsid w:val="00C46ACC"/>
    <w:rsid w:val="00C4765D"/>
    <w:rsid w:val="00C51327"/>
    <w:rsid w:val="00C53E60"/>
    <w:rsid w:val="00C558A1"/>
    <w:rsid w:val="00C5767D"/>
    <w:rsid w:val="00C60052"/>
    <w:rsid w:val="00C60566"/>
    <w:rsid w:val="00C60F76"/>
    <w:rsid w:val="00C61C3E"/>
    <w:rsid w:val="00C61D9F"/>
    <w:rsid w:val="00C62CD8"/>
    <w:rsid w:val="00C62FA5"/>
    <w:rsid w:val="00C6388D"/>
    <w:rsid w:val="00C63D0D"/>
    <w:rsid w:val="00C64D11"/>
    <w:rsid w:val="00C67FF3"/>
    <w:rsid w:val="00C7077E"/>
    <w:rsid w:val="00C71226"/>
    <w:rsid w:val="00C71CD0"/>
    <w:rsid w:val="00C72270"/>
    <w:rsid w:val="00C722AB"/>
    <w:rsid w:val="00C73DC9"/>
    <w:rsid w:val="00C7639D"/>
    <w:rsid w:val="00C769DE"/>
    <w:rsid w:val="00C77A6F"/>
    <w:rsid w:val="00C77FFD"/>
    <w:rsid w:val="00C804F8"/>
    <w:rsid w:val="00C807A7"/>
    <w:rsid w:val="00C810F8"/>
    <w:rsid w:val="00C82765"/>
    <w:rsid w:val="00C83A6F"/>
    <w:rsid w:val="00C83B48"/>
    <w:rsid w:val="00C8497E"/>
    <w:rsid w:val="00C84C3A"/>
    <w:rsid w:val="00C85064"/>
    <w:rsid w:val="00C86A6C"/>
    <w:rsid w:val="00C86AE1"/>
    <w:rsid w:val="00C90F5D"/>
    <w:rsid w:val="00C91A88"/>
    <w:rsid w:val="00C92761"/>
    <w:rsid w:val="00C9304C"/>
    <w:rsid w:val="00C95577"/>
    <w:rsid w:val="00C964DC"/>
    <w:rsid w:val="00CA10B2"/>
    <w:rsid w:val="00CA1334"/>
    <w:rsid w:val="00CA2960"/>
    <w:rsid w:val="00CA2F2C"/>
    <w:rsid w:val="00CA38DE"/>
    <w:rsid w:val="00CA4343"/>
    <w:rsid w:val="00CA5273"/>
    <w:rsid w:val="00CA58B1"/>
    <w:rsid w:val="00CA65CB"/>
    <w:rsid w:val="00CA6EAA"/>
    <w:rsid w:val="00CA71AD"/>
    <w:rsid w:val="00CB0487"/>
    <w:rsid w:val="00CB04AA"/>
    <w:rsid w:val="00CB13F0"/>
    <w:rsid w:val="00CB157C"/>
    <w:rsid w:val="00CB26DC"/>
    <w:rsid w:val="00CB4EE7"/>
    <w:rsid w:val="00CB52FC"/>
    <w:rsid w:val="00CB663F"/>
    <w:rsid w:val="00CB6B4B"/>
    <w:rsid w:val="00CC3C45"/>
    <w:rsid w:val="00CC463E"/>
    <w:rsid w:val="00CC4C3E"/>
    <w:rsid w:val="00CC58DC"/>
    <w:rsid w:val="00CC5A27"/>
    <w:rsid w:val="00CC6181"/>
    <w:rsid w:val="00CC6AB4"/>
    <w:rsid w:val="00CC6AD0"/>
    <w:rsid w:val="00CD0522"/>
    <w:rsid w:val="00CD0961"/>
    <w:rsid w:val="00CD0A41"/>
    <w:rsid w:val="00CD14BA"/>
    <w:rsid w:val="00CD199E"/>
    <w:rsid w:val="00CD266A"/>
    <w:rsid w:val="00CD37E4"/>
    <w:rsid w:val="00CD63A0"/>
    <w:rsid w:val="00CD66A7"/>
    <w:rsid w:val="00CD67A4"/>
    <w:rsid w:val="00CD6D3A"/>
    <w:rsid w:val="00CD700E"/>
    <w:rsid w:val="00CD7581"/>
    <w:rsid w:val="00CE1971"/>
    <w:rsid w:val="00CE19E3"/>
    <w:rsid w:val="00CE3280"/>
    <w:rsid w:val="00CE410E"/>
    <w:rsid w:val="00CE5D27"/>
    <w:rsid w:val="00CE6C76"/>
    <w:rsid w:val="00CF058E"/>
    <w:rsid w:val="00CF14F5"/>
    <w:rsid w:val="00CF1796"/>
    <w:rsid w:val="00CF21ED"/>
    <w:rsid w:val="00CF26CA"/>
    <w:rsid w:val="00CF3C92"/>
    <w:rsid w:val="00CF4522"/>
    <w:rsid w:val="00CF6476"/>
    <w:rsid w:val="00CF653D"/>
    <w:rsid w:val="00CF67AF"/>
    <w:rsid w:val="00CF6FC1"/>
    <w:rsid w:val="00D00208"/>
    <w:rsid w:val="00D00C58"/>
    <w:rsid w:val="00D01252"/>
    <w:rsid w:val="00D01D34"/>
    <w:rsid w:val="00D02F1E"/>
    <w:rsid w:val="00D02FEC"/>
    <w:rsid w:val="00D0315E"/>
    <w:rsid w:val="00D0357C"/>
    <w:rsid w:val="00D041E0"/>
    <w:rsid w:val="00D04D54"/>
    <w:rsid w:val="00D0583B"/>
    <w:rsid w:val="00D07445"/>
    <w:rsid w:val="00D0747E"/>
    <w:rsid w:val="00D07CDC"/>
    <w:rsid w:val="00D10323"/>
    <w:rsid w:val="00D112EF"/>
    <w:rsid w:val="00D11B75"/>
    <w:rsid w:val="00D13EEF"/>
    <w:rsid w:val="00D14E5A"/>
    <w:rsid w:val="00D15564"/>
    <w:rsid w:val="00D15A88"/>
    <w:rsid w:val="00D15C8D"/>
    <w:rsid w:val="00D1696C"/>
    <w:rsid w:val="00D202B1"/>
    <w:rsid w:val="00D209BD"/>
    <w:rsid w:val="00D21022"/>
    <w:rsid w:val="00D2109C"/>
    <w:rsid w:val="00D211B8"/>
    <w:rsid w:val="00D21506"/>
    <w:rsid w:val="00D216E4"/>
    <w:rsid w:val="00D21BA5"/>
    <w:rsid w:val="00D23C5B"/>
    <w:rsid w:val="00D24990"/>
    <w:rsid w:val="00D250E5"/>
    <w:rsid w:val="00D25519"/>
    <w:rsid w:val="00D26602"/>
    <w:rsid w:val="00D269D5"/>
    <w:rsid w:val="00D270FD"/>
    <w:rsid w:val="00D274D3"/>
    <w:rsid w:val="00D30997"/>
    <w:rsid w:val="00D318A2"/>
    <w:rsid w:val="00D323D9"/>
    <w:rsid w:val="00D3291F"/>
    <w:rsid w:val="00D338AB"/>
    <w:rsid w:val="00D33A35"/>
    <w:rsid w:val="00D33E98"/>
    <w:rsid w:val="00D34D85"/>
    <w:rsid w:val="00D35F7F"/>
    <w:rsid w:val="00D36231"/>
    <w:rsid w:val="00D36E83"/>
    <w:rsid w:val="00D4062E"/>
    <w:rsid w:val="00D42CB8"/>
    <w:rsid w:val="00D43A4D"/>
    <w:rsid w:val="00D442B5"/>
    <w:rsid w:val="00D4470B"/>
    <w:rsid w:val="00D450FE"/>
    <w:rsid w:val="00D4531C"/>
    <w:rsid w:val="00D46041"/>
    <w:rsid w:val="00D46214"/>
    <w:rsid w:val="00D46416"/>
    <w:rsid w:val="00D4645B"/>
    <w:rsid w:val="00D46F86"/>
    <w:rsid w:val="00D47A50"/>
    <w:rsid w:val="00D47AB1"/>
    <w:rsid w:val="00D47C7F"/>
    <w:rsid w:val="00D50624"/>
    <w:rsid w:val="00D50791"/>
    <w:rsid w:val="00D525F9"/>
    <w:rsid w:val="00D53ED3"/>
    <w:rsid w:val="00D5443B"/>
    <w:rsid w:val="00D54826"/>
    <w:rsid w:val="00D54F4B"/>
    <w:rsid w:val="00D55301"/>
    <w:rsid w:val="00D569F4"/>
    <w:rsid w:val="00D60408"/>
    <w:rsid w:val="00D623D0"/>
    <w:rsid w:val="00D640BF"/>
    <w:rsid w:val="00D644C6"/>
    <w:rsid w:val="00D64B3B"/>
    <w:rsid w:val="00D6500B"/>
    <w:rsid w:val="00D6652E"/>
    <w:rsid w:val="00D6757F"/>
    <w:rsid w:val="00D67F27"/>
    <w:rsid w:val="00D7144E"/>
    <w:rsid w:val="00D71C61"/>
    <w:rsid w:val="00D72DC3"/>
    <w:rsid w:val="00D7433D"/>
    <w:rsid w:val="00D752AF"/>
    <w:rsid w:val="00D75AF2"/>
    <w:rsid w:val="00D763B2"/>
    <w:rsid w:val="00D76C9A"/>
    <w:rsid w:val="00D76E42"/>
    <w:rsid w:val="00D7730A"/>
    <w:rsid w:val="00D77908"/>
    <w:rsid w:val="00D77FFE"/>
    <w:rsid w:val="00D80591"/>
    <w:rsid w:val="00D80D6C"/>
    <w:rsid w:val="00D818AE"/>
    <w:rsid w:val="00D8272B"/>
    <w:rsid w:val="00D829A4"/>
    <w:rsid w:val="00D82E28"/>
    <w:rsid w:val="00D835A8"/>
    <w:rsid w:val="00D837CF"/>
    <w:rsid w:val="00D83A89"/>
    <w:rsid w:val="00D84756"/>
    <w:rsid w:val="00D85007"/>
    <w:rsid w:val="00D863F1"/>
    <w:rsid w:val="00D8649F"/>
    <w:rsid w:val="00D864A3"/>
    <w:rsid w:val="00D8796F"/>
    <w:rsid w:val="00D90ADE"/>
    <w:rsid w:val="00D91882"/>
    <w:rsid w:val="00D9202B"/>
    <w:rsid w:val="00D93158"/>
    <w:rsid w:val="00D94708"/>
    <w:rsid w:val="00D954A4"/>
    <w:rsid w:val="00DA1485"/>
    <w:rsid w:val="00DA193A"/>
    <w:rsid w:val="00DA1A80"/>
    <w:rsid w:val="00DA22CA"/>
    <w:rsid w:val="00DA2DBE"/>
    <w:rsid w:val="00DA3058"/>
    <w:rsid w:val="00DA428B"/>
    <w:rsid w:val="00DA45F9"/>
    <w:rsid w:val="00DA4674"/>
    <w:rsid w:val="00DA50E8"/>
    <w:rsid w:val="00DA545E"/>
    <w:rsid w:val="00DA5BE6"/>
    <w:rsid w:val="00DA75E1"/>
    <w:rsid w:val="00DA794D"/>
    <w:rsid w:val="00DB034A"/>
    <w:rsid w:val="00DB1F40"/>
    <w:rsid w:val="00DB40F6"/>
    <w:rsid w:val="00DB5637"/>
    <w:rsid w:val="00DB618C"/>
    <w:rsid w:val="00DB68FD"/>
    <w:rsid w:val="00DB734D"/>
    <w:rsid w:val="00DC0BE2"/>
    <w:rsid w:val="00DC161B"/>
    <w:rsid w:val="00DC1811"/>
    <w:rsid w:val="00DC1FF2"/>
    <w:rsid w:val="00DC24F7"/>
    <w:rsid w:val="00DC3EE8"/>
    <w:rsid w:val="00DC4E9A"/>
    <w:rsid w:val="00DC650C"/>
    <w:rsid w:val="00DC7FFE"/>
    <w:rsid w:val="00DD00FA"/>
    <w:rsid w:val="00DD09B6"/>
    <w:rsid w:val="00DD0D72"/>
    <w:rsid w:val="00DD19D1"/>
    <w:rsid w:val="00DD28C8"/>
    <w:rsid w:val="00DD2A2C"/>
    <w:rsid w:val="00DD2BF4"/>
    <w:rsid w:val="00DD4D6B"/>
    <w:rsid w:val="00DD5561"/>
    <w:rsid w:val="00DD5800"/>
    <w:rsid w:val="00DD5899"/>
    <w:rsid w:val="00DD5F03"/>
    <w:rsid w:val="00DE298C"/>
    <w:rsid w:val="00DE6D62"/>
    <w:rsid w:val="00DE7148"/>
    <w:rsid w:val="00DE769B"/>
    <w:rsid w:val="00DF1296"/>
    <w:rsid w:val="00DF1CF0"/>
    <w:rsid w:val="00DF2170"/>
    <w:rsid w:val="00DF242C"/>
    <w:rsid w:val="00DF30B7"/>
    <w:rsid w:val="00DF4F3C"/>
    <w:rsid w:val="00DF5495"/>
    <w:rsid w:val="00DF6379"/>
    <w:rsid w:val="00DF64DA"/>
    <w:rsid w:val="00DF6D66"/>
    <w:rsid w:val="00DF7352"/>
    <w:rsid w:val="00DF78BF"/>
    <w:rsid w:val="00E0001B"/>
    <w:rsid w:val="00E014F8"/>
    <w:rsid w:val="00E0259B"/>
    <w:rsid w:val="00E0262B"/>
    <w:rsid w:val="00E02D11"/>
    <w:rsid w:val="00E039EB"/>
    <w:rsid w:val="00E0541E"/>
    <w:rsid w:val="00E0589E"/>
    <w:rsid w:val="00E05D7C"/>
    <w:rsid w:val="00E073B0"/>
    <w:rsid w:val="00E07A8E"/>
    <w:rsid w:val="00E1090B"/>
    <w:rsid w:val="00E12434"/>
    <w:rsid w:val="00E12CA9"/>
    <w:rsid w:val="00E12EB2"/>
    <w:rsid w:val="00E13F59"/>
    <w:rsid w:val="00E140DB"/>
    <w:rsid w:val="00E14751"/>
    <w:rsid w:val="00E153C4"/>
    <w:rsid w:val="00E1545D"/>
    <w:rsid w:val="00E1583B"/>
    <w:rsid w:val="00E15F14"/>
    <w:rsid w:val="00E1668B"/>
    <w:rsid w:val="00E1677E"/>
    <w:rsid w:val="00E16A62"/>
    <w:rsid w:val="00E23D2B"/>
    <w:rsid w:val="00E2451D"/>
    <w:rsid w:val="00E24EB1"/>
    <w:rsid w:val="00E26058"/>
    <w:rsid w:val="00E26144"/>
    <w:rsid w:val="00E27158"/>
    <w:rsid w:val="00E2729B"/>
    <w:rsid w:val="00E27977"/>
    <w:rsid w:val="00E27F39"/>
    <w:rsid w:val="00E27FCE"/>
    <w:rsid w:val="00E30D57"/>
    <w:rsid w:val="00E31ACA"/>
    <w:rsid w:val="00E32AE8"/>
    <w:rsid w:val="00E3327C"/>
    <w:rsid w:val="00E33B54"/>
    <w:rsid w:val="00E35D96"/>
    <w:rsid w:val="00E36DEB"/>
    <w:rsid w:val="00E36FA3"/>
    <w:rsid w:val="00E37BDB"/>
    <w:rsid w:val="00E406CC"/>
    <w:rsid w:val="00E40E8B"/>
    <w:rsid w:val="00E4128D"/>
    <w:rsid w:val="00E417E0"/>
    <w:rsid w:val="00E41E98"/>
    <w:rsid w:val="00E433BD"/>
    <w:rsid w:val="00E44F0F"/>
    <w:rsid w:val="00E459C7"/>
    <w:rsid w:val="00E45F6A"/>
    <w:rsid w:val="00E47D91"/>
    <w:rsid w:val="00E50019"/>
    <w:rsid w:val="00E50055"/>
    <w:rsid w:val="00E5089F"/>
    <w:rsid w:val="00E50B35"/>
    <w:rsid w:val="00E51C9C"/>
    <w:rsid w:val="00E51F5C"/>
    <w:rsid w:val="00E52B4C"/>
    <w:rsid w:val="00E52D3E"/>
    <w:rsid w:val="00E52D98"/>
    <w:rsid w:val="00E52DDA"/>
    <w:rsid w:val="00E53429"/>
    <w:rsid w:val="00E5398D"/>
    <w:rsid w:val="00E53A0A"/>
    <w:rsid w:val="00E53C21"/>
    <w:rsid w:val="00E54670"/>
    <w:rsid w:val="00E54E8F"/>
    <w:rsid w:val="00E55638"/>
    <w:rsid w:val="00E55D2B"/>
    <w:rsid w:val="00E55E94"/>
    <w:rsid w:val="00E5741A"/>
    <w:rsid w:val="00E575DD"/>
    <w:rsid w:val="00E575E1"/>
    <w:rsid w:val="00E60968"/>
    <w:rsid w:val="00E62793"/>
    <w:rsid w:val="00E64214"/>
    <w:rsid w:val="00E64F3D"/>
    <w:rsid w:val="00E66C6C"/>
    <w:rsid w:val="00E67663"/>
    <w:rsid w:val="00E67845"/>
    <w:rsid w:val="00E700E6"/>
    <w:rsid w:val="00E708F1"/>
    <w:rsid w:val="00E71860"/>
    <w:rsid w:val="00E71D91"/>
    <w:rsid w:val="00E72659"/>
    <w:rsid w:val="00E726B3"/>
    <w:rsid w:val="00E7497A"/>
    <w:rsid w:val="00E753FC"/>
    <w:rsid w:val="00E75BB3"/>
    <w:rsid w:val="00E7729B"/>
    <w:rsid w:val="00E7734C"/>
    <w:rsid w:val="00E77B40"/>
    <w:rsid w:val="00E77BE8"/>
    <w:rsid w:val="00E807FE"/>
    <w:rsid w:val="00E81818"/>
    <w:rsid w:val="00E82BE5"/>
    <w:rsid w:val="00E83E97"/>
    <w:rsid w:val="00E8422A"/>
    <w:rsid w:val="00E84619"/>
    <w:rsid w:val="00E8578D"/>
    <w:rsid w:val="00E85A00"/>
    <w:rsid w:val="00E90E60"/>
    <w:rsid w:val="00E925B8"/>
    <w:rsid w:val="00E93687"/>
    <w:rsid w:val="00E937C2"/>
    <w:rsid w:val="00E95568"/>
    <w:rsid w:val="00E9628E"/>
    <w:rsid w:val="00E96DBA"/>
    <w:rsid w:val="00E975CA"/>
    <w:rsid w:val="00EA05E1"/>
    <w:rsid w:val="00EA08FB"/>
    <w:rsid w:val="00EA11A2"/>
    <w:rsid w:val="00EA1561"/>
    <w:rsid w:val="00EA2646"/>
    <w:rsid w:val="00EA3025"/>
    <w:rsid w:val="00EA488B"/>
    <w:rsid w:val="00EA6A83"/>
    <w:rsid w:val="00EA734A"/>
    <w:rsid w:val="00EA737D"/>
    <w:rsid w:val="00EB273C"/>
    <w:rsid w:val="00EB4239"/>
    <w:rsid w:val="00EB619C"/>
    <w:rsid w:val="00EB73D3"/>
    <w:rsid w:val="00EB77D8"/>
    <w:rsid w:val="00EC0647"/>
    <w:rsid w:val="00EC16FF"/>
    <w:rsid w:val="00EC19EB"/>
    <w:rsid w:val="00EC241D"/>
    <w:rsid w:val="00EC28EA"/>
    <w:rsid w:val="00EC3436"/>
    <w:rsid w:val="00EC4A63"/>
    <w:rsid w:val="00EC7F4F"/>
    <w:rsid w:val="00ED0753"/>
    <w:rsid w:val="00ED07A4"/>
    <w:rsid w:val="00ED0ADE"/>
    <w:rsid w:val="00ED1E46"/>
    <w:rsid w:val="00ED1EC0"/>
    <w:rsid w:val="00ED20F2"/>
    <w:rsid w:val="00ED2E5D"/>
    <w:rsid w:val="00ED31EE"/>
    <w:rsid w:val="00ED400C"/>
    <w:rsid w:val="00ED5224"/>
    <w:rsid w:val="00ED527E"/>
    <w:rsid w:val="00ED5741"/>
    <w:rsid w:val="00ED6392"/>
    <w:rsid w:val="00EE0D88"/>
    <w:rsid w:val="00EE1DD0"/>
    <w:rsid w:val="00EE3255"/>
    <w:rsid w:val="00EE36F7"/>
    <w:rsid w:val="00EE3801"/>
    <w:rsid w:val="00EE4336"/>
    <w:rsid w:val="00EE446A"/>
    <w:rsid w:val="00EE595D"/>
    <w:rsid w:val="00EE663B"/>
    <w:rsid w:val="00EE6A49"/>
    <w:rsid w:val="00EE6BAB"/>
    <w:rsid w:val="00EE6D19"/>
    <w:rsid w:val="00EE7027"/>
    <w:rsid w:val="00EE783E"/>
    <w:rsid w:val="00EF22AE"/>
    <w:rsid w:val="00EF25CC"/>
    <w:rsid w:val="00EF2AEF"/>
    <w:rsid w:val="00EF2D8F"/>
    <w:rsid w:val="00EF2E51"/>
    <w:rsid w:val="00EF3959"/>
    <w:rsid w:val="00EF3D13"/>
    <w:rsid w:val="00EF41A9"/>
    <w:rsid w:val="00EF4798"/>
    <w:rsid w:val="00EF5705"/>
    <w:rsid w:val="00EF68A3"/>
    <w:rsid w:val="00EF6C48"/>
    <w:rsid w:val="00EF7B41"/>
    <w:rsid w:val="00F01073"/>
    <w:rsid w:val="00F014D3"/>
    <w:rsid w:val="00F016D5"/>
    <w:rsid w:val="00F01CDA"/>
    <w:rsid w:val="00F04545"/>
    <w:rsid w:val="00F04A47"/>
    <w:rsid w:val="00F04A4C"/>
    <w:rsid w:val="00F05D69"/>
    <w:rsid w:val="00F06432"/>
    <w:rsid w:val="00F07ED6"/>
    <w:rsid w:val="00F07F87"/>
    <w:rsid w:val="00F10015"/>
    <w:rsid w:val="00F10302"/>
    <w:rsid w:val="00F11013"/>
    <w:rsid w:val="00F113AA"/>
    <w:rsid w:val="00F11E3F"/>
    <w:rsid w:val="00F11FB9"/>
    <w:rsid w:val="00F12DC9"/>
    <w:rsid w:val="00F13198"/>
    <w:rsid w:val="00F131A8"/>
    <w:rsid w:val="00F13218"/>
    <w:rsid w:val="00F13AC6"/>
    <w:rsid w:val="00F140B9"/>
    <w:rsid w:val="00F151A3"/>
    <w:rsid w:val="00F15A96"/>
    <w:rsid w:val="00F164EF"/>
    <w:rsid w:val="00F16F51"/>
    <w:rsid w:val="00F218D5"/>
    <w:rsid w:val="00F21A1B"/>
    <w:rsid w:val="00F21C75"/>
    <w:rsid w:val="00F22361"/>
    <w:rsid w:val="00F231E6"/>
    <w:rsid w:val="00F23795"/>
    <w:rsid w:val="00F23F46"/>
    <w:rsid w:val="00F24284"/>
    <w:rsid w:val="00F24384"/>
    <w:rsid w:val="00F245A5"/>
    <w:rsid w:val="00F25393"/>
    <w:rsid w:val="00F2545C"/>
    <w:rsid w:val="00F27814"/>
    <w:rsid w:val="00F27C01"/>
    <w:rsid w:val="00F30985"/>
    <w:rsid w:val="00F31B66"/>
    <w:rsid w:val="00F32C0A"/>
    <w:rsid w:val="00F3386C"/>
    <w:rsid w:val="00F34425"/>
    <w:rsid w:val="00F34D00"/>
    <w:rsid w:val="00F36DE1"/>
    <w:rsid w:val="00F41F9A"/>
    <w:rsid w:val="00F428EC"/>
    <w:rsid w:val="00F42ABE"/>
    <w:rsid w:val="00F42CEA"/>
    <w:rsid w:val="00F43B0A"/>
    <w:rsid w:val="00F45E26"/>
    <w:rsid w:val="00F46178"/>
    <w:rsid w:val="00F46218"/>
    <w:rsid w:val="00F465DD"/>
    <w:rsid w:val="00F466E3"/>
    <w:rsid w:val="00F478E2"/>
    <w:rsid w:val="00F515FA"/>
    <w:rsid w:val="00F51BA4"/>
    <w:rsid w:val="00F52BE5"/>
    <w:rsid w:val="00F5405B"/>
    <w:rsid w:val="00F551AB"/>
    <w:rsid w:val="00F55583"/>
    <w:rsid w:val="00F56B3A"/>
    <w:rsid w:val="00F57B2E"/>
    <w:rsid w:val="00F60542"/>
    <w:rsid w:val="00F6081C"/>
    <w:rsid w:val="00F608AD"/>
    <w:rsid w:val="00F60CC7"/>
    <w:rsid w:val="00F621C9"/>
    <w:rsid w:val="00F623AD"/>
    <w:rsid w:val="00F623B2"/>
    <w:rsid w:val="00F62C40"/>
    <w:rsid w:val="00F63B8C"/>
    <w:rsid w:val="00F642BA"/>
    <w:rsid w:val="00F66001"/>
    <w:rsid w:val="00F67128"/>
    <w:rsid w:val="00F705F7"/>
    <w:rsid w:val="00F7206D"/>
    <w:rsid w:val="00F72DD1"/>
    <w:rsid w:val="00F72E77"/>
    <w:rsid w:val="00F73B38"/>
    <w:rsid w:val="00F742E5"/>
    <w:rsid w:val="00F7431D"/>
    <w:rsid w:val="00F743AC"/>
    <w:rsid w:val="00F75933"/>
    <w:rsid w:val="00F76258"/>
    <w:rsid w:val="00F76F00"/>
    <w:rsid w:val="00F81DC7"/>
    <w:rsid w:val="00F81F1E"/>
    <w:rsid w:val="00F82EF2"/>
    <w:rsid w:val="00F848A9"/>
    <w:rsid w:val="00F84A67"/>
    <w:rsid w:val="00F84EE4"/>
    <w:rsid w:val="00F85B3F"/>
    <w:rsid w:val="00F86166"/>
    <w:rsid w:val="00F862D1"/>
    <w:rsid w:val="00F868E7"/>
    <w:rsid w:val="00F86F51"/>
    <w:rsid w:val="00F87974"/>
    <w:rsid w:val="00F9073C"/>
    <w:rsid w:val="00F90AB5"/>
    <w:rsid w:val="00F90DAD"/>
    <w:rsid w:val="00F91081"/>
    <w:rsid w:val="00F919AD"/>
    <w:rsid w:val="00F92DD7"/>
    <w:rsid w:val="00F93F07"/>
    <w:rsid w:val="00F93F7E"/>
    <w:rsid w:val="00F94BD2"/>
    <w:rsid w:val="00F94CCF"/>
    <w:rsid w:val="00F96753"/>
    <w:rsid w:val="00F96AC8"/>
    <w:rsid w:val="00F97A10"/>
    <w:rsid w:val="00FA12D4"/>
    <w:rsid w:val="00FA1749"/>
    <w:rsid w:val="00FA1908"/>
    <w:rsid w:val="00FA3BF4"/>
    <w:rsid w:val="00FA4023"/>
    <w:rsid w:val="00FA455C"/>
    <w:rsid w:val="00FA5572"/>
    <w:rsid w:val="00FA774D"/>
    <w:rsid w:val="00FA791E"/>
    <w:rsid w:val="00FA7949"/>
    <w:rsid w:val="00FB19CB"/>
    <w:rsid w:val="00FB1F1C"/>
    <w:rsid w:val="00FB2678"/>
    <w:rsid w:val="00FB3F23"/>
    <w:rsid w:val="00FB4C1D"/>
    <w:rsid w:val="00FB5CC5"/>
    <w:rsid w:val="00FB6D14"/>
    <w:rsid w:val="00FB7475"/>
    <w:rsid w:val="00FB761B"/>
    <w:rsid w:val="00FB7C1C"/>
    <w:rsid w:val="00FC0EEB"/>
    <w:rsid w:val="00FC12E3"/>
    <w:rsid w:val="00FC43B6"/>
    <w:rsid w:val="00FC59AC"/>
    <w:rsid w:val="00FD102F"/>
    <w:rsid w:val="00FD292F"/>
    <w:rsid w:val="00FD36F4"/>
    <w:rsid w:val="00FD463D"/>
    <w:rsid w:val="00FD4FB8"/>
    <w:rsid w:val="00FD5B8D"/>
    <w:rsid w:val="00FD634B"/>
    <w:rsid w:val="00FD68E2"/>
    <w:rsid w:val="00FD7D39"/>
    <w:rsid w:val="00FE0130"/>
    <w:rsid w:val="00FE097C"/>
    <w:rsid w:val="00FE1550"/>
    <w:rsid w:val="00FE16F8"/>
    <w:rsid w:val="00FE2B9C"/>
    <w:rsid w:val="00FE30E3"/>
    <w:rsid w:val="00FE408F"/>
    <w:rsid w:val="00FE4CC7"/>
    <w:rsid w:val="00FE593E"/>
    <w:rsid w:val="00FE59A5"/>
    <w:rsid w:val="00FE59BD"/>
    <w:rsid w:val="00FE7789"/>
    <w:rsid w:val="00FE7A48"/>
    <w:rsid w:val="00FF060B"/>
    <w:rsid w:val="00FF13B4"/>
    <w:rsid w:val="00FF354A"/>
    <w:rsid w:val="00FF3941"/>
    <w:rsid w:val="00FF404B"/>
    <w:rsid w:val="00FF5D1A"/>
    <w:rsid w:val="00FF6D02"/>
    <w:rsid w:val="00FF6F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9826BA3"/>
  <w15:docId w15:val="{B4D2E140-75F6-4C89-8851-C03D21F710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F26DA"/>
    <w:pPr>
      <w:spacing w:after="120" w:line="240" w:lineRule="auto"/>
      <w:jc w:val="both"/>
    </w:pPr>
    <w:rPr>
      <w:rFonts w:ascii="Times New Roman" w:hAnsi="Times New Roman"/>
      <w:sz w:val="24"/>
    </w:rPr>
  </w:style>
  <w:style w:type="paragraph" w:styleId="Heading1">
    <w:name w:val="heading 1"/>
    <w:basedOn w:val="Normal"/>
    <w:next w:val="Normal"/>
    <w:link w:val="Heading1Char1"/>
    <w:uiPriority w:val="9"/>
    <w:qFormat/>
    <w:rsid w:val="00797049"/>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aliases w:val="Podnaslov 2"/>
    <w:basedOn w:val="Normal"/>
    <w:next w:val="Normal"/>
    <w:link w:val="Heading2Char"/>
    <w:uiPriority w:val="9"/>
    <w:unhideWhenUsed/>
    <w:qFormat/>
    <w:rsid w:val="00797049"/>
    <w:pPr>
      <w:keepNext/>
      <w:keepLines/>
      <w:spacing w:before="40" w:after="0"/>
      <w:outlineLvl w:val="1"/>
    </w:pPr>
    <w:rPr>
      <w:rFonts w:ascii="Cambria" w:eastAsia="MS PGothic" w:hAnsi="Cambria" w:cs="Arial"/>
      <w:color w:val="404040"/>
      <w:sz w:val="28"/>
      <w:szCs w:val="28"/>
    </w:rPr>
  </w:style>
  <w:style w:type="paragraph" w:styleId="Heading3">
    <w:name w:val="heading 3"/>
    <w:basedOn w:val="Normal"/>
    <w:next w:val="Normal"/>
    <w:link w:val="Heading3Char"/>
    <w:unhideWhenUsed/>
    <w:qFormat/>
    <w:rsid w:val="00797049"/>
    <w:pPr>
      <w:keepNext/>
      <w:keepLines/>
      <w:spacing w:before="40" w:after="0"/>
      <w:outlineLvl w:val="2"/>
    </w:pPr>
    <w:rPr>
      <w:rFonts w:ascii="Arial" w:eastAsia="MS PGothic" w:hAnsi="Arial" w:cs="Arial"/>
      <w:color w:val="000000"/>
      <w:szCs w:val="24"/>
    </w:rPr>
  </w:style>
  <w:style w:type="paragraph" w:styleId="Heading4">
    <w:name w:val="heading 4"/>
    <w:basedOn w:val="Normal"/>
    <w:next w:val="Normal"/>
    <w:link w:val="Heading4Char"/>
    <w:unhideWhenUsed/>
    <w:qFormat/>
    <w:rsid w:val="00797049"/>
    <w:pPr>
      <w:keepNext/>
      <w:keepLines/>
      <w:spacing w:before="40" w:after="0"/>
      <w:outlineLvl w:val="3"/>
    </w:pPr>
    <w:rPr>
      <w:rFonts w:ascii="Arial" w:eastAsia="MS PGothic" w:hAnsi="Arial" w:cs="Arial"/>
    </w:rPr>
  </w:style>
  <w:style w:type="paragraph" w:styleId="Heading5">
    <w:name w:val="heading 5"/>
    <w:basedOn w:val="Normal"/>
    <w:next w:val="Normal"/>
    <w:link w:val="Heading5Char"/>
    <w:unhideWhenUsed/>
    <w:qFormat/>
    <w:rsid w:val="00797049"/>
    <w:pPr>
      <w:keepNext/>
      <w:keepLines/>
      <w:spacing w:before="40" w:after="0"/>
      <w:outlineLvl w:val="4"/>
    </w:pPr>
    <w:rPr>
      <w:rFonts w:ascii="Arial" w:eastAsia="MS PGothic" w:hAnsi="Arial" w:cs="Arial"/>
      <w:color w:val="000000"/>
    </w:rPr>
  </w:style>
  <w:style w:type="paragraph" w:styleId="Heading6">
    <w:name w:val="heading 6"/>
    <w:basedOn w:val="Normal"/>
    <w:next w:val="Normal"/>
    <w:link w:val="Heading6Char"/>
    <w:unhideWhenUsed/>
    <w:qFormat/>
    <w:rsid w:val="00797049"/>
    <w:pPr>
      <w:keepNext/>
      <w:keepLines/>
      <w:spacing w:before="40" w:after="0"/>
      <w:outlineLvl w:val="5"/>
    </w:pPr>
    <w:rPr>
      <w:rFonts w:ascii="Arial" w:eastAsia="MS PGothic" w:hAnsi="Arial" w:cs="Arial"/>
      <w:i/>
      <w:iCs/>
      <w:color w:val="000000"/>
      <w:sz w:val="21"/>
      <w:szCs w:val="21"/>
    </w:rPr>
  </w:style>
  <w:style w:type="paragraph" w:styleId="Heading7">
    <w:name w:val="heading 7"/>
    <w:basedOn w:val="Normal"/>
    <w:next w:val="Normal"/>
    <w:link w:val="Heading7Char"/>
    <w:uiPriority w:val="9"/>
    <w:semiHidden/>
    <w:unhideWhenUsed/>
    <w:qFormat/>
    <w:rsid w:val="00797049"/>
    <w:pPr>
      <w:keepNext/>
      <w:keepLines/>
      <w:spacing w:before="40" w:after="0"/>
      <w:outlineLvl w:val="6"/>
    </w:pPr>
    <w:rPr>
      <w:rFonts w:ascii="Arial" w:eastAsia="MS PGothic" w:hAnsi="Arial" w:cs="Arial"/>
      <w:i/>
      <w:iCs/>
      <w:color w:val="7F1D09"/>
      <w:sz w:val="21"/>
      <w:szCs w:val="21"/>
    </w:rPr>
  </w:style>
  <w:style w:type="paragraph" w:styleId="Heading8">
    <w:name w:val="heading 8"/>
    <w:basedOn w:val="Normal"/>
    <w:next w:val="Normal"/>
    <w:link w:val="Heading8Char"/>
    <w:uiPriority w:val="9"/>
    <w:semiHidden/>
    <w:unhideWhenUsed/>
    <w:qFormat/>
    <w:rsid w:val="00797049"/>
    <w:pPr>
      <w:keepNext/>
      <w:keepLines/>
      <w:spacing w:before="40" w:after="0"/>
      <w:outlineLvl w:val="7"/>
    </w:pPr>
    <w:rPr>
      <w:rFonts w:ascii="Arial" w:eastAsia="MS PGothic" w:hAnsi="Arial" w:cs="Arial"/>
      <w:b/>
      <w:bCs/>
      <w:color w:val="000000"/>
    </w:rPr>
  </w:style>
  <w:style w:type="paragraph" w:styleId="Heading9">
    <w:name w:val="heading 9"/>
    <w:basedOn w:val="Normal"/>
    <w:next w:val="Normal"/>
    <w:link w:val="Heading9Char"/>
    <w:uiPriority w:val="9"/>
    <w:semiHidden/>
    <w:unhideWhenUsed/>
    <w:qFormat/>
    <w:rsid w:val="00797049"/>
    <w:pPr>
      <w:keepNext/>
      <w:keepLines/>
      <w:spacing w:before="40" w:after="0"/>
      <w:outlineLvl w:val="8"/>
    </w:pPr>
    <w:rPr>
      <w:rFonts w:ascii="Arial" w:eastAsia="MS PGothic" w:hAnsi="Arial" w:cs="Arial"/>
      <w:b/>
      <w:bCs/>
      <w:i/>
      <w:iCs/>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11">
    <w:name w:val="Heading 11"/>
    <w:basedOn w:val="Normal"/>
    <w:next w:val="Normal"/>
    <w:link w:val="Heading1Char"/>
    <w:uiPriority w:val="9"/>
    <w:qFormat/>
    <w:rsid w:val="00797049"/>
    <w:pPr>
      <w:keepNext/>
      <w:keepLines/>
      <w:spacing w:before="320" w:after="0"/>
      <w:outlineLvl w:val="0"/>
    </w:pPr>
    <w:rPr>
      <w:rFonts w:ascii="Arial" w:eastAsia="MS PGothic" w:hAnsi="Arial" w:cs="Arial"/>
      <w:color w:val="BF2B0E"/>
      <w:sz w:val="32"/>
      <w:szCs w:val="32"/>
    </w:rPr>
  </w:style>
  <w:style w:type="paragraph" w:customStyle="1" w:styleId="Heading21">
    <w:name w:val="Heading 21"/>
    <w:basedOn w:val="Normal"/>
    <w:next w:val="Normal"/>
    <w:uiPriority w:val="9"/>
    <w:unhideWhenUsed/>
    <w:qFormat/>
    <w:rsid w:val="00797049"/>
    <w:pPr>
      <w:keepNext/>
      <w:keepLines/>
      <w:spacing w:before="80" w:after="0"/>
      <w:outlineLvl w:val="1"/>
    </w:pPr>
    <w:rPr>
      <w:rFonts w:ascii="Cambria" w:eastAsia="MS PGothic" w:hAnsi="Cambria" w:cs="Arial"/>
      <w:color w:val="404040"/>
      <w:sz w:val="28"/>
      <w:szCs w:val="28"/>
      <w:lang w:eastAsia="ja-JP"/>
    </w:rPr>
  </w:style>
  <w:style w:type="paragraph" w:customStyle="1" w:styleId="Heading31">
    <w:name w:val="Heading 31"/>
    <w:basedOn w:val="Normal"/>
    <w:next w:val="Normal"/>
    <w:uiPriority w:val="9"/>
    <w:unhideWhenUsed/>
    <w:qFormat/>
    <w:rsid w:val="00797049"/>
    <w:pPr>
      <w:keepNext/>
      <w:keepLines/>
      <w:spacing w:before="40" w:after="0"/>
      <w:outlineLvl w:val="2"/>
    </w:pPr>
    <w:rPr>
      <w:rFonts w:ascii="Arial" w:eastAsia="MS PGothic" w:hAnsi="Arial" w:cs="Arial"/>
      <w:color w:val="000000"/>
      <w:szCs w:val="24"/>
      <w:lang w:eastAsia="ja-JP"/>
    </w:rPr>
  </w:style>
  <w:style w:type="paragraph" w:customStyle="1" w:styleId="Heading41">
    <w:name w:val="Heading 41"/>
    <w:basedOn w:val="Normal"/>
    <w:next w:val="Normal"/>
    <w:uiPriority w:val="9"/>
    <w:unhideWhenUsed/>
    <w:qFormat/>
    <w:rsid w:val="00797049"/>
    <w:pPr>
      <w:keepNext/>
      <w:keepLines/>
      <w:spacing w:before="40" w:after="0" w:line="264" w:lineRule="auto"/>
      <w:outlineLvl w:val="3"/>
    </w:pPr>
    <w:rPr>
      <w:rFonts w:ascii="Arial" w:eastAsia="MS PGothic" w:hAnsi="Arial" w:cs="Arial"/>
      <w:lang w:eastAsia="ja-JP"/>
    </w:rPr>
  </w:style>
  <w:style w:type="paragraph" w:customStyle="1" w:styleId="Heading51">
    <w:name w:val="Heading 51"/>
    <w:basedOn w:val="Normal"/>
    <w:next w:val="Normal"/>
    <w:uiPriority w:val="9"/>
    <w:semiHidden/>
    <w:unhideWhenUsed/>
    <w:qFormat/>
    <w:rsid w:val="00797049"/>
    <w:pPr>
      <w:keepNext/>
      <w:keepLines/>
      <w:spacing w:before="40" w:after="0" w:line="264" w:lineRule="auto"/>
      <w:outlineLvl w:val="4"/>
    </w:pPr>
    <w:rPr>
      <w:rFonts w:ascii="Arial" w:eastAsia="MS PGothic" w:hAnsi="Arial" w:cs="Arial"/>
      <w:color w:val="000000"/>
      <w:lang w:eastAsia="ja-JP"/>
    </w:rPr>
  </w:style>
  <w:style w:type="paragraph" w:customStyle="1" w:styleId="Heading61">
    <w:name w:val="Heading 61"/>
    <w:basedOn w:val="Normal"/>
    <w:next w:val="Normal"/>
    <w:uiPriority w:val="9"/>
    <w:semiHidden/>
    <w:unhideWhenUsed/>
    <w:qFormat/>
    <w:rsid w:val="00797049"/>
    <w:pPr>
      <w:keepNext/>
      <w:keepLines/>
      <w:spacing w:before="40" w:after="0" w:line="264" w:lineRule="auto"/>
      <w:outlineLvl w:val="5"/>
    </w:pPr>
    <w:rPr>
      <w:rFonts w:ascii="Arial" w:eastAsia="MS PGothic" w:hAnsi="Arial" w:cs="Arial"/>
      <w:i/>
      <w:iCs/>
      <w:color w:val="000000"/>
      <w:sz w:val="21"/>
      <w:szCs w:val="21"/>
      <w:lang w:eastAsia="ja-JP"/>
    </w:rPr>
  </w:style>
  <w:style w:type="paragraph" w:customStyle="1" w:styleId="Heading71">
    <w:name w:val="Heading 71"/>
    <w:basedOn w:val="Normal"/>
    <w:next w:val="Normal"/>
    <w:uiPriority w:val="9"/>
    <w:semiHidden/>
    <w:unhideWhenUsed/>
    <w:qFormat/>
    <w:rsid w:val="00797049"/>
    <w:pPr>
      <w:keepNext/>
      <w:keepLines/>
      <w:spacing w:before="40" w:after="0" w:line="264" w:lineRule="auto"/>
      <w:outlineLvl w:val="6"/>
    </w:pPr>
    <w:rPr>
      <w:rFonts w:ascii="Arial" w:eastAsia="MS PGothic" w:hAnsi="Arial" w:cs="Arial"/>
      <w:i/>
      <w:iCs/>
      <w:color w:val="7F1D09"/>
      <w:sz w:val="21"/>
      <w:szCs w:val="21"/>
      <w:lang w:eastAsia="ja-JP"/>
    </w:rPr>
  </w:style>
  <w:style w:type="paragraph" w:customStyle="1" w:styleId="Heading81">
    <w:name w:val="Heading 81"/>
    <w:basedOn w:val="Normal"/>
    <w:next w:val="Normal"/>
    <w:uiPriority w:val="9"/>
    <w:semiHidden/>
    <w:unhideWhenUsed/>
    <w:qFormat/>
    <w:rsid w:val="00797049"/>
    <w:pPr>
      <w:keepNext/>
      <w:keepLines/>
      <w:spacing w:before="40" w:after="0" w:line="264" w:lineRule="auto"/>
      <w:outlineLvl w:val="7"/>
    </w:pPr>
    <w:rPr>
      <w:rFonts w:ascii="Arial" w:eastAsia="MS PGothic" w:hAnsi="Arial" w:cs="Arial"/>
      <w:b/>
      <w:bCs/>
      <w:color w:val="000000"/>
      <w:sz w:val="20"/>
      <w:szCs w:val="20"/>
      <w:lang w:eastAsia="ja-JP"/>
    </w:rPr>
  </w:style>
  <w:style w:type="paragraph" w:customStyle="1" w:styleId="Heading91">
    <w:name w:val="Heading 91"/>
    <w:basedOn w:val="Normal"/>
    <w:next w:val="Normal"/>
    <w:uiPriority w:val="9"/>
    <w:semiHidden/>
    <w:unhideWhenUsed/>
    <w:qFormat/>
    <w:rsid w:val="00797049"/>
    <w:pPr>
      <w:keepNext/>
      <w:keepLines/>
      <w:spacing w:before="40" w:after="0" w:line="264" w:lineRule="auto"/>
      <w:outlineLvl w:val="8"/>
    </w:pPr>
    <w:rPr>
      <w:rFonts w:ascii="Arial" w:eastAsia="MS PGothic" w:hAnsi="Arial" w:cs="Arial"/>
      <w:b/>
      <w:bCs/>
      <w:i/>
      <w:iCs/>
      <w:color w:val="000000"/>
      <w:sz w:val="20"/>
      <w:szCs w:val="20"/>
      <w:lang w:eastAsia="ja-JP"/>
    </w:rPr>
  </w:style>
  <w:style w:type="numbering" w:customStyle="1" w:styleId="NoList1">
    <w:name w:val="No List1"/>
    <w:next w:val="NoList"/>
    <w:uiPriority w:val="99"/>
    <w:semiHidden/>
    <w:unhideWhenUsed/>
    <w:rsid w:val="00797049"/>
  </w:style>
  <w:style w:type="paragraph" w:customStyle="1" w:styleId="Footer1">
    <w:name w:val="Footer1"/>
    <w:basedOn w:val="Normal"/>
    <w:next w:val="Footer"/>
    <w:link w:val="FooterChar"/>
    <w:uiPriority w:val="99"/>
    <w:unhideWhenUsed/>
    <w:rsid w:val="00797049"/>
    <w:pPr>
      <w:spacing w:after="0" w:line="264" w:lineRule="auto"/>
      <w:ind w:left="29" w:right="144"/>
    </w:pPr>
    <w:rPr>
      <w:color w:val="EF4623"/>
    </w:rPr>
  </w:style>
  <w:style w:type="character" w:customStyle="1" w:styleId="FooterChar">
    <w:name w:val="Footer Char"/>
    <w:basedOn w:val="DefaultParagraphFont"/>
    <w:link w:val="Footer1"/>
    <w:uiPriority w:val="99"/>
    <w:rsid w:val="00797049"/>
    <w:rPr>
      <w:color w:val="EF4623"/>
    </w:rPr>
  </w:style>
  <w:style w:type="paragraph" w:customStyle="1" w:styleId="Subtitle1">
    <w:name w:val="Subtitle1"/>
    <w:basedOn w:val="Normal"/>
    <w:next w:val="Normal"/>
    <w:uiPriority w:val="11"/>
    <w:qFormat/>
    <w:rsid w:val="00797049"/>
    <w:pPr>
      <w:numPr>
        <w:ilvl w:val="1"/>
      </w:numPr>
    </w:pPr>
    <w:rPr>
      <w:rFonts w:ascii="Arial" w:eastAsia="MS PGothic" w:hAnsi="Arial" w:cs="Arial"/>
      <w:szCs w:val="24"/>
      <w:lang w:eastAsia="ja-JP"/>
    </w:rPr>
  </w:style>
  <w:style w:type="paragraph" w:customStyle="1" w:styleId="Graphic">
    <w:name w:val="Graphic"/>
    <w:basedOn w:val="Normal"/>
    <w:uiPriority w:val="99"/>
    <w:rsid w:val="00797049"/>
    <w:pPr>
      <w:spacing w:line="264" w:lineRule="auto"/>
      <w:jc w:val="center"/>
    </w:pPr>
    <w:rPr>
      <w:rFonts w:eastAsia="MS PGothic"/>
      <w:sz w:val="20"/>
      <w:szCs w:val="20"/>
      <w:lang w:eastAsia="ja-JP"/>
    </w:rPr>
  </w:style>
  <w:style w:type="paragraph" w:styleId="Header">
    <w:name w:val="header"/>
    <w:basedOn w:val="Normal"/>
    <w:link w:val="HeaderChar"/>
    <w:uiPriority w:val="99"/>
    <w:rsid w:val="00797049"/>
    <w:pPr>
      <w:spacing w:after="380" w:line="264" w:lineRule="auto"/>
    </w:pPr>
    <w:rPr>
      <w:rFonts w:eastAsia="MS PGothic"/>
      <w:sz w:val="20"/>
      <w:szCs w:val="20"/>
      <w:lang w:eastAsia="ja-JP"/>
    </w:rPr>
  </w:style>
  <w:style w:type="character" w:customStyle="1" w:styleId="HeaderChar">
    <w:name w:val="Header Char"/>
    <w:basedOn w:val="DefaultParagraphFont"/>
    <w:link w:val="Header"/>
    <w:uiPriority w:val="99"/>
    <w:rsid w:val="00797049"/>
    <w:rPr>
      <w:rFonts w:eastAsia="MS PGothic"/>
      <w:sz w:val="20"/>
      <w:szCs w:val="20"/>
      <w:lang w:eastAsia="ja-JP"/>
    </w:rPr>
  </w:style>
  <w:style w:type="table" w:styleId="TableGrid">
    <w:name w:val="Table Grid"/>
    <w:basedOn w:val="TableNormal"/>
    <w:uiPriority w:val="39"/>
    <w:rsid w:val="00797049"/>
    <w:pPr>
      <w:spacing w:before="120" w:after="120" w:line="264" w:lineRule="auto"/>
      <w:ind w:left="115" w:right="115"/>
    </w:pPr>
    <w:rPr>
      <w:rFonts w:eastAsia="MS PGothic"/>
      <w:sz w:val="20"/>
      <w:szCs w:val="20"/>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
    <w:tcPr>
      <w:vAlign w:val="center"/>
    </w:tcPr>
    <w:tblStylePr w:type="firstRow">
      <w:pPr>
        <w:wordWrap/>
        <w:jc w:val="center"/>
      </w:pPr>
      <w:rPr>
        <w:b/>
        <w:i w:val="0"/>
        <w:sz w:val="22"/>
      </w:rPr>
    </w:tblStylePr>
    <w:tblStylePr w:type="lastRow">
      <w:rPr>
        <w:b/>
        <w:i w:val="0"/>
        <w:sz w:val="22"/>
      </w:rPr>
      <w:tblPr/>
      <w:tcPr>
        <w:tcBorders>
          <w:top w:val="double" w:sz="4" w:space="0" w:color="auto"/>
          <w:left w:val="single" w:sz="4" w:space="0" w:color="auto"/>
          <w:bottom w:val="single" w:sz="18" w:space="0" w:color="auto"/>
          <w:right w:val="single" w:sz="4" w:space="0" w:color="auto"/>
          <w:insideH w:val="nil"/>
          <w:insideV w:val="single" w:sz="4" w:space="0" w:color="auto"/>
          <w:tl2br w:val="nil"/>
          <w:tr2bl w:val="nil"/>
        </w:tcBorders>
      </w:tcPr>
    </w:tblStylePr>
  </w:style>
  <w:style w:type="paragraph" w:customStyle="1" w:styleId="InfoHeading">
    <w:name w:val="Info Heading"/>
    <w:basedOn w:val="Normal"/>
    <w:uiPriority w:val="2"/>
    <w:rsid w:val="00797049"/>
    <w:pPr>
      <w:spacing w:after="60" w:line="264" w:lineRule="auto"/>
      <w:ind w:left="29" w:right="29"/>
      <w:jc w:val="right"/>
    </w:pPr>
    <w:rPr>
      <w:rFonts w:eastAsia="MS PGothic"/>
      <w:b/>
      <w:bCs/>
      <w:color w:val="EF4623"/>
      <w:sz w:val="36"/>
      <w:szCs w:val="20"/>
      <w:lang w:eastAsia="ja-JP"/>
    </w:rPr>
  </w:style>
  <w:style w:type="paragraph" w:customStyle="1" w:styleId="Page">
    <w:name w:val="Page"/>
    <w:basedOn w:val="Normal"/>
    <w:next w:val="Normal"/>
    <w:uiPriority w:val="99"/>
    <w:unhideWhenUsed/>
    <w:rsid w:val="00797049"/>
    <w:pPr>
      <w:spacing w:after="40" w:line="264" w:lineRule="auto"/>
    </w:pPr>
    <w:rPr>
      <w:rFonts w:eastAsia="MS PGothic"/>
      <w:noProof/>
      <w:color w:val="000000"/>
      <w:sz w:val="36"/>
      <w:szCs w:val="20"/>
      <w:lang w:eastAsia="ja-JP"/>
    </w:rPr>
  </w:style>
  <w:style w:type="paragraph" w:customStyle="1" w:styleId="Title1">
    <w:name w:val="Title1"/>
    <w:basedOn w:val="Normal"/>
    <w:next w:val="Normal"/>
    <w:uiPriority w:val="10"/>
    <w:qFormat/>
    <w:rsid w:val="00797049"/>
    <w:pPr>
      <w:spacing w:after="0"/>
      <w:contextualSpacing/>
    </w:pPr>
    <w:rPr>
      <w:rFonts w:ascii="Arial" w:eastAsia="MS PGothic" w:hAnsi="Arial" w:cs="Arial"/>
      <w:color w:val="EF4623"/>
      <w:spacing w:val="-10"/>
      <w:sz w:val="56"/>
      <w:szCs w:val="56"/>
      <w:lang w:eastAsia="ja-JP"/>
    </w:rPr>
  </w:style>
  <w:style w:type="character" w:customStyle="1" w:styleId="TitleChar">
    <w:name w:val="Title Char"/>
    <w:basedOn w:val="DefaultParagraphFont"/>
    <w:link w:val="Title"/>
    <w:rsid w:val="00797049"/>
    <w:rPr>
      <w:rFonts w:ascii="Arial" w:eastAsia="MS PGothic" w:hAnsi="Arial" w:cs="Arial"/>
      <w:color w:val="EF4623"/>
      <w:spacing w:val="-10"/>
      <w:sz w:val="56"/>
      <w:szCs w:val="56"/>
    </w:rPr>
  </w:style>
  <w:style w:type="character" w:styleId="PlaceholderText">
    <w:name w:val="Placeholder Text"/>
    <w:basedOn w:val="DefaultParagraphFont"/>
    <w:uiPriority w:val="99"/>
    <w:semiHidden/>
    <w:rsid w:val="00797049"/>
    <w:rPr>
      <w:color w:val="808080"/>
    </w:rPr>
  </w:style>
  <w:style w:type="paragraph" w:styleId="BalloonText">
    <w:name w:val="Balloon Text"/>
    <w:basedOn w:val="Normal"/>
    <w:link w:val="BalloonTextChar"/>
    <w:uiPriority w:val="99"/>
    <w:unhideWhenUsed/>
    <w:rsid w:val="00797049"/>
    <w:pPr>
      <w:spacing w:after="0" w:line="264" w:lineRule="auto"/>
    </w:pPr>
    <w:rPr>
      <w:rFonts w:ascii="Tahoma" w:eastAsia="MS PGothic" w:hAnsi="Tahoma" w:cs="Tahoma"/>
      <w:sz w:val="16"/>
      <w:szCs w:val="20"/>
      <w:lang w:eastAsia="ja-JP"/>
    </w:rPr>
  </w:style>
  <w:style w:type="character" w:customStyle="1" w:styleId="BalloonTextChar">
    <w:name w:val="Balloon Text Char"/>
    <w:basedOn w:val="DefaultParagraphFont"/>
    <w:link w:val="BalloonText"/>
    <w:uiPriority w:val="99"/>
    <w:rsid w:val="00797049"/>
    <w:rPr>
      <w:rFonts w:ascii="Tahoma" w:eastAsia="MS PGothic" w:hAnsi="Tahoma" w:cs="Tahoma"/>
      <w:sz w:val="16"/>
      <w:szCs w:val="20"/>
      <w:lang w:eastAsia="ja-JP"/>
    </w:rPr>
  </w:style>
  <w:style w:type="character" w:styleId="Strong">
    <w:name w:val="Strong"/>
    <w:basedOn w:val="DefaultParagraphFont"/>
    <w:uiPriority w:val="22"/>
    <w:qFormat/>
    <w:rsid w:val="00797049"/>
    <w:rPr>
      <w:b/>
      <w:bCs/>
    </w:rPr>
  </w:style>
  <w:style w:type="character" w:customStyle="1" w:styleId="SubtitleChar">
    <w:name w:val="Subtitle Char"/>
    <w:basedOn w:val="DefaultParagraphFont"/>
    <w:link w:val="Subtitle"/>
    <w:rsid w:val="00797049"/>
    <w:rPr>
      <w:rFonts w:ascii="Arial" w:eastAsia="MS PGothic" w:hAnsi="Arial" w:cs="Arial"/>
      <w:sz w:val="24"/>
      <w:szCs w:val="24"/>
    </w:rPr>
  </w:style>
  <w:style w:type="paragraph" w:customStyle="1" w:styleId="Abstract">
    <w:name w:val="Abstract"/>
    <w:basedOn w:val="Normal"/>
    <w:uiPriority w:val="3"/>
    <w:rsid w:val="00797049"/>
    <w:pPr>
      <w:spacing w:before="360" w:after="480" w:line="360" w:lineRule="auto"/>
    </w:pPr>
    <w:rPr>
      <w:rFonts w:eastAsia="MS PGothic"/>
      <w:i/>
      <w:iCs/>
      <w:color w:val="EF4623"/>
      <w:kern w:val="20"/>
      <w:sz w:val="28"/>
      <w:szCs w:val="20"/>
      <w:lang w:eastAsia="ja-JP"/>
    </w:rPr>
  </w:style>
  <w:style w:type="paragraph" w:styleId="NoSpacing">
    <w:name w:val="No Spacing"/>
    <w:aliases w:val="Uvodna rečenica"/>
    <w:link w:val="NoSpacingChar"/>
    <w:uiPriority w:val="1"/>
    <w:qFormat/>
    <w:rsid w:val="00797049"/>
    <w:pPr>
      <w:spacing w:after="0" w:line="240" w:lineRule="auto"/>
    </w:pPr>
    <w:rPr>
      <w:rFonts w:eastAsia="MS PGothic"/>
      <w:sz w:val="20"/>
      <w:szCs w:val="20"/>
      <w:lang w:eastAsia="ja-JP"/>
    </w:rPr>
  </w:style>
  <w:style w:type="character" w:customStyle="1" w:styleId="Hyperlink1">
    <w:name w:val="Hyperlink1"/>
    <w:basedOn w:val="DefaultParagraphFont"/>
    <w:uiPriority w:val="99"/>
    <w:unhideWhenUsed/>
    <w:rsid w:val="00797049"/>
    <w:rPr>
      <w:color w:val="5F5F5F"/>
      <w:u w:val="single"/>
    </w:rPr>
  </w:style>
  <w:style w:type="paragraph" w:styleId="TOC1">
    <w:name w:val="toc 1"/>
    <w:basedOn w:val="Normal"/>
    <w:next w:val="Normal"/>
    <w:autoRedefine/>
    <w:uiPriority w:val="39"/>
    <w:unhideWhenUsed/>
    <w:qFormat/>
    <w:rsid w:val="00F46178"/>
    <w:pPr>
      <w:tabs>
        <w:tab w:val="left" w:pos="400"/>
        <w:tab w:val="right" w:leader="underscore" w:pos="8424"/>
      </w:tabs>
      <w:spacing w:before="40" w:after="100" w:line="288" w:lineRule="auto"/>
    </w:pPr>
    <w:rPr>
      <w:rFonts w:eastAsia="MS PGothic"/>
      <w:noProof/>
      <w:kern w:val="20"/>
      <w:sz w:val="20"/>
      <w:szCs w:val="20"/>
      <w:lang w:eastAsia="ja-JP"/>
    </w:rPr>
  </w:style>
  <w:style w:type="character" w:customStyle="1" w:styleId="Heading1Char">
    <w:name w:val="Heading 1 Char"/>
    <w:basedOn w:val="DefaultParagraphFont"/>
    <w:link w:val="Heading11"/>
    <w:uiPriority w:val="9"/>
    <w:rsid w:val="00797049"/>
    <w:rPr>
      <w:rFonts w:ascii="Arial" w:eastAsia="MS PGothic" w:hAnsi="Arial" w:cs="Arial"/>
      <w:color w:val="BF2B0E"/>
      <w:sz w:val="32"/>
      <w:szCs w:val="32"/>
    </w:rPr>
  </w:style>
  <w:style w:type="character" w:customStyle="1" w:styleId="Heading1Char1">
    <w:name w:val="Heading 1 Char1"/>
    <w:basedOn w:val="DefaultParagraphFont"/>
    <w:link w:val="Heading1"/>
    <w:uiPriority w:val="9"/>
    <w:rsid w:val="00797049"/>
    <w:rPr>
      <w:rFonts w:asciiTheme="majorHAnsi" w:eastAsiaTheme="majorEastAsia" w:hAnsiTheme="majorHAnsi" w:cstheme="majorBidi"/>
      <w:color w:val="2E74B5" w:themeColor="accent1" w:themeShade="BF"/>
      <w:sz w:val="32"/>
      <w:szCs w:val="32"/>
    </w:rPr>
  </w:style>
  <w:style w:type="paragraph" w:styleId="TOCHeading">
    <w:name w:val="TOC Heading"/>
    <w:basedOn w:val="Heading1"/>
    <w:next w:val="Normal"/>
    <w:uiPriority w:val="39"/>
    <w:unhideWhenUsed/>
    <w:qFormat/>
    <w:rsid w:val="00797049"/>
    <w:pPr>
      <w:spacing w:before="320"/>
      <w:outlineLvl w:val="9"/>
    </w:pPr>
    <w:rPr>
      <w:lang w:eastAsia="ja-JP"/>
    </w:rPr>
  </w:style>
  <w:style w:type="character" w:customStyle="1" w:styleId="Heading2Char">
    <w:name w:val="Heading 2 Char"/>
    <w:aliases w:val="Podnaslov 2 Char"/>
    <w:basedOn w:val="DefaultParagraphFont"/>
    <w:link w:val="Heading2"/>
    <w:uiPriority w:val="9"/>
    <w:rsid w:val="00797049"/>
    <w:rPr>
      <w:rFonts w:ascii="Cambria" w:eastAsia="MS PGothic" w:hAnsi="Cambria" w:cs="Arial"/>
      <w:color w:val="404040"/>
      <w:sz w:val="28"/>
      <w:szCs w:val="28"/>
    </w:rPr>
  </w:style>
  <w:style w:type="paragraph" w:customStyle="1" w:styleId="Quote1">
    <w:name w:val="Quote1"/>
    <w:basedOn w:val="Normal"/>
    <w:next w:val="Normal"/>
    <w:uiPriority w:val="29"/>
    <w:qFormat/>
    <w:rsid w:val="00797049"/>
    <w:pPr>
      <w:spacing w:before="160" w:line="264" w:lineRule="auto"/>
      <w:ind w:left="720" w:right="720"/>
    </w:pPr>
    <w:rPr>
      <w:rFonts w:eastAsia="MS PGothic"/>
      <w:i/>
      <w:iCs/>
      <w:color w:val="404040"/>
      <w:sz w:val="20"/>
      <w:szCs w:val="20"/>
      <w:lang w:eastAsia="ja-JP"/>
    </w:rPr>
  </w:style>
  <w:style w:type="character" w:customStyle="1" w:styleId="QuoteChar">
    <w:name w:val="Quote Char"/>
    <w:basedOn w:val="DefaultParagraphFont"/>
    <w:link w:val="Quote"/>
    <w:uiPriority w:val="29"/>
    <w:rsid w:val="00797049"/>
    <w:rPr>
      <w:i/>
      <w:iCs/>
      <w:color w:val="404040"/>
    </w:rPr>
  </w:style>
  <w:style w:type="paragraph" w:customStyle="1" w:styleId="Signature1">
    <w:name w:val="Signature1"/>
    <w:basedOn w:val="Normal"/>
    <w:next w:val="Signature"/>
    <w:link w:val="SignatureChar"/>
    <w:uiPriority w:val="9"/>
    <w:unhideWhenUsed/>
    <w:rsid w:val="00797049"/>
    <w:pPr>
      <w:spacing w:before="720" w:after="0" w:line="312" w:lineRule="auto"/>
      <w:contextualSpacing/>
    </w:pPr>
    <w:rPr>
      <w:color w:val="595959"/>
      <w:kern w:val="20"/>
    </w:rPr>
  </w:style>
  <w:style w:type="character" w:customStyle="1" w:styleId="SignatureChar">
    <w:name w:val="Signature Char"/>
    <w:basedOn w:val="DefaultParagraphFont"/>
    <w:link w:val="Signature1"/>
    <w:uiPriority w:val="9"/>
    <w:rsid w:val="00797049"/>
    <w:rPr>
      <w:color w:val="595959"/>
      <w:kern w:val="20"/>
    </w:rPr>
  </w:style>
  <w:style w:type="character" w:customStyle="1" w:styleId="NoSpacingChar">
    <w:name w:val="No Spacing Char"/>
    <w:aliases w:val="Uvodna rečenica Char"/>
    <w:basedOn w:val="DefaultParagraphFont"/>
    <w:link w:val="NoSpacing"/>
    <w:uiPriority w:val="1"/>
    <w:rsid w:val="00797049"/>
    <w:rPr>
      <w:rFonts w:eastAsia="MS PGothic"/>
      <w:sz w:val="20"/>
      <w:szCs w:val="20"/>
      <w:lang w:eastAsia="ja-JP"/>
    </w:rPr>
  </w:style>
  <w:style w:type="paragraph" w:customStyle="1" w:styleId="ListBullet1">
    <w:name w:val="List Bullet1"/>
    <w:basedOn w:val="Normal"/>
    <w:next w:val="ListBullet"/>
    <w:link w:val="ListBulletChar"/>
    <w:uiPriority w:val="99"/>
    <w:unhideWhenUsed/>
    <w:qFormat/>
    <w:rsid w:val="00797049"/>
    <w:pPr>
      <w:numPr>
        <w:numId w:val="1"/>
      </w:numPr>
      <w:spacing w:before="40" w:after="40" w:line="288" w:lineRule="auto"/>
    </w:pPr>
    <w:rPr>
      <w:rFonts w:eastAsia="MS PGothic"/>
      <w:color w:val="595959"/>
      <w:kern w:val="20"/>
      <w:sz w:val="20"/>
      <w:szCs w:val="20"/>
      <w:lang w:eastAsia="ja-JP"/>
    </w:rPr>
  </w:style>
  <w:style w:type="paragraph" w:customStyle="1" w:styleId="ListNumber1">
    <w:name w:val="List Number1"/>
    <w:basedOn w:val="Normal"/>
    <w:next w:val="ListNumber"/>
    <w:uiPriority w:val="1"/>
    <w:unhideWhenUsed/>
    <w:rsid w:val="00797049"/>
    <w:pPr>
      <w:numPr>
        <w:numId w:val="2"/>
      </w:numPr>
      <w:spacing w:before="40" w:line="288" w:lineRule="auto"/>
      <w:contextualSpacing/>
    </w:pPr>
    <w:rPr>
      <w:rFonts w:eastAsia="MS PGothic"/>
      <w:color w:val="595959"/>
      <w:kern w:val="20"/>
      <w:sz w:val="20"/>
      <w:szCs w:val="20"/>
      <w:lang w:eastAsia="ja-JP"/>
    </w:rPr>
  </w:style>
  <w:style w:type="paragraph" w:customStyle="1" w:styleId="ListNumber21">
    <w:name w:val="List Number 21"/>
    <w:basedOn w:val="Normal"/>
    <w:next w:val="ListNumber2"/>
    <w:uiPriority w:val="1"/>
    <w:unhideWhenUsed/>
    <w:rsid w:val="00797049"/>
    <w:pPr>
      <w:numPr>
        <w:ilvl w:val="1"/>
        <w:numId w:val="2"/>
      </w:numPr>
      <w:spacing w:before="40" w:line="288" w:lineRule="auto"/>
      <w:contextualSpacing/>
    </w:pPr>
    <w:rPr>
      <w:rFonts w:eastAsia="MS PGothic"/>
      <w:color w:val="595959"/>
      <w:kern w:val="20"/>
      <w:sz w:val="20"/>
      <w:szCs w:val="20"/>
      <w:lang w:eastAsia="ja-JP"/>
    </w:rPr>
  </w:style>
  <w:style w:type="paragraph" w:customStyle="1" w:styleId="ListNumber31">
    <w:name w:val="List Number 31"/>
    <w:basedOn w:val="Normal"/>
    <w:next w:val="ListNumber3"/>
    <w:uiPriority w:val="18"/>
    <w:unhideWhenUsed/>
    <w:rsid w:val="00797049"/>
    <w:pPr>
      <w:numPr>
        <w:ilvl w:val="2"/>
        <w:numId w:val="2"/>
      </w:numPr>
      <w:spacing w:before="40" w:line="288" w:lineRule="auto"/>
      <w:contextualSpacing/>
    </w:pPr>
    <w:rPr>
      <w:rFonts w:eastAsia="MS PGothic"/>
      <w:color w:val="595959"/>
      <w:kern w:val="20"/>
      <w:sz w:val="20"/>
      <w:szCs w:val="20"/>
      <w:lang w:eastAsia="ja-JP"/>
    </w:rPr>
  </w:style>
  <w:style w:type="paragraph" w:customStyle="1" w:styleId="ListNumber41">
    <w:name w:val="List Number 41"/>
    <w:basedOn w:val="Normal"/>
    <w:next w:val="ListNumber4"/>
    <w:uiPriority w:val="18"/>
    <w:unhideWhenUsed/>
    <w:rsid w:val="00797049"/>
    <w:pPr>
      <w:numPr>
        <w:ilvl w:val="3"/>
        <w:numId w:val="2"/>
      </w:numPr>
      <w:spacing w:before="40" w:line="288" w:lineRule="auto"/>
      <w:contextualSpacing/>
    </w:pPr>
    <w:rPr>
      <w:rFonts w:eastAsia="MS PGothic"/>
      <w:color w:val="595959"/>
      <w:kern w:val="20"/>
      <w:sz w:val="20"/>
      <w:szCs w:val="20"/>
      <w:lang w:eastAsia="ja-JP"/>
    </w:rPr>
  </w:style>
  <w:style w:type="paragraph" w:customStyle="1" w:styleId="ListNumber51">
    <w:name w:val="List Number 51"/>
    <w:basedOn w:val="Normal"/>
    <w:next w:val="ListNumber5"/>
    <w:uiPriority w:val="18"/>
    <w:unhideWhenUsed/>
    <w:rsid w:val="00797049"/>
    <w:pPr>
      <w:numPr>
        <w:ilvl w:val="4"/>
        <w:numId w:val="2"/>
      </w:numPr>
      <w:spacing w:before="40" w:line="288" w:lineRule="auto"/>
      <w:contextualSpacing/>
    </w:pPr>
    <w:rPr>
      <w:rFonts w:eastAsia="MS PGothic"/>
      <w:color w:val="595959"/>
      <w:kern w:val="20"/>
      <w:sz w:val="20"/>
      <w:szCs w:val="20"/>
      <w:lang w:eastAsia="ja-JP"/>
    </w:rPr>
  </w:style>
  <w:style w:type="table" w:customStyle="1" w:styleId="FinancialTable">
    <w:name w:val="Financial Table"/>
    <w:basedOn w:val="TableNormal"/>
    <w:uiPriority w:val="99"/>
    <w:rsid w:val="00797049"/>
    <w:pPr>
      <w:spacing w:before="60" w:after="60" w:line="264" w:lineRule="auto"/>
    </w:pPr>
    <w:rPr>
      <w:rFonts w:eastAsia="MS PGothic"/>
      <w:sz w:val="20"/>
      <w:szCs w:val="20"/>
      <w:lang w:eastAsia="ja-JP"/>
    </w:rPr>
    <w:tblPr>
      <w:tblBorders>
        <w:top w:val="single" w:sz="8" w:space="0" w:color="000000"/>
        <w:left w:val="single" w:sz="8" w:space="0" w:color="000000"/>
        <w:bottom w:val="single" w:sz="24" w:space="0" w:color="000000"/>
        <w:right w:val="single" w:sz="8" w:space="0" w:color="000000"/>
        <w:insideH w:val="single" w:sz="8" w:space="0" w:color="000000"/>
        <w:insideV w:val="single" w:sz="8" w:space="0" w:color="000000"/>
      </w:tblBorders>
      <w:tblCellMar>
        <w:left w:w="72" w:type="dxa"/>
        <w:right w:w="72" w:type="dxa"/>
      </w:tblCellMar>
    </w:tblPr>
    <w:tblStylePr w:type="firstRow">
      <w:pPr>
        <w:wordWrap/>
        <w:spacing w:beforeLines="0" w:before="40" w:beforeAutospacing="0" w:afterLines="0" w:after="40" w:afterAutospacing="0"/>
        <w:jc w:val="left"/>
      </w:pPr>
      <w:rPr>
        <w:rFonts w:ascii="Arial" w:hAnsi="Arial"/>
        <w:b/>
        <w:i w:val="0"/>
        <w:caps w:val="0"/>
        <w:smallCaps w:val="0"/>
        <w:color w:val="000000"/>
        <w:sz w:val="22"/>
      </w:rPr>
    </w:tblStylePr>
    <w:tblStylePr w:type="firstCol">
      <w:rPr>
        <w:b/>
        <w:color w:val="000000"/>
      </w:rPr>
    </w:tblStylePr>
  </w:style>
  <w:style w:type="character" w:styleId="CommentReference">
    <w:name w:val="annotation reference"/>
    <w:basedOn w:val="DefaultParagraphFont"/>
    <w:uiPriority w:val="99"/>
    <w:semiHidden/>
    <w:unhideWhenUsed/>
    <w:rsid w:val="00797049"/>
    <w:rPr>
      <w:sz w:val="16"/>
    </w:rPr>
  </w:style>
  <w:style w:type="paragraph" w:styleId="CommentText">
    <w:name w:val="annotation text"/>
    <w:basedOn w:val="Normal"/>
    <w:link w:val="CommentTextChar"/>
    <w:uiPriority w:val="99"/>
    <w:unhideWhenUsed/>
    <w:rsid w:val="00797049"/>
    <w:pPr>
      <w:spacing w:line="264" w:lineRule="auto"/>
    </w:pPr>
    <w:rPr>
      <w:rFonts w:eastAsia="MS PGothic"/>
      <w:sz w:val="20"/>
      <w:szCs w:val="20"/>
      <w:lang w:eastAsia="ja-JP"/>
    </w:rPr>
  </w:style>
  <w:style w:type="character" w:customStyle="1" w:styleId="CommentTextChar">
    <w:name w:val="Comment Text Char"/>
    <w:basedOn w:val="DefaultParagraphFont"/>
    <w:link w:val="CommentText"/>
    <w:uiPriority w:val="99"/>
    <w:rsid w:val="00797049"/>
    <w:rPr>
      <w:rFonts w:eastAsia="MS PGothic"/>
      <w:sz w:val="20"/>
      <w:szCs w:val="20"/>
      <w:lang w:eastAsia="ja-JP"/>
    </w:rPr>
  </w:style>
  <w:style w:type="paragraph" w:styleId="CommentSubject">
    <w:name w:val="annotation subject"/>
    <w:basedOn w:val="CommentText"/>
    <w:next w:val="CommentText"/>
    <w:link w:val="CommentSubjectChar"/>
    <w:uiPriority w:val="99"/>
    <w:semiHidden/>
    <w:unhideWhenUsed/>
    <w:rsid w:val="00797049"/>
    <w:rPr>
      <w:b/>
      <w:bCs/>
    </w:rPr>
  </w:style>
  <w:style w:type="character" w:customStyle="1" w:styleId="CommentSubjectChar">
    <w:name w:val="Comment Subject Char"/>
    <w:basedOn w:val="CommentTextChar"/>
    <w:link w:val="CommentSubject"/>
    <w:uiPriority w:val="99"/>
    <w:semiHidden/>
    <w:rsid w:val="00797049"/>
    <w:rPr>
      <w:rFonts w:eastAsia="MS PGothic"/>
      <w:b/>
      <w:bCs/>
      <w:sz w:val="20"/>
      <w:szCs w:val="20"/>
      <w:lang w:eastAsia="ja-JP"/>
    </w:rPr>
  </w:style>
  <w:style w:type="table" w:customStyle="1" w:styleId="LightShading1">
    <w:name w:val="Light Shading1"/>
    <w:basedOn w:val="TableNormal"/>
    <w:next w:val="LightShading"/>
    <w:uiPriority w:val="60"/>
    <w:rsid w:val="00797049"/>
    <w:pPr>
      <w:spacing w:after="0" w:line="264" w:lineRule="auto"/>
    </w:pPr>
    <w:rPr>
      <w:rFonts w:eastAsia="MS PGothic"/>
      <w:color w:val="000000"/>
      <w:sz w:val="20"/>
      <w:szCs w:val="20"/>
      <w:lang w:eastAsia="ja-JP"/>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paragraph" w:customStyle="1" w:styleId="TableTextDecimal">
    <w:name w:val="Table Text Decimal"/>
    <w:basedOn w:val="Normal"/>
    <w:uiPriority w:val="1"/>
    <w:rsid w:val="00797049"/>
    <w:pPr>
      <w:tabs>
        <w:tab w:val="decimal" w:pos="869"/>
      </w:tabs>
      <w:spacing w:before="60" w:after="60" w:line="264" w:lineRule="auto"/>
    </w:pPr>
    <w:rPr>
      <w:rFonts w:eastAsia="MS PGothic"/>
      <w:sz w:val="20"/>
      <w:szCs w:val="20"/>
      <w:lang w:eastAsia="ja-JP"/>
    </w:rPr>
  </w:style>
  <w:style w:type="paragraph" w:customStyle="1" w:styleId="TableText">
    <w:name w:val="Table Text"/>
    <w:basedOn w:val="Normal"/>
    <w:uiPriority w:val="1"/>
    <w:rsid w:val="00797049"/>
    <w:pPr>
      <w:spacing w:before="60" w:after="60" w:line="264" w:lineRule="auto"/>
    </w:pPr>
    <w:rPr>
      <w:rFonts w:eastAsia="MS PGothic"/>
      <w:sz w:val="20"/>
      <w:szCs w:val="20"/>
      <w:lang w:eastAsia="ja-JP"/>
    </w:rPr>
  </w:style>
  <w:style w:type="paragraph" w:customStyle="1" w:styleId="Organization">
    <w:name w:val="Organization"/>
    <w:basedOn w:val="Normal"/>
    <w:uiPriority w:val="2"/>
    <w:rsid w:val="00797049"/>
    <w:pPr>
      <w:spacing w:after="60" w:line="264" w:lineRule="auto"/>
      <w:ind w:left="29" w:right="29"/>
    </w:pPr>
    <w:rPr>
      <w:rFonts w:eastAsia="MS PGothic"/>
      <w:b/>
      <w:bCs/>
      <w:color w:val="EF4623"/>
      <w:sz w:val="36"/>
      <w:szCs w:val="20"/>
      <w:lang w:eastAsia="ja-JP"/>
    </w:rPr>
  </w:style>
  <w:style w:type="paragraph" w:styleId="TOC2">
    <w:name w:val="toc 2"/>
    <w:basedOn w:val="Normal"/>
    <w:next w:val="Normal"/>
    <w:autoRedefine/>
    <w:uiPriority w:val="39"/>
    <w:unhideWhenUsed/>
    <w:qFormat/>
    <w:rsid w:val="00DE298C"/>
    <w:pPr>
      <w:tabs>
        <w:tab w:val="left" w:pos="660"/>
        <w:tab w:val="right" w:leader="underscore" w:pos="8657"/>
      </w:tabs>
      <w:spacing w:after="100" w:line="264" w:lineRule="auto"/>
      <w:ind w:left="200"/>
    </w:pPr>
    <w:rPr>
      <w:rFonts w:ascii="Cambria" w:eastAsia="MS PGothic" w:hAnsi="Cambria"/>
      <w:noProof/>
      <w:sz w:val="20"/>
      <w:szCs w:val="20"/>
      <w:lang w:val="sr-Cyrl-RS" w:eastAsia="ja-JP"/>
    </w:rPr>
  </w:style>
  <w:style w:type="table" w:customStyle="1" w:styleId="GridTable6Colorful-Accent51">
    <w:name w:val="Grid Table 6 Colorful - Accent 51"/>
    <w:basedOn w:val="TableNormal"/>
    <w:next w:val="GridTable6Colorful-Accent54"/>
    <w:uiPriority w:val="51"/>
    <w:rsid w:val="00797049"/>
    <w:pPr>
      <w:spacing w:after="0" w:line="264" w:lineRule="auto"/>
    </w:pPr>
    <w:rPr>
      <w:rFonts w:ascii="Calibri" w:eastAsia="Calibri" w:hAnsi="Calibri" w:cs="Times New Roman"/>
      <w:color w:val="474747"/>
      <w:sz w:val="20"/>
      <w:szCs w:val="20"/>
    </w:rPr>
    <w:tblPr>
      <w:tblStyleRowBandSize w:val="1"/>
      <w:tblStyleColBandSize w:val="1"/>
      <w:tblBorders>
        <w:top w:val="single" w:sz="4" w:space="0" w:color="9F9F9F"/>
        <w:left w:val="single" w:sz="4" w:space="0" w:color="9F9F9F"/>
        <w:bottom w:val="single" w:sz="4" w:space="0" w:color="9F9F9F"/>
        <w:right w:val="single" w:sz="4" w:space="0" w:color="9F9F9F"/>
        <w:insideH w:val="single" w:sz="4" w:space="0" w:color="9F9F9F"/>
        <w:insideV w:val="single" w:sz="4" w:space="0" w:color="9F9F9F"/>
      </w:tblBorders>
    </w:tblPr>
    <w:tblStylePr w:type="firstRow">
      <w:rPr>
        <w:b/>
        <w:bCs/>
      </w:rPr>
      <w:tblPr/>
      <w:tcPr>
        <w:tcBorders>
          <w:bottom w:val="single" w:sz="12" w:space="0" w:color="9F9F9F"/>
        </w:tcBorders>
      </w:tcPr>
    </w:tblStylePr>
    <w:tblStylePr w:type="lastRow">
      <w:rPr>
        <w:b/>
        <w:bCs/>
      </w:rPr>
      <w:tblPr/>
      <w:tcPr>
        <w:tcBorders>
          <w:top w:val="double" w:sz="4" w:space="0" w:color="9F9F9F"/>
        </w:tcBorders>
      </w:tcPr>
    </w:tblStylePr>
    <w:tblStylePr w:type="firstCol">
      <w:rPr>
        <w:b/>
        <w:bCs/>
      </w:rPr>
    </w:tblStylePr>
    <w:tblStylePr w:type="lastCol">
      <w:rPr>
        <w:b/>
        <w:bCs/>
      </w:rPr>
    </w:tblStylePr>
    <w:tblStylePr w:type="band1Vert">
      <w:tblPr/>
      <w:tcPr>
        <w:shd w:val="clear" w:color="auto" w:fill="DFDFDF"/>
      </w:tcPr>
    </w:tblStylePr>
    <w:tblStylePr w:type="band1Horz">
      <w:tblPr/>
      <w:tcPr>
        <w:shd w:val="clear" w:color="auto" w:fill="DFDFDF"/>
      </w:tcPr>
    </w:tblStylePr>
  </w:style>
  <w:style w:type="character" w:customStyle="1" w:styleId="Heading3Char">
    <w:name w:val="Heading 3 Char"/>
    <w:basedOn w:val="DefaultParagraphFont"/>
    <w:link w:val="Heading3"/>
    <w:rsid w:val="00797049"/>
    <w:rPr>
      <w:rFonts w:ascii="Arial" w:eastAsia="MS PGothic" w:hAnsi="Arial" w:cs="Arial"/>
      <w:color w:val="000000"/>
      <w:sz w:val="24"/>
      <w:szCs w:val="24"/>
    </w:rPr>
  </w:style>
  <w:style w:type="table" w:customStyle="1" w:styleId="LightShading-Accent12">
    <w:name w:val="Light Shading - Accent 12"/>
    <w:basedOn w:val="TableNormal"/>
    <w:uiPriority w:val="60"/>
    <w:rsid w:val="00797049"/>
    <w:pPr>
      <w:spacing w:after="0" w:line="264" w:lineRule="auto"/>
    </w:pPr>
    <w:rPr>
      <w:rFonts w:ascii="Cambria" w:eastAsia="Calibri" w:hAnsi="Cambria" w:cs="Times New Roman"/>
      <w:color w:val="A8422A"/>
      <w:sz w:val="20"/>
      <w:szCs w:val="20"/>
      <w:lang w:val="en-GB" w:eastAsia="sr-Cyrl-CS"/>
    </w:rPr>
    <w:tblPr>
      <w:tblStyleRowBandSize w:val="1"/>
      <w:tblStyleColBandSize w:val="1"/>
      <w:tblBorders>
        <w:top w:val="single" w:sz="8" w:space="0" w:color="D16349"/>
        <w:bottom w:val="single" w:sz="8" w:space="0" w:color="D16349"/>
      </w:tblBorders>
    </w:tblPr>
    <w:tblStylePr w:type="fir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la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D8D2"/>
      </w:tcPr>
    </w:tblStylePr>
    <w:tblStylePr w:type="band1Horz">
      <w:tblPr/>
      <w:tcPr>
        <w:tcBorders>
          <w:left w:val="nil"/>
          <w:right w:val="nil"/>
          <w:insideH w:val="nil"/>
          <w:insideV w:val="nil"/>
        </w:tcBorders>
        <w:shd w:val="clear" w:color="auto" w:fill="F3D8D2"/>
      </w:tcPr>
    </w:tblStylePr>
  </w:style>
  <w:style w:type="table" w:customStyle="1" w:styleId="GridTable6Colorful-Accent511">
    <w:name w:val="Grid Table 6 Colorful - Accent 511"/>
    <w:basedOn w:val="TableNormal"/>
    <w:uiPriority w:val="51"/>
    <w:rsid w:val="00797049"/>
    <w:pPr>
      <w:spacing w:after="0" w:line="264" w:lineRule="auto"/>
    </w:pPr>
    <w:rPr>
      <w:rFonts w:ascii="Calibri" w:eastAsia="Calibri" w:hAnsi="Calibri" w:cs="Times New Roman"/>
      <w:color w:val="387AAA"/>
      <w:sz w:val="20"/>
      <w:szCs w:val="20"/>
    </w:rPr>
    <w:tblPr>
      <w:tblStyleRowBandSize w:val="1"/>
      <w:tblStyleColBandSize w:val="1"/>
      <w:tblBorders>
        <w:top w:val="single" w:sz="4" w:space="0" w:color="A1C5E0"/>
        <w:left w:val="single" w:sz="4" w:space="0" w:color="A1C5E0"/>
        <w:bottom w:val="single" w:sz="4" w:space="0" w:color="A1C5E0"/>
        <w:right w:val="single" w:sz="4" w:space="0" w:color="A1C5E0"/>
        <w:insideH w:val="single" w:sz="4" w:space="0" w:color="A1C5E0"/>
        <w:insideV w:val="single" w:sz="4" w:space="0" w:color="A1C5E0"/>
      </w:tblBorders>
    </w:tblPr>
    <w:tblStylePr w:type="firstRow">
      <w:rPr>
        <w:b/>
        <w:bCs/>
      </w:rPr>
      <w:tblPr/>
      <w:tcPr>
        <w:tcBorders>
          <w:bottom w:val="single" w:sz="12" w:space="0" w:color="A1C5E0"/>
        </w:tcBorders>
      </w:tcPr>
    </w:tblStylePr>
    <w:tblStylePr w:type="lastRow">
      <w:rPr>
        <w:b/>
        <w:bCs/>
      </w:rPr>
      <w:tblPr/>
      <w:tcPr>
        <w:tcBorders>
          <w:top w:val="double" w:sz="4" w:space="0" w:color="A1C5E0"/>
        </w:tcBorders>
      </w:tcPr>
    </w:tblStylePr>
    <w:tblStylePr w:type="firstCol">
      <w:rPr>
        <w:b/>
        <w:bCs/>
      </w:rPr>
    </w:tblStylePr>
    <w:tblStylePr w:type="lastCol">
      <w:rPr>
        <w:b/>
        <w:bCs/>
      </w:rPr>
    </w:tblStylePr>
    <w:tblStylePr w:type="band1Vert">
      <w:tblPr/>
      <w:tcPr>
        <w:shd w:val="clear" w:color="auto" w:fill="DFEBF4"/>
      </w:tcPr>
    </w:tblStylePr>
    <w:tblStylePr w:type="band1Horz">
      <w:tblPr/>
      <w:tcPr>
        <w:shd w:val="clear" w:color="auto" w:fill="DFEBF4"/>
      </w:tcPr>
    </w:tblStylePr>
  </w:style>
  <w:style w:type="table" w:customStyle="1" w:styleId="LightShading-Accent121">
    <w:name w:val="Light Shading - Accent 121"/>
    <w:basedOn w:val="TableNormal"/>
    <w:uiPriority w:val="60"/>
    <w:rsid w:val="00797049"/>
    <w:pPr>
      <w:spacing w:after="0" w:line="264" w:lineRule="auto"/>
    </w:pPr>
    <w:rPr>
      <w:rFonts w:ascii="Cambria" w:eastAsia="Calibri" w:hAnsi="Cambria" w:cs="Times New Roman"/>
      <w:color w:val="A8422A"/>
      <w:sz w:val="20"/>
      <w:szCs w:val="20"/>
      <w:lang w:val="en-GB" w:eastAsia="sr-Cyrl-CS"/>
    </w:rPr>
    <w:tblPr>
      <w:tblStyleRowBandSize w:val="1"/>
      <w:tblStyleColBandSize w:val="1"/>
      <w:tblBorders>
        <w:top w:val="single" w:sz="8" w:space="0" w:color="D16349"/>
        <w:bottom w:val="single" w:sz="8" w:space="0" w:color="D16349"/>
      </w:tblBorders>
    </w:tblPr>
    <w:tblStylePr w:type="fir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la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D8D2"/>
      </w:tcPr>
    </w:tblStylePr>
    <w:tblStylePr w:type="band1Horz">
      <w:tblPr/>
      <w:tcPr>
        <w:tcBorders>
          <w:left w:val="nil"/>
          <w:right w:val="nil"/>
          <w:insideH w:val="nil"/>
          <w:insideV w:val="nil"/>
        </w:tcBorders>
        <w:shd w:val="clear" w:color="auto" w:fill="F3D8D2"/>
      </w:tcPr>
    </w:tblStylePr>
  </w:style>
  <w:style w:type="table" w:customStyle="1" w:styleId="GridTable6Colorful-Accent11">
    <w:name w:val="Grid Table 6 Colorful - Accent 11"/>
    <w:basedOn w:val="TableNormal"/>
    <w:next w:val="GridTable6Colorful-Accent13"/>
    <w:uiPriority w:val="51"/>
    <w:rsid w:val="00797049"/>
    <w:pPr>
      <w:spacing w:after="0" w:line="264" w:lineRule="auto"/>
    </w:pPr>
    <w:rPr>
      <w:rFonts w:eastAsia="MS PGothic"/>
      <w:color w:val="BF2B0E"/>
      <w:sz w:val="20"/>
      <w:szCs w:val="20"/>
      <w:lang w:eastAsia="ja-JP"/>
    </w:rPr>
    <w:tblPr>
      <w:tblStyleRowBandSize w:val="1"/>
      <w:tblStyleColBandSize w:val="1"/>
      <w:tblBorders>
        <w:top w:val="single" w:sz="4" w:space="0" w:color="F58F7A"/>
        <w:left w:val="single" w:sz="4" w:space="0" w:color="F58F7A"/>
        <w:bottom w:val="single" w:sz="4" w:space="0" w:color="F58F7A"/>
        <w:right w:val="single" w:sz="4" w:space="0" w:color="F58F7A"/>
        <w:insideH w:val="single" w:sz="4" w:space="0" w:color="F58F7A"/>
        <w:insideV w:val="single" w:sz="4" w:space="0" w:color="F58F7A"/>
      </w:tblBorders>
    </w:tblPr>
    <w:tblStylePr w:type="firstRow">
      <w:rPr>
        <w:b/>
        <w:bCs/>
      </w:rPr>
      <w:tblPr/>
      <w:tcPr>
        <w:tcBorders>
          <w:bottom w:val="single" w:sz="12" w:space="0" w:color="F58F7A"/>
        </w:tcBorders>
      </w:tcPr>
    </w:tblStylePr>
    <w:tblStylePr w:type="lastRow">
      <w:rPr>
        <w:b/>
        <w:bCs/>
      </w:rPr>
      <w:tblPr/>
      <w:tcPr>
        <w:tcBorders>
          <w:top w:val="double" w:sz="4" w:space="0" w:color="F58F7A"/>
        </w:tcBorders>
      </w:tcPr>
    </w:tblStylePr>
    <w:tblStylePr w:type="firstCol">
      <w:rPr>
        <w:b/>
        <w:bCs/>
      </w:rPr>
    </w:tblStylePr>
    <w:tblStylePr w:type="lastCol">
      <w:rPr>
        <w:b/>
        <w:bCs/>
      </w:rPr>
    </w:tblStylePr>
    <w:tblStylePr w:type="band1Vert">
      <w:tblPr/>
      <w:tcPr>
        <w:shd w:val="clear" w:color="auto" w:fill="FBD9D2"/>
      </w:tcPr>
    </w:tblStylePr>
    <w:tblStylePr w:type="band1Horz">
      <w:tblPr/>
      <w:tcPr>
        <w:shd w:val="clear" w:color="auto" w:fill="FBD9D2"/>
      </w:tcPr>
    </w:tblStylePr>
  </w:style>
  <w:style w:type="paragraph" w:styleId="TOC3">
    <w:name w:val="toc 3"/>
    <w:basedOn w:val="Normal"/>
    <w:next w:val="Normal"/>
    <w:autoRedefine/>
    <w:uiPriority w:val="39"/>
    <w:unhideWhenUsed/>
    <w:qFormat/>
    <w:rsid w:val="00797049"/>
    <w:pPr>
      <w:spacing w:after="100" w:line="264" w:lineRule="auto"/>
      <w:ind w:left="400"/>
    </w:pPr>
    <w:rPr>
      <w:rFonts w:eastAsia="MS PGothic"/>
      <w:sz w:val="20"/>
      <w:szCs w:val="20"/>
      <w:lang w:eastAsia="ja-JP"/>
    </w:rPr>
  </w:style>
  <w:style w:type="character" w:customStyle="1" w:styleId="Heading4Char">
    <w:name w:val="Heading 4 Char"/>
    <w:basedOn w:val="DefaultParagraphFont"/>
    <w:link w:val="Heading4"/>
    <w:rsid w:val="00797049"/>
    <w:rPr>
      <w:rFonts w:ascii="Arial" w:eastAsia="MS PGothic" w:hAnsi="Arial" w:cs="Arial"/>
      <w:sz w:val="22"/>
      <w:szCs w:val="22"/>
    </w:rPr>
  </w:style>
  <w:style w:type="character" w:customStyle="1" w:styleId="Heading5Char">
    <w:name w:val="Heading 5 Char"/>
    <w:basedOn w:val="DefaultParagraphFont"/>
    <w:link w:val="Heading5"/>
    <w:rsid w:val="00797049"/>
    <w:rPr>
      <w:rFonts w:ascii="Arial" w:eastAsia="MS PGothic" w:hAnsi="Arial" w:cs="Arial"/>
      <w:color w:val="000000"/>
      <w:sz w:val="22"/>
      <w:szCs w:val="22"/>
    </w:rPr>
  </w:style>
  <w:style w:type="character" w:customStyle="1" w:styleId="Heading6Char">
    <w:name w:val="Heading 6 Char"/>
    <w:basedOn w:val="DefaultParagraphFont"/>
    <w:link w:val="Heading6"/>
    <w:rsid w:val="00797049"/>
    <w:rPr>
      <w:rFonts w:ascii="Arial" w:eastAsia="MS PGothic" w:hAnsi="Arial" w:cs="Arial"/>
      <w:i/>
      <w:iCs/>
      <w:color w:val="000000"/>
      <w:sz w:val="21"/>
      <w:szCs w:val="21"/>
    </w:rPr>
  </w:style>
  <w:style w:type="character" w:customStyle="1" w:styleId="Heading7Char">
    <w:name w:val="Heading 7 Char"/>
    <w:basedOn w:val="DefaultParagraphFont"/>
    <w:link w:val="Heading7"/>
    <w:uiPriority w:val="9"/>
    <w:semiHidden/>
    <w:rsid w:val="00797049"/>
    <w:rPr>
      <w:rFonts w:ascii="Arial" w:eastAsia="MS PGothic" w:hAnsi="Arial" w:cs="Arial"/>
      <w:i/>
      <w:iCs/>
      <w:color w:val="7F1D09"/>
      <w:sz w:val="21"/>
      <w:szCs w:val="21"/>
    </w:rPr>
  </w:style>
  <w:style w:type="character" w:customStyle="1" w:styleId="Heading8Char">
    <w:name w:val="Heading 8 Char"/>
    <w:basedOn w:val="DefaultParagraphFont"/>
    <w:link w:val="Heading8"/>
    <w:uiPriority w:val="9"/>
    <w:semiHidden/>
    <w:rsid w:val="00797049"/>
    <w:rPr>
      <w:rFonts w:ascii="Arial" w:eastAsia="MS PGothic" w:hAnsi="Arial" w:cs="Arial"/>
      <w:b/>
      <w:bCs/>
      <w:color w:val="000000"/>
    </w:rPr>
  </w:style>
  <w:style w:type="character" w:customStyle="1" w:styleId="Heading9Char">
    <w:name w:val="Heading 9 Char"/>
    <w:basedOn w:val="DefaultParagraphFont"/>
    <w:link w:val="Heading9"/>
    <w:uiPriority w:val="9"/>
    <w:semiHidden/>
    <w:rsid w:val="00797049"/>
    <w:rPr>
      <w:rFonts w:ascii="Arial" w:eastAsia="MS PGothic" w:hAnsi="Arial" w:cs="Arial"/>
      <w:b/>
      <w:bCs/>
      <w:i/>
      <w:iCs/>
      <w:color w:val="000000"/>
    </w:rPr>
  </w:style>
  <w:style w:type="paragraph" w:customStyle="1" w:styleId="Caption1">
    <w:name w:val="Caption1"/>
    <w:basedOn w:val="Normal"/>
    <w:next w:val="Normal"/>
    <w:unhideWhenUsed/>
    <w:qFormat/>
    <w:rsid w:val="00797049"/>
    <w:rPr>
      <w:rFonts w:eastAsia="MS PGothic"/>
      <w:b/>
      <w:bCs/>
      <w:smallCaps/>
      <w:color w:val="595959"/>
      <w:spacing w:val="6"/>
      <w:sz w:val="20"/>
      <w:szCs w:val="20"/>
      <w:lang w:eastAsia="ja-JP"/>
    </w:rPr>
  </w:style>
  <w:style w:type="character" w:styleId="Emphasis">
    <w:name w:val="Emphasis"/>
    <w:basedOn w:val="DefaultParagraphFont"/>
    <w:uiPriority w:val="20"/>
    <w:qFormat/>
    <w:rsid w:val="00797049"/>
    <w:rPr>
      <w:i/>
      <w:iCs/>
    </w:rPr>
  </w:style>
  <w:style w:type="paragraph" w:customStyle="1" w:styleId="IntenseQuote1">
    <w:name w:val="Intense Quote1"/>
    <w:basedOn w:val="Normal"/>
    <w:next w:val="Normal"/>
    <w:uiPriority w:val="30"/>
    <w:qFormat/>
    <w:rsid w:val="00797049"/>
    <w:pPr>
      <w:pBdr>
        <w:left w:val="single" w:sz="18" w:space="12" w:color="EF4623"/>
      </w:pBdr>
      <w:spacing w:before="100" w:beforeAutospacing="1" w:line="300" w:lineRule="auto"/>
      <w:ind w:left="1224" w:right="1224"/>
    </w:pPr>
    <w:rPr>
      <w:rFonts w:ascii="Arial" w:eastAsia="MS PGothic" w:hAnsi="Arial" w:cs="Arial"/>
      <w:color w:val="EF4623"/>
      <w:sz w:val="28"/>
      <w:szCs w:val="28"/>
      <w:lang w:eastAsia="ja-JP"/>
    </w:rPr>
  </w:style>
  <w:style w:type="character" w:customStyle="1" w:styleId="IntenseQuoteChar">
    <w:name w:val="Intense Quote Char"/>
    <w:basedOn w:val="DefaultParagraphFont"/>
    <w:link w:val="IntenseQuote"/>
    <w:uiPriority w:val="30"/>
    <w:rsid w:val="00797049"/>
    <w:rPr>
      <w:rFonts w:ascii="Arial" w:eastAsia="MS PGothic" w:hAnsi="Arial" w:cs="Arial"/>
      <w:color w:val="EF4623"/>
      <w:sz w:val="28"/>
      <w:szCs w:val="28"/>
    </w:rPr>
  </w:style>
  <w:style w:type="character" w:customStyle="1" w:styleId="SubtleEmphasis1">
    <w:name w:val="Subtle Emphasis1"/>
    <w:basedOn w:val="DefaultParagraphFont"/>
    <w:uiPriority w:val="19"/>
    <w:qFormat/>
    <w:rsid w:val="00797049"/>
    <w:rPr>
      <w:i/>
      <w:iCs/>
      <w:color w:val="404040"/>
    </w:rPr>
  </w:style>
  <w:style w:type="character" w:styleId="IntenseEmphasis">
    <w:name w:val="Intense Emphasis"/>
    <w:basedOn w:val="DefaultParagraphFont"/>
    <w:uiPriority w:val="21"/>
    <w:qFormat/>
    <w:rsid w:val="00797049"/>
    <w:rPr>
      <w:b/>
      <w:bCs/>
      <w:i/>
      <w:iCs/>
    </w:rPr>
  </w:style>
  <w:style w:type="character" w:customStyle="1" w:styleId="SubtleReference1">
    <w:name w:val="Subtle Reference1"/>
    <w:basedOn w:val="DefaultParagraphFont"/>
    <w:uiPriority w:val="31"/>
    <w:qFormat/>
    <w:rsid w:val="00797049"/>
    <w:rPr>
      <w:smallCaps/>
      <w:color w:val="404040"/>
      <w:u w:val="single" w:color="7F7F7F"/>
    </w:rPr>
  </w:style>
  <w:style w:type="character" w:styleId="IntenseReference">
    <w:name w:val="Intense Reference"/>
    <w:basedOn w:val="DefaultParagraphFont"/>
    <w:uiPriority w:val="32"/>
    <w:qFormat/>
    <w:rsid w:val="00797049"/>
    <w:rPr>
      <w:b/>
      <w:bCs/>
      <w:smallCaps/>
      <w:spacing w:val="5"/>
      <w:u w:val="single"/>
    </w:rPr>
  </w:style>
  <w:style w:type="character" w:styleId="BookTitle">
    <w:name w:val="Book Title"/>
    <w:basedOn w:val="DefaultParagraphFont"/>
    <w:uiPriority w:val="33"/>
    <w:qFormat/>
    <w:rsid w:val="00797049"/>
    <w:rPr>
      <w:b/>
      <w:bCs/>
      <w:smallCaps/>
    </w:rPr>
  </w:style>
  <w:style w:type="paragraph" w:styleId="ListParagraph">
    <w:name w:val="List Paragraph"/>
    <w:aliases w:val="Liste 1,Liste Paragraf,Figure_name,numbered,Bullet List,FooterText,Paragraphe de liste1,Bulletr List Paragraph,列出段落,列出段落1,List Paragraph2,List Paragraph21,Párrafo de lista1,Parágrafo da Lista1,リスト段落1,Listeafsnit1,b1,lp1,cS List Paragraph"/>
    <w:basedOn w:val="Normal"/>
    <w:link w:val="ListParagraphChar"/>
    <w:uiPriority w:val="34"/>
    <w:qFormat/>
    <w:rsid w:val="00797049"/>
    <w:pPr>
      <w:spacing w:line="264" w:lineRule="auto"/>
      <w:ind w:left="720"/>
      <w:contextualSpacing/>
    </w:pPr>
    <w:rPr>
      <w:rFonts w:eastAsia="MS PGothic"/>
      <w:sz w:val="20"/>
      <w:szCs w:val="20"/>
      <w:lang w:eastAsia="ja-JP"/>
    </w:rPr>
  </w:style>
  <w:style w:type="paragraph" w:styleId="NormalWeb">
    <w:name w:val="Normal (Web)"/>
    <w:basedOn w:val="Normal"/>
    <w:uiPriority w:val="99"/>
    <w:unhideWhenUsed/>
    <w:rsid w:val="00797049"/>
    <w:pPr>
      <w:spacing w:before="100" w:beforeAutospacing="1" w:after="100" w:afterAutospacing="1"/>
    </w:pPr>
    <w:rPr>
      <w:rFonts w:eastAsia="MS PGothic" w:cs="Times New Roman"/>
      <w:szCs w:val="24"/>
    </w:rPr>
  </w:style>
  <w:style w:type="table" w:customStyle="1" w:styleId="LightShading-Accent122">
    <w:name w:val="Light Shading - Accent 122"/>
    <w:basedOn w:val="TableNormal"/>
    <w:uiPriority w:val="60"/>
    <w:rsid w:val="00797049"/>
    <w:pPr>
      <w:spacing w:after="0" w:line="240" w:lineRule="auto"/>
    </w:pPr>
    <w:rPr>
      <w:rFonts w:ascii="Cambria" w:eastAsia="Calibri" w:hAnsi="Cambria" w:cs="Times New Roman"/>
      <w:color w:val="A8422A"/>
      <w:sz w:val="20"/>
      <w:szCs w:val="20"/>
      <w:lang w:val="en-GB" w:eastAsia="sr-Cyrl-CS"/>
    </w:rPr>
    <w:tblPr>
      <w:tblStyleRowBandSize w:val="1"/>
      <w:tblStyleColBandSize w:val="1"/>
      <w:tblBorders>
        <w:top w:val="single" w:sz="8" w:space="0" w:color="D16349"/>
        <w:bottom w:val="single" w:sz="8" w:space="0" w:color="D16349"/>
      </w:tblBorders>
    </w:tblPr>
    <w:tblStylePr w:type="fir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la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D8D2"/>
      </w:tcPr>
    </w:tblStylePr>
    <w:tblStylePr w:type="band1Horz">
      <w:tblPr/>
      <w:tcPr>
        <w:tcBorders>
          <w:left w:val="nil"/>
          <w:right w:val="nil"/>
          <w:insideH w:val="nil"/>
          <w:insideV w:val="nil"/>
        </w:tcBorders>
        <w:shd w:val="clear" w:color="auto" w:fill="F3D8D2"/>
      </w:tcPr>
    </w:tblStylePr>
  </w:style>
  <w:style w:type="table" w:customStyle="1" w:styleId="GridTable6Colorful-Accent52">
    <w:name w:val="Grid Table 6 Colorful - Accent 52"/>
    <w:basedOn w:val="TableNormal"/>
    <w:next w:val="GridTable6Colorful-Accent54"/>
    <w:uiPriority w:val="51"/>
    <w:rsid w:val="00797049"/>
    <w:pPr>
      <w:spacing w:after="0" w:line="240" w:lineRule="auto"/>
    </w:pPr>
    <w:rPr>
      <w:rFonts w:ascii="Calibri" w:eastAsia="Calibri" w:hAnsi="Calibri" w:cs="Times New Roman"/>
      <w:color w:val="C19300"/>
      <w:sz w:val="20"/>
      <w:szCs w:val="20"/>
    </w:rPr>
    <w:tblPr>
      <w:tblStyleRowBandSize w:val="1"/>
      <w:tblStyleColBandSize w:val="1"/>
      <w:tblBorders>
        <w:top w:val="single" w:sz="4" w:space="0" w:color="FEDA69"/>
        <w:left w:val="single" w:sz="4" w:space="0" w:color="FEDA69"/>
        <w:bottom w:val="single" w:sz="4" w:space="0" w:color="FEDA69"/>
        <w:right w:val="single" w:sz="4" w:space="0" w:color="FEDA69"/>
        <w:insideH w:val="single" w:sz="4" w:space="0" w:color="FEDA69"/>
        <w:insideV w:val="single" w:sz="4" w:space="0" w:color="FEDA69"/>
      </w:tblBorders>
    </w:tblPr>
    <w:tblStylePr w:type="firstRow">
      <w:rPr>
        <w:b/>
        <w:bCs/>
      </w:rPr>
      <w:tblPr/>
      <w:tcPr>
        <w:tcBorders>
          <w:bottom w:val="single" w:sz="12" w:space="0" w:color="FEDA69"/>
        </w:tcBorders>
      </w:tcPr>
    </w:tblStylePr>
    <w:tblStylePr w:type="lastRow">
      <w:rPr>
        <w:b/>
        <w:bCs/>
      </w:rPr>
      <w:tblPr/>
      <w:tcPr>
        <w:tcBorders>
          <w:top w:val="double" w:sz="4" w:space="0" w:color="FEDA69"/>
        </w:tcBorders>
      </w:tcPr>
    </w:tblStylePr>
    <w:tblStylePr w:type="firstCol">
      <w:rPr>
        <w:b/>
        <w:bCs/>
      </w:rPr>
    </w:tblStylePr>
    <w:tblStylePr w:type="lastCol">
      <w:rPr>
        <w:b/>
        <w:bCs/>
      </w:rPr>
    </w:tblStylePr>
    <w:tblStylePr w:type="band1Vert">
      <w:tblPr/>
      <w:tcPr>
        <w:shd w:val="clear" w:color="auto" w:fill="FEF2CD"/>
      </w:tcPr>
    </w:tblStylePr>
    <w:tblStylePr w:type="band1Horz">
      <w:tblPr/>
      <w:tcPr>
        <w:shd w:val="clear" w:color="auto" w:fill="FEF2CD"/>
      </w:tcPr>
    </w:tblStylePr>
  </w:style>
  <w:style w:type="paragraph" w:customStyle="1" w:styleId="ParagraphNumbering">
    <w:name w:val="Paragraph Numbering"/>
    <w:basedOn w:val="Normal"/>
    <w:link w:val="ParagraphNumberingChar"/>
    <w:uiPriority w:val="99"/>
    <w:qFormat/>
    <w:rsid w:val="00797049"/>
    <w:pPr>
      <w:numPr>
        <w:numId w:val="4"/>
      </w:numPr>
      <w:spacing w:after="240" w:line="300" w:lineRule="exact"/>
    </w:pPr>
    <w:rPr>
      <w:rFonts w:ascii="Segoe UI" w:eastAsia="MS Mincho" w:hAnsi="Segoe UI" w:cs="Times New Roman"/>
      <w:sz w:val="21"/>
      <w:szCs w:val="24"/>
    </w:rPr>
  </w:style>
  <w:style w:type="character" w:customStyle="1" w:styleId="ParagraphNumberingChar">
    <w:name w:val="Paragraph Numbering Char"/>
    <w:basedOn w:val="DefaultParagraphFont"/>
    <w:link w:val="ParagraphNumbering"/>
    <w:uiPriority w:val="99"/>
    <w:rsid w:val="00797049"/>
    <w:rPr>
      <w:rFonts w:ascii="Segoe UI" w:eastAsia="MS Mincho" w:hAnsi="Segoe UI" w:cs="Times New Roman"/>
      <w:sz w:val="21"/>
      <w:szCs w:val="24"/>
    </w:rPr>
  </w:style>
  <w:style w:type="character" w:customStyle="1" w:styleId="ListParagraphChar">
    <w:name w:val="List Paragraph Char"/>
    <w:aliases w:val="Liste 1 Char,Liste Paragraf Char,Figure_name Char,numbered Char,Bullet List Char,FooterText Char,Paragraphe de liste1 Char,Bulletr List Paragraph Char,列出段落 Char,列出段落1 Char,List Paragraph2 Char,List Paragraph21 Char,リスト段落1 Char"/>
    <w:link w:val="ListParagraph"/>
    <w:uiPriority w:val="34"/>
    <w:qFormat/>
    <w:locked/>
    <w:rsid w:val="00797049"/>
    <w:rPr>
      <w:rFonts w:eastAsia="MS PGothic"/>
      <w:sz w:val="20"/>
      <w:szCs w:val="20"/>
      <w:lang w:eastAsia="ja-JP"/>
    </w:rPr>
  </w:style>
  <w:style w:type="paragraph" w:customStyle="1" w:styleId="IFS2012tekst">
    <w:name w:val="IFS 2012 tekst"/>
    <w:basedOn w:val="Normal"/>
    <w:uiPriority w:val="99"/>
    <w:qFormat/>
    <w:rsid w:val="00797049"/>
    <w:pPr>
      <w:ind w:firstLine="709"/>
    </w:pPr>
    <w:rPr>
      <w:rFonts w:ascii="Cambria" w:eastAsia="Calibri" w:hAnsi="Cambria" w:cs="Times New Roman"/>
      <w:color w:val="404040"/>
      <w:sz w:val="21"/>
      <w:lang w:val="sr-Cyrl-CS"/>
    </w:rPr>
  </w:style>
  <w:style w:type="paragraph" w:customStyle="1" w:styleId="IFS2012naslov1">
    <w:name w:val="IFS 2012 naslov 1"/>
    <w:basedOn w:val="Heading1"/>
    <w:uiPriority w:val="99"/>
    <w:qFormat/>
    <w:rsid w:val="00797049"/>
    <w:pPr>
      <w:numPr>
        <w:numId w:val="7"/>
      </w:numPr>
      <w:spacing w:before="0"/>
    </w:pPr>
    <w:rPr>
      <w:rFonts w:eastAsia="Times New Roman" w:cs="Calibri"/>
      <w:b/>
      <w:bCs/>
      <w:color w:val="4B4B4B"/>
      <w:szCs w:val="24"/>
      <w:lang w:val="sr-Cyrl-CS"/>
    </w:rPr>
  </w:style>
  <w:style w:type="paragraph" w:customStyle="1" w:styleId="IFS2012Naslov2">
    <w:name w:val="IFS 2012 Naslov 2"/>
    <w:basedOn w:val="Heading2"/>
    <w:autoRedefine/>
    <w:uiPriority w:val="99"/>
    <w:qFormat/>
    <w:rsid w:val="00797049"/>
  </w:style>
  <w:style w:type="paragraph" w:customStyle="1" w:styleId="IFS2012naslov3">
    <w:name w:val="IFS 2012 naslov 3"/>
    <w:basedOn w:val="Heading3"/>
    <w:autoRedefine/>
    <w:uiPriority w:val="99"/>
    <w:qFormat/>
    <w:rsid w:val="00797049"/>
  </w:style>
  <w:style w:type="paragraph" w:customStyle="1" w:styleId="Analizatekst">
    <w:name w:val="Analiza tekst"/>
    <w:basedOn w:val="Normal"/>
    <w:link w:val="AnalizatekstChar"/>
    <w:qFormat/>
    <w:rsid w:val="00797049"/>
    <w:pPr>
      <w:ind w:firstLine="709"/>
    </w:pPr>
    <w:rPr>
      <w:rFonts w:ascii="Calibri" w:eastAsia="Times New Roman" w:hAnsi="Calibri" w:cs="Times New Roman"/>
      <w:color w:val="404040"/>
      <w:lang w:val="sr-Cyrl-CS"/>
    </w:rPr>
  </w:style>
  <w:style w:type="character" w:customStyle="1" w:styleId="AnalizatekstChar">
    <w:name w:val="Analiza tekst Char"/>
    <w:link w:val="Analizatekst"/>
    <w:rsid w:val="00797049"/>
    <w:rPr>
      <w:rFonts w:ascii="Calibri" w:eastAsia="Times New Roman" w:hAnsi="Calibri" w:cs="Times New Roman"/>
      <w:color w:val="404040"/>
      <w:lang w:val="sr-Cyrl-CS"/>
    </w:rPr>
  </w:style>
  <w:style w:type="table" w:styleId="LightList-Accent3">
    <w:name w:val="Light List Accent 3"/>
    <w:aliases w:val="tabele 3"/>
    <w:basedOn w:val="TableNormal"/>
    <w:uiPriority w:val="61"/>
    <w:rsid w:val="00797049"/>
    <w:pPr>
      <w:spacing w:after="0" w:line="240" w:lineRule="auto"/>
    </w:pPr>
    <w:rPr>
      <w:rFonts w:ascii="Cambria Math" w:eastAsia="Calibri" w:hAnsi="Cambria Math" w:cs="Times New Roman"/>
      <w:sz w:val="18"/>
      <w:lang w:val="sr-Cyrl-CS"/>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paragraph" w:styleId="BodyText">
    <w:name w:val="Body Text"/>
    <w:basedOn w:val="Normal"/>
    <w:link w:val="BodyTextChar"/>
    <w:uiPriority w:val="99"/>
    <w:unhideWhenUsed/>
    <w:rsid w:val="00797049"/>
    <w:pPr>
      <w:spacing w:line="276" w:lineRule="auto"/>
      <w:ind w:firstLine="709"/>
    </w:pPr>
    <w:rPr>
      <w:rFonts w:ascii="Calibri" w:eastAsia="Calibri" w:hAnsi="Calibri" w:cs="Times New Roman"/>
      <w:color w:val="404040"/>
    </w:rPr>
  </w:style>
  <w:style w:type="character" w:customStyle="1" w:styleId="BodyTextChar">
    <w:name w:val="Body Text Char"/>
    <w:basedOn w:val="DefaultParagraphFont"/>
    <w:link w:val="BodyText"/>
    <w:uiPriority w:val="99"/>
    <w:rsid w:val="00797049"/>
    <w:rPr>
      <w:rFonts w:ascii="Calibri" w:eastAsia="Calibri" w:hAnsi="Calibri" w:cs="Times New Roman"/>
      <w:color w:val="404040"/>
    </w:rPr>
  </w:style>
  <w:style w:type="table" w:customStyle="1" w:styleId="LightShading-Accent11">
    <w:name w:val="Light Shading - Accent 11"/>
    <w:basedOn w:val="TableNormal"/>
    <w:uiPriority w:val="60"/>
    <w:rsid w:val="00797049"/>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styleId="LightShading-Accent3">
    <w:name w:val="Light Shading Accent 3"/>
    <w:basedOn w:val="TableNormal"/>
    <w:uiPriority w:val="60"/>
    <w:rsid w:val="00797049"/>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styleId="LightList-Accent5">
    <w:name w:val="Light List Accent 5"/>
    <w:basedOn w:val="TableNormal"/>
    <w:uiPriority w:val="61"/>
    <w:rsid w:val="00797049"/>
    <w:pPr>
      <w:spacing w:after="0" w:line="240" w:lineRule="auto"/>
    </w:pPr>
    <w:rPr>
      <w:rFonts w:ascii="Calibri" w:eastAsia="Calibri" w:hAnsi="Calibri" w:cs="Times New Roman"/>
      <w:sz w:val="20"/>
      <w:szCs w:val="20"/>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Shading-Accent31">
    <w:name w:val="Light Shading - Accent 31"/>
    <w:basedOn w:val="TableNormal"/>
    <w:next w:val="LightShading-Accent3"/>
    <w:uiPriority w:val="60"/>
    <w:rsid w:val="00797049"/>
    <w:pPr>
      <w:spacing w:after="0" w:line="240" w:lineRule="auto"/>
    </w:pPr>
    <w:rPr>
      <w:rFonts w:ascii="Constantia" w:eastAsia="Constantia" w:hAnsi="Constantia" w:cs="Times New Roman"/>
      <w:color w:val="8CADAE"/>
      <w:lang w:val="sr-Cyrl-CS"/>
    </w:rPr>
    <w:tblPr>
      <w:tblStyleRowBandSize w:val="1"/>
      <w:tblStyleColBandSize w:val="1"/>
      <w:tblBorders>
        <w:top w:val="single" w:sz="8" w:space="0" w:color="8CADAE"/>
        <w:bottom w:val="single" w:sz="8" w:space="0" w:color="8CADAE"/>
      </w:tblBorders>
    </w:tblPr>
    <w:tblStylePr w:type="fir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la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2EAEB"/>
      </w:tcPr>
    </w:tblStylePr>
    <w:tblStylePr w:type="band1Horz">
      <w:tblPr/>
      <w:tcPr>
        <w:tcBorders>
          <w:left w:val="nil"/>
          <w:right w:val="nil"/>
          <w:insideH w:val="nil"/>
          <w:insideV w:val="nil"/>
        </w:tcBorders>
        <w:shd w:val="clear" w:color="auto" w:fill="E2EAEB"/>
      </w:tcPr>
    </w:tblStylePr>
  </w:style>
  <w:style w:type="table" w:customStyle="1" w:styleId="LightList-Accent31">
    <w:name w:val="Light List - Accent 31"/>
    <w:basedOn w:val="TableNormal"/>
    <w:next w:val="LightList-Accent3"/>
    <w:uiPriority w:val="61"/>
    <w:rsid w:val="00797049"/>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TableGrid1">
    <w:name w:val="Table Grid1"/>
    <w:basedOn w:val="TableNormal"/>
    <w:next w:val="TableGrid"/>
    <w:uiPriority w:val="59"/>
    <w:rsid w:val="00797049"/>
    <w:pPr>
      <w:spacing w:after="0" w:line="240" w:lineRule="auto"/>
    </w:pPr>
    <w:rPr>
      <w:rFonts w:ascii="Constantia" w:eastAsia="Constantia" w:hAnsi="Constantia" w:cs="Times New Roman"/>
      <w:lang w:val="sr-Cyrl-C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ghtList-Accent51">
    <w:name w:val="Light List - Accent 51"/>
    <w:basedOn w:val="TableNormal"/>
    <w:next w:val="LightList-Accent5"/>
    <w:uiPriority w:val="61"/>
    <w:rsid w:val="00797049"/>
    <w:pPr>
      <w:spacing w:after="0" w:line="240" w:lineRule="auto"/>
    </w:pPr>
    <w:rPr>
      <w:rFonts w:ascii="Times New Roman" w:eastAsia="Constantia" w:hAnsi="Times New Roman" w:cs="Times New Roman"/>
      <w:lang w:val="sr-Cyrl-CS"/>
    </w:rPr>
    <w:tblPr>
      <w:tblStyleRowBandSize w:val="1"/>
      <w:tblStyleColBandSize w:val="1"/>
      <w:tblBorders>
        <w:top w:val="single" w:sz="8" w:space="0" w:color="8FB08C"/>
        <w:left w:val="single" w:sz="8" w:space="0" w:color="8FB08C"/>
        <w:bottom w:val="single" w:sz="8" w:space="0" w:color="8FB08C"/>
        <w:right w:val="single" w:sz="8" w:space="0" w:color="8FB08C"/>
      </w:tblBorders>
    </w:tblPr>
    <w:tblStylePr w:type="firstRow">
      <w:pPr>
        <w:spacing w:before="0" w:after="0" w:line="240" w:lineRule="auto"/>
      </w:pPr>
      <w:rPr>
        <w:b/>
        <w:bCs/>
        <w:color w:val="FFFFFF"/>
      </w:rPr>
      <w:tblPr/>
      <w:tcPr>
        <w:shd w:val="clear" w:color="auto" w:fill="8FB08C"/>
      </w:tcPr>
    </w:tblStylePr>
    <w:tblStylePr w:type="lastRow">
      <w:pPr>
        <w:spacing w:before="0" w:after="0" w:line="240" w:lineRule="auto"/>
      </w:pPr>
      <w:rPr>
        <w:b/>
        <w:bCs/>
      </w:rPr>
      <w:tblPr/>
      <w:tcPr>
        <w:tcBorders>
          <w:top w:val="double" w:sz="6" w:space="0" w:color="8FB08C"/>
          <w:left w:val="single" w:sz="8" w:space="0" w:color="8FB08C"/>
          <w:bottom w:val="single" w:sz="8" w:space="0" w:color="8FB08C"/>
          <w:right w:val="single" w:sz="8" w:space="0" w:color="8FB08C"/>
        </w:tcBorders>
      </w:tcPr>
    </w:tblStylePr>
    <w:tblStylePr w:type="firstCol">
      <w:rPr>
        <w:b/>
        <w:bCs/>
      </w:rPr>
    </w:tblStylePr>
    <w:tblStylePr w:type="lastCol">
      <w:rPr>
        <w:b/>
        <w:bCs/>
      </w:rPr>
    </w:tblStylePr>
    <w:tblStylePr w:type="band1Vert">
      <w:tblPr/>
      <w:tcPr>
        <w:tcBorders>
          <w:top w:val="single" w:sz="8" w:space="0" w:color="8FB08C"/>
          <w:left w:val="single" w:sz="8" w:space="0" w:color="8FB08C"/>
          <w:bottom w:val="single" w:sz="8" w:space="0" w:color="8FB08C"/>
          <w:right w:val="single" w:sz="8" w:space="0" w:color="8FB08C"/>
        </w:tcBorders>
      </w:tcPr>
    </w:tblStylePr>
    <w:tblStylePr w:type="band1Horz">
      <w:tblPr/>
      <w:tcPr>
        <w:tcBorders>
          <w:top w:val="single" w:sz="8" w:space="0" w:color="8FB08C"/>
          <w:left w:val="single" w:sz="8" w:space="0" w:color="8FB08C"/>
          <w:bottom w:val="single" w:sz="8" w:space="0" w:color="8FB08C"/>
          <w:right w:val="single" w:sz="8" w:space="0" w:color="8FB08C"/>
        </w:tcBorders>
      </w:tcPr>
    </w:tblStylePr>
  </w:style>
  <w:style w:type="table" w:customStyle="1" w:styleId="MediumList1-Accent51">
    <w:name w:val="Medium List 1 - Accent 51"/>
    <w:basedOn w:val="TableNormal"/>
    <w:next w:val="MediumList1-Accent5"/>
    <w:uiPriority w:val="65"/>
    <w:rsid w:val="00797049"/>
    <w:pPr>
      <w:spacing w:after="0" w:line="240" w:lineRule="auto"/>
    </w:pPr>
    <w:rPr>
      <w:rFonts w:ascii="Constantia" w:eastAsia="Constantia" w:hAnsi="Constantia" w:cs="Times New Roman"/>
      <w:color w:val="000000"/>
      <w:lang w:val="sr-Cyrl-CS"/>
    </w:rPr>
    <w:tblPr>
      <w:tblStyleRowBandSize w:val="1"/>
      <w:tblStyleColBandSize w:val="1"/>
      <w:tblBorders>
        <w:top w:val="single" w:sz="8" w:space="0" w:color="8FB08C"/>
        <w:bottom w:val="single" w:sz="8" w:space="0" w:color="8FB08C"/>
      </w:tblBorders>
    </w:tblPr>
    <w:tblStylePr w:type="firstRow">
      <w:rPr>
        <w:rFonts w:ascii="Verdana" w:eastAsia="Times New Roman" w:hAnsi="Verdana" w:cs="Times New Roman"/>
      </w:rPr>
      <w:tblPr/>
      <w:tcPr>
        <w:tcBorders>
          <w:top w:val="nil"/>
          <w:bottom w:val="single" w:sz="8" w:space="0" w:color="8FB08C"/>
        </w:tcBorders>
      </w:tcPr>
    </w:tblStylePr>
    <w:tblStylePr w:type="lastRow">
      <w:rPr>
        <w:b/>
        <w:bCs/>
        <w:color w:val="646B86"/>
      </w:rPr>
      <w:tblPr/>
      <w:tcPr>
        <w:tcBorders>
          <w:top w:val="single" w:sz="8" w:space="0" w:color="8FB08C"/>
          <w:bottom w:val="single" w:sz="8" w:space="0" w:color="8FB08C"/>
        </w:tcBorders>
      </w:tcPr>
    </w:tblStylePr>
    <w:tblStylePr w:type="firstCol">
      <w:rPr>
        <w:b/>
        <w:bCs/>
      </w:rPr>
    </w:tblStylePr>
    <w:tblStylePr w:type="lastCol">
      <w:rPr>
        <w:b/>
        <w:bCs/>
      </w:rPr>
      <w:tblPr/>
      <w:tcPr>
        <w:tcBorders>
          <w:top w:val="single" w:sz="8" w:space="0" w:color="8FB08C"/>
          <w:bottom w:val="single" w:sz="8" w:space="0" w:color="8FB08C"/>
        </w:tcBorders>
      </w:tcPr>
    </w:tblStylePr>
    <w:tblStylePr w:type="band1Vert">
      <w:tblPr/>
      <w:tcPr>
        <w:shd w:val="clear" w:color="auto" w:fill="E3EBE2"/>
      </w:tcPr>
    </w:tblStylePr>
    <w:tblStylePr w:type="band1Horz">
      <w:tblPr/>
      <w:tcPr>
        <w:shd w:val="clear" w:color="auto" w:fill="E3EBE2"/>
      </w:tcPr>
    </w:tblStylePr>
  </w:style>
  <w:style w:type="paragraph" w:styleId="FootnoteText">
    <w:name w:val="footnote text"/>
    <w:aliases w:val="Footnote Text Char Char Char,Footnote Text Char Char,Char Char Char,single space,ft,ft Char Char Char,ft Char Char,Fußnote, Char Char Char,footnote text,fn,FOOTNOTES,ADB,Footnote Text Char Char Char Char Char,Footnote Text Char Char1"/>
    <w:basedOn w:val="Normal"/>
    <w:link w:val="FootnoteTextChar"/>
    <w:uiPriority w:val="99"/>
    <w:unhideWhenUsed/>
    <w:qFormat/>
    <w:rsid w:val="00797049"/>
    <w:pPr>
      <w:ind w:firstLine="709"/>
    </w:pPr>
    <w:rPr>
      <w:rFonts w:ascii="Cambria" w:eastAsia="Times New Roman" w:hAnsi="Cambria" w:cs="Tahoma"/>
      <w:bCs/>
      <w:color w:val="404040"/>
      <w:sz w:val="20"/>
      <w:szCs w:val="20"/>
      <w:lang w:val="sr-Cyrl-CS"/>
    </w:rPr>
  </w:style>
  <w:style w:type="character" w:customStyle="1" w:styleId="FootnoteTextChar">
    <w:name w:val="Footnote Text Char"/>
    <w:aliases w:val="Footnote Text Char Char Char Char,Footnote Text Char Char Char1,Char Char Char Char,single space Char,ft Char,ft Char Char Char Char,ft Char Char Char1,Fußnote Char, Char Char Char Char,footnote text Char,fn Char,FOOTNOTES Char"/>
    <w:basedOn w:val="DefaultParagraphFont"/>
    <w:link w:val="FootnoteText"/>
    <w:uiPriority w:val="99"/>
    <w:qFormat/>
    <w:rsid w:val="00797049"/>
    <w:rPr>
      <w:rFonts w:ascii="Cambria" w:eastAsia="Times New Roman" w:hAnsi="Cambria" w:cs="Tahoma"/>
      <w:bCs/>
      <w:color w:val="404040"/>
      <w:sz w:val="20"/>
      <w:szCs w:val="20"/>
      <w:lang w:val="sr-Cyrl-CS"/>
    </w:rPr>
  </w:style>
  <w:style w:type="character" w:styleId="FootnoteReference">
    <w:name w:val="footnote reference"/>
    <w:aliases w:val="ftref,BVI fnr,Footnote za GI,Normal + Font:9 Point,Superscript 3 Point Times,SUPERS,EN Footnote Reference,number,Char Char,Footnote symbol,Footnote reference number,note TESI,ftref Char,BVI fnr Char,BVI fnr Car Char,Char Char Car Char"/>
    <w:link w:val="NumPar1"/>
    <w:uiPriority w:val="99"/>
    <w:unhideWhenUsed/>
    <w:qFormat/>
    <w:rsid w:val="00797049"/>
    <w:rPr>
      <w:vertAlign w:val="superscript"/>
    </w:rPr>
  </w:style>
  <w:style w:type="table" w:styleId="MediumList1-Accent5">
    <w:name w:val="Medium List 1 Accent 5"/>
    <w:basedOn w:val="TableNormal"/>
    <w:uiPriority w:val="65"/>
    <w:rsid w:val="00797049"/>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4BACC6"/>
        <w:bottom w:val="single" w:sz="8" w:space="0" w:color="4BACC6"/>
      </w:tblBorders>
    </w:tblPr>
    <w:tblStylePr w:type="firstRow">
      <w:rPr>
        <w:rFonts w:ascii="Times New Roman" w:eastAsia="Times New Roman" w:hAnsi="Times New Roman" w:cs="Times New Roman"/>
      </w:rPr>
      <w:tblPr/>
      <w:tcPr>
        <w:tcBorders>
          <w:top w:val="nil"/>
          <w:bottom w:val="single" w:sz="8" w:space="0" w:color="4BACC6"/>
        </w:tcBorders>
      </w:tcPr>
    </w:tblStylePr>
    <w:tblStylePr w:type="lastRow">
      <w:rPr>
        <w:b/>
        <w:bCs/>
        <w:color w:val="1F497D"/>
      </w:rPr>
      <w:tblPr/>
      <w:tcPr>
        <w:tcBorders>
          <w:top w:val="single" w:sz="8" w:space="0" w:color="4BACC6"/>
          <w:bottom w:val="single" w:sz="8" w:space="0" w:color="4BACC6"/>
        </w:tcBorders>
      </w:tcPr>
    </w:tblStylePr>
    <w:tblStylePr w:type="firstCol">
      <w:rPr>
        <w:b/>
        <w:bCs/>
      </w:rPr>
    </w:tblStylePr>
    <w:tblStylePr w:type="lastCol">
      <w:rPr>
        <w:b/>
        <w:bCs/>
      </w:rPr>
      <w:tblPr/>
      <w:tcPr>
        <w:tcBorders>
          <w:top w:val="single" w:sz="8" w:space="0" w:color="4BACC6"/>
          <w:bottom w:val="single" w:sz="8" w:space="0" w:color="4BACC6"/>
        </w:tcBorders>
      </w:tcPr>
    </w:tblStylePr>
    <w:tblStylePr w:type="band1Vert">
      <w:tblPr/>
      <w:tcPr>
        <w:shd w:val="clear" w:color="auto" w:fill="D2EAF1"/>
      </w:tcPr>
    </w:tblStylePr>
    <w:tblStylePr w:type="band1Horz">
      <w:tblPr/>
      <w:tcPr>
        <w:shd w:val="clear" w:color="auto" w:fill="D2EAF1"/>
      </w:tcPr>
    </w:tblStylePr>
  </w:style>
  <w:style w:type="numbering" w:customStyle="1" w:styleId="NoList11">
    <w:name w:val="No List11"/>
    <w:next w:val="NoList"/>
    <w:uiPriority w:val="99"/>
    <w:semiHidden/>
    <w:unhideWhenUsed/>
    <w:rsid w:val="00797049"/>
  </w:style>
  <w:style w:type="character" w:customStyle="1" w:styleId="BookTitle1">
    <w:name w:val="Book Title1"/>
    <w:uiPriority w:val="33"/>
    <w:qFormat/>
    <w:rsid w:val="00797049"/>
    <w:rPr>
      <w:rFonts w:ascii="Calibri" w:hAnsi="Calibri"/>
      <w:b/>
      <w:bCs/>
      <w:smallCaps/>
      <w:color w:val="17365D"/>
      <w:spacing w:val="5"/>
      <w:sz w:val="36"/>
    </w:rPr>
  </w:style>
  <w:style w:type="paragraph" w:customStyle="1" w:styleId="TOC21">
    <w:name w:val="TOC 21"/>
    <w:basedOn w:val="Normal"/>
    <w:next w:val="Normal"/>
    <w:autoRedefine/>
    <w:uiPriority w:val="39"/>
    <w:unhideWhenUsed/>
    <w:qFormat/>
    <w:rsid w:val="00797049"/>
    <w:pPr>
      <w:tabs>
        <w:tab w:val="left" w:pos="660"/>
        <w:tab w:val="right" w:leader="dot" w:pos="8755"/>
      </w:tabs>
      <w:ind w:left="440" w:firstLine="709"/>
    </w:pPr>
    <w:rPr>
      <w:rFonts w:ascii="Calibri" w:eastAsia="Times New Roman" w:hAnsi="Calibri" w:cs="Times New Roman"/>
      <w:b/>
      <w:i/>
      <w:noProof/>
      <w:color w:val="404040"/>
      <w:szCs w:val="24"/>
      <w:lang w:val="sr-Cyrl-CS"/>
    </w:rPr>
  </w:style>
  <w:style w:type="paragraph" w:customStyle="1" w:styleId="TOC31">
    <w:name w:val="TOC 31"/>
    <w:basedOn w:val="Normal"/>
    <w:next w:val="Normal"/>
    <w:autoRedefine/>
    <w:uiPriority w:val="39"/>
    <w:unhideWhenUsed/>
    <w:qFormat/>
    <w:rsid w:val="00797049"/>
    <w:pPr>
      <w:tabs>
        <w:tab w:val="right" w:leader="dot" w:pos="8755"/>
      </w:tabs>
      <w:spacing w:after="240" w:line="276" w:lineRule="auto"/>
      <w:ind w:left="708" w:firstLine="709"/>
      <w:jc w:val="center"/>
    </w:pPr>
    <w:rPr>
      <w:rFonts w:ascii="Calibri" w:eastAsia="Times New Roman" w:hAnsi="Calibri" w:cs="Times New Roman"/>
      <w:smallCaps/>
      <w:noProof/>
      <w:color w:val="404040"/>
      <w:spacing w:val="5"/>
      <w:szCs w:val="24"/>
      <w:lang w:val="sr-Cyrl-CS" w:bidi="en-US"/>
    </w:rPr>
  </w:style>
  <w:style w:type="table" w:customStyle="1" w:styleId="LightGrid-Accent51">
    <w:name w:val="Light Grid - Accent 51"/>
    <w:basedOn w:val="TableNormal"/>
    <w:next w:val="LightGrid-Accent5"/>
    <w:uiPriority w:val="62"/>
    <w:rsid w:val="00797049"/>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omic Sans MS" w:eastAsia="Times New Roman" w:hAnsi="Comic Sans MS"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omic Sans MS" w:eastAsia="Times New Roman" w:hAnsi="Comic Sans MS"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omic Sans MS" w:eastAsia="Times New Roman" w:hAnsi="Comic Sans MS" w:cs="Times New Roman"/>
        <w:b/>
        <w:bCs/>
      </w:rPr>
    </w:tblStylePr>
    <w:tblStylePr w:type="lastCol">
      <w:rPr>
        <w:rFonts w:ascii="Comic Sans MS" w:eastAsia="Times New Roman" w:hAnsi="Comic Sans MS"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11">
    <w:name w:val="Светло сенчење – наглашавање 11"/>
    <w:basedOn w:val="TableNormal"/>
    <w:uiPriority w:val="60"/>
    <w:rsid w:val="00797049"/>
    <w:pPr>
      <w:spacing w:after="0" w:line="240" w:lineRule="auto"/>
    </w:pPr>
    <w:rPr>
      <w:rFonts w:ascii="Calibri" w:eastAsia="Calibri" w:hAnsi="Calibri" w:cs="Times New Roman"/>
      <w:color w:val="365F91"/>
      <w:sz w:val="20"/>
      <w:szCs w:val="20"/>
      <w:lang w:val="sr-Latn-CS" w:eastAsia="en-GB"/>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character" w:customStyle="1" w:styleId="TitleChar1">
    <w:name w:val="Title Char1"/>
    <w:uiPriority w:val="10"/>
    <w:rsid w:val="00797049"/>
    <w:rPr>
      <w:rFonts w:ascii="Cambria" w:eastAsia="Times New Roman" w:hAnsi="Cambria" w:cs="Times New Roman"/>
      <w:color w:val="4A4F64"/>
      <w:spacing w:val="5"/>
      <w:kern w:val="28"/>
      <w:sz w:val="52"/>
      <w:szCs w:val="52"/>
    </w:rPr>
  </w:style>
  <w:style w:type="character" w:customStyle="1" w:styleId="Heading4Char1">
    <w:name w:val="Heading 4 Char1"/>
    <w:uiPriority w:val="9"/>
    <w:semiHidden/>
    <w:rsid w:val="00797049"/>
    <w:rPr>
      <w:rFonts w:ascii="Cambria" w:eastAsia="Times New Roman" w:hAnsi="Cambria" w:cs="Times New Roman"/>
      <w:b/>
      <w:bCs/>
      <w:i/>
      <w:iCs/>
      <w:color w:val="D16349"/>
    </w:rPr>
  </w:style>
  <w:style w:type="table" w:styleId="LightGrid-Accent5">
    <w:name w:val="Light Grid Accent 5"/>
    <w:basedOn w:val="TableNormal"/>
    <w:uiPriority w:val="62"/>
    <w:rsid w:val="00797049"/>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Comic Sans MS" w:eastAsia="Times New Roman" w:hAnsi="Comic Sans MS"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Comic Sans MS" w:eastAsia="Times New Roman" w:hAnsi="Comic Sans MS"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Comic Sans MS" w:eastAsia="Times New Roman" w:hAnsi="Comic Sans MS" w:cs="Times New Roman"/>
        <w:b/>
        <w:bCs/>
      </w:rPr>
    </w:tblStylePr>
    <w:tblStylePr w:type="lastCol">
      <w:rPr>
        <w:rFonts w:ascii="Comic Sans MS" w:eastAsia="Times New Roman" w:hAnsi="Comic Sans MS"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tabelezaifs">
    <w:name w:val="tabele za ifs"/>
    <w:basedOn w:val="TableNormal"/>
    <w:uiPriority w:val="99"/>
    <w:qFormat/>
    <w:rsid w:val="00797049"/>
    <w:pPr>
      <w:spacing w:after="0" w:line="240" w:lineRule="auto"/>
    </w:pPr>
    <w:rPr>
      <w:rFonts w:ascii="Cambria Math" w:eastAsia="Calibri" w:hAnsi="Cambria Math" w:cs="Times New Roman"/>
      <w:sz w:val="20"/>
      <w:szCs w:val="20"/>
      <w:lang w:val="en-GB" w:eastAsia="en-GB"/>
    </w:rPr>
    <w:tblPr/>
  </w:style>
  <w:style w:type="table" w:customStyle="1" w:styleId="MediumList2-Accent31">
    <w:name w:val="Medium List 2 - Accent 31"/>
    <w:aliases w:val="tabele za ifs 1"/>
    <w:basedOn w:val="TableNormal"/>
    <w:uiPriority w:val="66"/>
    <w:rsid w:val="00797049"/>
    <w:pPr>
      <w:spacing w:after="0" w:line="240" w:lineRule="auto"/>
    </w:pPr>
    <w:rPr>
      <w:rFonts w:ascii="Cambria Math" w:eastAsia="Times New Roman" w:hAnsi="Cambria Math" w:cs="Times New Roman"/>
      <w:color w:val="000000"/>
      <w:sz w:val="20"/>
      <w:szCs w:val="20"/>
      <w:lang w:val="en-GB" w:eastAsia="en-GB"/>
    </w:rPr>
    <w:tblPr>
      <w:tblStyleRowBandSize w:val="1"/>
      <w:tblStyleColBandSize w:val="1"/>
      <w:tblBorders>
        <w:top w:val="single" w:sz="8" w:space="0" w:color="8CADAE"/>
        <w:left w:val="single" w:sz="8" w:space="0" w:color="8CADAE"/>
        <w:bottom w:val="single" w:sz="8" w:space="0" w:color="8CADAE"/>
        <w:right w:val="single" w:sz="8" w:space="0" w:color="8CADAE"/>
      </w:tblBorders>
    </w:tblPr>
    <w:tcPr>
      <w:vAlign w:val="bottom"/>
    </w:tcPr>
    <w:tblStylePr w:type="firstRow">
      <w:rPr>
        <w:sz w:val="24"/>
        <w:szCs w:val="24"/>
      </w:rPr>
      <w:tblPr/>
      <w:tcPr>
        <w:tcBorders>
          <w:top w:val="nil"/>
          <w:left w:val="nil"/>
          <w:bottom w:val="single" w:sz="24" w:space="0" w:color="8CADAE"/>
          <w:right w:val="nil"/>
          <w:insideH w:val="nil"/>
          <w:insideV w:val="nil"/>
        </w:tcBorders>
        <w:shd w:val="clear" w:color="auto" w:fill="FFFFFF"/>
      </w:tcPr>
    </w:tblStylePr>
    <w:tblStylePr w:type="lastRow">
      <w:tblPr/>
      <w:tcPr>
        <w:tcBorders>
          <w:top w:val="single" w:sz="8" w:space="0" w:color="8CADAE"/>
          <w:left w:val="nil"/>
          <w:bottom w:val="nil"/>
          <w:right w:val="nil"/>
          <w:insideH w:val="nil"/>
          <w:insideV w:val="nil"/>
        </w:tcBorders>
        <w:shd w:val="clear" w:color="auto" w:fill="FFFFFF"/>
      </w:tcPr>
    </w:tblStylePr>
    <w:tblStylePr w:type="firstCol">
      <w:tblPr/>
      <w:tcPr>
        <w:tcBorders>
          <w:top w:val="nil"/>
          <w:left w:val="nil"/>
          <w:bottom w:val="nil"/>
          <w:right w:val="single" w:sz="8" w:space="0" w:color="8CADAE"/>
          <w:insideH w:val="nil"/>
          <w:insideV w:val="nil"/>
        </w:tcBorders>
        <w:shd w:val="clear" w:color="auto" w:fill="FFFFFF"/>
      </w:tcPr>
    </w:tblStylePr>
    <w:tblStylePr w:type="lastCol">
      <w:tblPr/>
      <w:tcPr>
        <w:tcBorders>
          <w:top w:val="nil"/>
          <w:left w:val="single" w:sz="8" w:space="0" w:color="8CADAE"/>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2EAEB"/>
      </w:tcPr>
    </w:tblStylePr>
    <w:tblStylePr w:type="band1Horz">
      <w:tblPr/>
      <w:tcPr>
        <w:tcBorders>
          <w:top w:val="nil"/>
          <w:bottom w:val="nil"/>
          <w:insideH w:val="nil"/>
          <w:insideV w:val="nil"/>
        </w:tcBorders>
        <w:shd w:val="clear" w:color="auto" w:fill="E2EAEB"/>
      </w:tcPr>
    </w:tblStylePr>
    <w:tblStylePr w:type="nwCell">
      <w:tblPr/>
      <w:tcPr>
        <w:shd w:val="clear" w:color="auto" w:fill="FFFFFF"/>
      </w:tcPr>
    </w:tblStylePr>
    <w:tblStylePr w:type="swCell">
      <w:tblPr/>
      <w:tcPr>
        <w:tcBorders>
          <w:top w:val="nil"/>
        </w:tcBorders>
      </w:tcPr>
    </w:tblStylePr>
  </w:style>
  <w:style w:type="paragraph" w:styleId="TOC4">
    <w:name w:val="toc 4"/>
    <w:basedOn w:val="Normal"/>
    <w:next w:val="Normal"/>
    <w:autoRedefine/>
    <w:uiPriority w:val="39"/>
    <w:unhideWhenUsed/>
    <w:rsid w:val="00797049"/>
    <w:pPr>
      <w:spacing w:after="100" w:line="276" w:lineRule="auto"/>
      <w:ind w:left="660" w:firstLine="709"/>
    </w:pPr>
    <w:rPr>
      <w:rFonts w:ascii="Cambria" w:eastAsia="Calibri" w:hAnsi="Cambria" w:cs="Times New Roman"/>
      <w:color w:val="404040"/>
      <w:sz w:val="21"/>
      <w:lang w:val="sr-Cyrl-CS"/>
    </w:rPr>
  </w:style>
  <w:style w:type="paragraph" w:styleId="TOC5">
    <w:name w:val="toc 5"/>
    <w:basedOn w:val="Normal"/>
    <w:next w:val="Normal"/>
    <w:autoRedefine/>
    <w:uiPriority w:val="39"/>
    <w:semiHidden/>
    <w:unhideWhenUsed/>
    <w:rsid w:val="00797049"/>
    <w:pPr>
      <w:spacing w:after="100" w:line="276" w:lineRule="auto"/>
      <w:ind w:left="880" w:firstLine="709"/>
    </w:pPr>
    <w:rPr>
      <w:rFonts w:ascii="Cambria" w:eastAsia="Calibri" w:hAnsi="Cambria" w:cs="Times New Roman"/>
      <w:color w:val="404040"/>
      <w:sz w:val="21"/>
      <w:lang w:val="sr-Cyrl-CS"/>
    </w:rPr>
  </w:style>
  <w:style w:type="paragraph" w:styleId="EndnoteText">
    <w:name w:val="endnote text"/>
    <w:basedOn w:val="Normal"/>
    <w:link w:val="EndnoteTextChar"/>
    <w:uiPriority w:val="99"/>
    <w:semiHidden/>
    <w:unhideWhenUsed/>
    <w:rsid w:val="00797049"/>
    <w:pPr>
      <w:ind w:firstLine="709"/>
    </w:pPr>
    <w:rPr>
      <w:rFonts w:ascii="Calibri" w:eastAsia="Calibri" w:hAnsi="Calibri" w:cs="Times New Roman"/>
      <w:color w:val="404040"/>
      <w:sz w:val="20"/>
      <w:szCs w:val="20"/>
      <w:lang w:val="sr-Cyrl-CS"/>
    </w:rPr>
  </w:style>
  <w:style w:type="character" w:customStyle="1" w:styleId="EndnoteTextChar">
    <w:name w:val="Endnote Text Char"/>
    <w:basedOn w:val="DefaultParagraphFont"/>
    <w:link w:val="EndnoteText"/>
    <w:uiPriority w:val="99"/>
    <w:semiHidden/>
    <w:rsid w:val="00797049"/>
    <w:rPr>
      <w:rFonts w:ascii="Calibri" w:eastAsia="Calibri" w:hAnsi="Calibri" w:cs="Times New Roman"/>
      <w:color w:val="404040"/>
      <w:sz w:val="20"/>
      <w:szCs w:val="20"/>
      <w:lang w:val="sr-Cyrl-CS"/>
    </w:rPr>
  </w:style>
  <w:style w:type="character" w:styleId="EndnoteReference">
    <w:name w:val="endnote reference"/>
    <w:uiPriority w:val="99"/>
    <w:semiHidden/>
    <w:unhideWhenUsed/>
    <w:rsid w:val="00797049"/>
    <w:rPr>
      <w:vertAlign w:val="superscript"/>
    </w:rPr>
  </w:style>
  <w:style w:type="character" w:customStyle="1" w:styleId="apple-style-span">
    <w:name w:val="apple-style-span"/>
    <w:basedOn w:val="DefaultParagraphFont"/>
    <w:rsid w:val="00797049"/>
  </w:style>
  <w:style w:type="paragraph" w:customStyle="1" w:styleId="Default">
    <w:name w:val="Default"/>
    <w:rsid w:val="00797049"/>
    <w:pPr>
      <w:autoSpaceDE w:val="0"/>
      <w:autoSpaceDN w:val="0"/>
      <w:adjustRightInd w:val="0"/>
      <w:spacing w:after="0" w:line="240" w:lineRule="auto"/>
      <w:jc w:val="both"/>
    </w:pPr>
    <w:rPr>
      <w:rFonts w:ascii="Arial" w:eastAsia="Times New Roman" w:hAnsi="Arial" w:cs="Arial"/>
      <w:color w:val="000000"/>
      <w:sz w:val="24"/>
      <w:szCs w:val="24"/>
    </w:rPr>
  </w:style>
  <w:style w:type="paragraph" w:customStyle="1" w:styleId="msolistparagraph0">
    <w:name w:val="msolistparagraph"/>
    <w:basedOn w:val="Normal"/>
    <w:uiPriority w:val="99"/>
    <w:rsid w:val="00797049"/>
    <w:pPr>
      <w:spacing w:after="200" w:line="276" w:lineRule="auto"/>
      <w:ind w:left="720" w:firstLine="709"/>
      <w:contextualSpacing/>
    </w:pPr>
    <w:rPr>
      <w:rFonts w:ascii="Calibri" w:eastAsia="Times New Roman" w:hAnsi="Calibri" w:cs="Times New Roman"/>
      <w:color w:val="404040"/>
    </w:rPr>
  </w:style>
  <w:style w:type="paragraph" w:styleId="Revision">
    <w:name w:val="Revision"/>
    <w:hidden/>
    <w:uiPriority w:val="99"/>
    <w:semiHidden/>
    <w:rsid w:val="00797049"/>
    <w:pPr>
      <w:spacing w:after="0" w:line="240" w:lineRule="auto"/>
      <w:jc w:val="both"/>
    </w:pPr>
    <w:rPr>
      <w:rFonts w:ascii="Calibri" w:eastAsia="Calibri" w:hAnsi="Calibri" w:cs="Times New Roman"/>
      <w:lang w:val="sr-Cyrl-CS"/>
    </w:rPr>
  </w:style>
  <w:style w:type="table" w:styleId="ColorfulList-Accent1">
    <w:name w:val="Colorful List Accent 1"/>
    <w:basedOn w:val="TableNormal"/>
    <w:uiPriority w:val="72"/>
    <w:rsid w:val="00797049"/>
    <w:pPr>
      <w:spacing w:after="0" w:line="240" w:lineRule="auto"/>
    </w:pPr>
    <w:rPr>
      <w:rFonts w:ascii="Calibri" w:eastAsia="Calibri" w:hAnsi="Calibri" w:cs="Times New Roman"/>
      <w:color w:val="000000"/>
      <w:sz w:val="20"/>
      <w:szCs w:val="20"/>
      <w:lang w:val="en-GB" w:eastAsia="en-GB"/>
    </w:rPr>
    <w:tblPr>
      <w:tblStyleRowBandSize w:val="1"/>
      <w:tblStyleColBandSize w:val="1"/>
    </w:tblPr>
    <w:tcPr>
      <w:shd w:val="clear" w:color="auto" w:fill="FAEFEC"/>
    </w:tcPr>
    <w:tblStylePr w:type="firstRow">
      <w:rPr>
        <w:b/>
        <w:bCs/>
        <w:color w:val="FFFFFF"/>
      </w:rPr>
      <w:tblPr/>
      <w:tcPr>
        <w:tcBorders>
          <w:bottom w:val="single" w:sz="12" w:space="0" w:color="FFFFFF"/>
        </w:tcBorders>
        <w:shd w:val="clear" w:color="auto" w:fill="A38F00"/>
      </w:tcPr>
    </w:tblStylePr>
    <w:tblStylePr w:type="lastRow">
      <w:rPr>
        <w:b/>
        <w:bCs/>
        <w:color w:val="A38F00"/>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3D8D2"/>
      </w:tcPr>
    </w:tblStylePr>
    <w:tblStylePr w:type="band1Horz">
      <w:tblPr/>
      <w:tcPr>
        <w:shd w:val="clear" w:color="auto" w:fill="F5DFDA"/>
      </w:tcPr>
    </w:tblStylePr>
  </w:style>
  <w:style w:type="character" w:customStyle="1" w:styleId="BodyChar">
    <w:name w:val="Body Char"/>
    <w:link w:val="Body"/>
    <w:rsid w:val="00797049"/>
    <w:rPr>
      <w:rFonts w:ascii="Arial" w:hAnsi="Arial" w:cs="Arial"/>
      <w:kern w:val="20"/>
      <w:sz w:val="24"/>
      <w:szCs w:val="24"/>
      <w:lang w:val="en-GB"/>
    </w:rPr>
  </w:style>
  <w:style w:type="paragraph" w:customStyle="1" w:styleId="Body">
    <w:name w:val="Body"/>
    <w:basedOn w:val="Normal"/>
    <w:link w:val="BodyChar"/>
    <w:rsid w:val="00797049"/>
    <w:pPr>
      <w:spacing w:after="140" w:line="288" w:lineRule="auto"/>
      <w:ind w:firstLine="709"/>
    </w:pPr>
    <w:rPr>
      <w:rFonts w:ascii="Arial" w:hAnsi="Arial" w:cs="Arial"/>
      <w:kern w:val="20"/>
      <w:szCs w:val="24"/>
      <w:lang w:val="en-GB"/>
    </w:rPr>
  </w:style>
  <w:style w:type="paragraph" w:customStyle="1" w:styleId="Body5">
    <w:name w:val="Body 5"/>
    <w:basedOn w:val="Normal"/>
    <w:uiPriority w:val="99"/>
    <w:rsid w:val="00797049"/>
    <w:pPr>
      <w:spacing w:after="140" w:line="290" w:lineRule="auto"/>
      <w:ind w:left="2608" w:firstLine="709"/>
    </w:pPr>
    <w:rPr>
      <w:rFonts w:ascii="Arial" w:eastAsia="Batang" w:hAnsi="Arial" w:cs="Times New Roman"/>
      <w:color w:val="404040"/>
      <w:kern w:val="20"/>
      <w:sz w:val="20"/>
      <w:szCs w:val="24"/>
      <w:lang w:val="en-GB"/>
    </w:rPr>
  </w:style>
  <w:style w:type="paragraph" w:customStyle="1" w:styleId="Body6">
    <w:name w:val="Body 6"/>
    <w:basedOn w:val="Normal"/>
    <w:uiPriority w:val="99"/>
    <w:rsid w:val="00797049"/>
    <w:pPr>
      <w:spacing w:after="140" w:line="290" w:lineRule="auto"/>
      <w:ind w:left="3288" w:firstLine="709"/>
    </w:pPr>
    <w:rPr>
      <w:rFonts w:ascii="Arial" w:eastAsia="Batang" w:hAnsi="Arial" w:cs="Times New Roman"/>
      <w:color w:val="404040"/>
      <w:kern w:val="20"/>
      <w:sz w:val="20"/>
      <w:szCs w:val="24"/>
      <w:lang w:val="en-GB"/>
    </w:rPr>
  </w:style>
  <w:style w:type="paragraph" w:customStyle="1" w:styleId="Level1">
    <w:name w:val="Level 1"/>
    <w:basedOn w:val="Normal"/>
    <w:next w:val="Normal"/>
    <w:uiPriority w:val="99"/>
    <w:rsid w:val="00797049"/>
    <w:pPr>
      <w:keepNext/>
      <w:tabs>
        <w:tab w:val="num" w:pos="680"/>
      </w:tabs>
      <w:spacing w:before="280" w:after="140" w:line="290" w:lineRule="auto"/>
      <w:ind w:left="680" w:hanging="680"/>
      <w:outlineLvl w:val="0"/>
    </w:pPr>
    <w:rPr>
      <w:rFonts w:ascii="Arial" w:eastAsia="Batang" w:hAnsi="Arial" w:cs="Times New Roman"/>
      <w:b/>
      <w:bCs/>
      <w:color w:val="404040"/>
      <w:kern w:val="20"/>
      <w:szCs w:val="32"/>
      <w:lang w:val="en-GB"/>
    </w:rPr>
  </w:style>
  <w:style w:type="paragraph" w:customStyle="1" w:styleId="Level2">
    <w:name w:val="Level 2"/>
    <w:basedOn w:val="Normal"/>
    <w:uiPriority w:val="99"/>
    <w:rsid w:val="00797049"/>
    <w:pPr>
      <w:tabs>
        <w:tab w:val="num" w:pos="680"/>
      </w:tabs>
      <w:spacing w:after="140" w:line="290" w:lineRule="auto"/>
      <w:ind w:left="680" w:hanging="360"/>
    </w:pPr>
    <w:rPr>
      <w:rFonts w:ascii="Arial" w:eastAsia="Batang" w:hAnsi="Arial" w:cs="Times New Roman"/>
      <w:color w:val="404040"/>
      <w:kern w:val="20"/>
      <w:sz w:val="20"/>
      <w:szCs w:val="28"/>
      <w:lang w:val="en-GB"/>
    </w:rPr>
  </w:style>
  <w:style w:type="paragraph" w:customStyle="1" w:styleId="Level3">
    <w:name w:val="Level 3"/>
    <w:basedOn w:val="Normal"/>
    <w:uiPriority w:val="99"/>
    <w:rsid w:val="00797049"/>
    <w:pPr>
      <w:tabs>
        <w:tab w:val="num" w:pos="1361"/>
      </w:tabs>
      <w:spacing w:after="140" w:line="290" w:lineRule="auto"/>
      <w:ind w:left="1361" w:hanging="681"/>
    </w:pPr>
    <w:rPr>
      <w:rFonts w:ascii="Arial" w:eastAsia="Batang" w:hAnsi="Arial" w:cs="Times New Roman"/>
      <w:color w:val="404040"/>
      <w:kern w:val="20"/>
      <w:sz w:val="20"/>
      <w:szCs w:val="28"/>
      <w:lang w:val="en-GB"/>
    </w:rPr>
  </w:style>
  <w:style w:type="paragraph" w:customStyle="1" w:styleId="Level4">
    <w:name w:val="Level 4"/>
    <w:basedOn w:val="Normal"/>
    <w:uiPriority w:val="99"/>
    <w:rsid w:val="00797049"/>
    <w:pPr>
      <w:tabs>
        <w:tab w:val="num" w:pos="2041"/>
      </w:tabs>
      <w:spacing w:after="140" w:line="290" w:lineRule="auto"/>
      <w:ind w:left="2041" w:hanging="360"/>
    </w:pPr>
    <w:rPr>
      <w:rFonts w:ascii="Arial" w:eastAsia="Batang" w:hAnsi="Arial" w:cs="Times New Roman"/>
      <w:color w:val="404040"/>
      <w:kern w:val="20"/>
      <w:sz w:val="20"/>
      <w:szCs w:val="24"/>
      <w:lang w:val="en-GB"/>
    </w:rPr>
  </w:style>
  <w:style w:type="character" w:customStyle="1" w:styleId="apple-converted-space">
    <w:name w:val="apple-converted-space"/>
    <w:basedOn w:val="DefaultParagraphFont"/>
    <w:rsid w:val="00797049"/>
  </w:style>
  <w:style w:type="numbering" w:customStyle="1" w:styleId="NoList2">
    <w:name w:val="No List2"/>
    <w:next w:val="NoList"/>
    <w:uiPriority w:val="99"/>
    <w:semiHidden/>
    <w:unhideWhenUsed/>
    <w:rsid w:val="00797049"/>
  </w:style>
  <w:style w:type="table" w:customStyle="1" w:styleId="LightList-Accent32">
    <w:name w:val="Light List - Accent 32"/>
    <w:basedOn w:val="TableNormal"/>
    <w:next w:val="LightList-Accent3"/>
    <w:uiPriority w:val="61"/>
    <w:rsid w:val="00797049"/>
    <w:pPr>
      <w:spacing w:after="0" w:line="240" w:lineRule="auto"/>
    </w:pPr>
    <w:rPr>
      <w:rFonts w:ascii="Calibri" w:eastAsia="Calibri" w:hAnsi="Calibri" w:cs="Times New Roman"/>
      <w:sz w:val="20"/>
      <w:szCs w:val="20"/>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311">
    <w:name w:val="Light List - Accent 311"/>
    <w:basedOn w:val="TableNormal"/>
    <w:next w:val="LightList-Accent3"/>
    <w:uiPriority w:val="61"/>
    <w:rsid w:val="00797049"/>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Shading-Accent13">
    <w:name w:val="Light Shading - Accent 13"/>
    <w:basedOn w:val="TableNormal"/>
    <w:uiPriority w:val="60"/>
    <w:rsid w:val="00797049"/>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paragraph" w:styleId="BodyTextIndent">
    <w:name w:val="Body Text Indent"/>
    <w:basedOn w:val="Normal"/>
    <w:link w:val="BodyTextIndentChar"/>
    <w:uiPriority w:val="99"/>
    <w:unhideWhenUsed/>
    <w:rsid w:val="00797049"/>
    <w:pPr>
      <w:ind w:firstLine="709"/>
      <w:jc w:val="center"/>
    </w:pPr>
    <w:rPr>
      <w:rFonts w:ascii="Cambria" w:eastAsia="Calibri" w:hAnsi="Cambria" w:cs="Times New Roman"/>
      <w:bCs/>
      <w:color w:val="404040"/>
      <w:sz w:val="21"/>
      <w:szCs w:val="21"/>
      <w:lang w:val="sr-Cyrl-CS"/>
    </w:rPr>
  </w:style>
  <w:style w:type="character" w:customStyle="1" w:styleId="BodyTextIndentChar">
    <w:name w:val="Body Text Indent Char"/>
    <w:basedOn w:val="DefaultParagraphFont"/>
    <w:link w:val="BodyTextIndent"/>
    <w:uiPriority w:val="99"/>
    <w:rsid w:val="00797049"/>
    <w:rPr>
      <w:rFonts w:ascii="Cambria" w:eastAsia="Calibri" w:hAnsi="Cambria" w:cs="Times New Roman"/>
      <w:bCs/>
      <w:color w:val="404040"/>
      <w:sz w:val="21"/>
      <w:szCs w:val="21"/>
      <w:lang w:val="sr-Cyrl-CS"/>
    </w:rPr>
  </w:style>
  <w:style w:type="paragraph" w:styleId="BodyText2">
    <w:name w:val="Body Text 2"/>
    <w:basedOn w:val="Normal"/>
    <w:link w:val="BodyText2Char"/>
    <w:uiPriority w:val="99"/>
    <w:unhideWhenUsed/>
    <w:rsid w:val="00797049"/>
    <w:pPr>
      <w:spacing w:line="480" w:lineRule="auto"/>
      <w:ind w:firstLine="709"/>
    </w:pPr>
    <w:rPr>
      <w:rFonts w:ascii="Cambria" w:eastAsia="Times New Roman" w:hAnsi="Cambria" w:cs="Tahoma"/>
      <w:bCs/>
      <w:color w:val="404040"/>
      <w:szCs w:val="24"/>
      <w:lang w:val="sr-Cyrl-CS"/>
    </w:rPr>
  </w:style>
  <w:style w:type="character" w:customStyle="1" w:styleId="BodyText2Char">
    <w:name w:val="Body Text 2 Char"/>
    <w:basedOn w:val="DefaultParagraphFont"/>
    <w:link w:val="BodyText2"/>
    <w:uiPriority w:val="99"/>
    <w:rsid w:val="00797049"/>
    <w:rPr>
      <w:rFonts w:ascii="Cambria" w:eastAsia="Times New Roman" w:hAnsi="Cambria" w:cs="Tahoma"/>
      <w:bCs/>
      <w:color w:val="404040"/>
      <w:szCs w:val="24"/>
      <w:lang w:val="sr-Cyrl-CS"/>
    </w:rPr>
  </w:style>
  <w:style w:type="paragraph" w:styleId="BodyTextIndent2">
    <w:name w:val="Body Text Indent 2"/>
    <w:basedOn w:val="Normal"/>
    <w:link w:val="BodyTextIndent2Char"/>
    <w:uiPriority w:val="99"/>
    <w:unhideWhenUsed/>
    <w:rsid w:val="00797049"/>
    <w:pPr>
      <w:ind w:firstLine="708"/>
    </w:pPr>
    <w:rPr>
      <w:rFonts w:ascii="Cambria" w:eastAsia="Times New Roman" w:hAnsi="Cambria" w:cs="Tahoma"/>
      <w:bCs/>
      <w:color w:val="404040"/>
      <w:sz w:val="21"/>
      <w:szCs w:val="21"/>
      <w:lang w:val="sr-Cyrl-CS"/>
    </w:rPr>
  </w:style>
  <w:style w:type="character" w:customStyle="1" w:styleId="BodyTextIndent2Char">
    <w:name w:val="Body Text Indent 2 Char"/>
    <w:basedOn w:val="DefaultParagraphFont"/>
    <w:link w:val="BodyTextIndent2"/>
    <w:uiPriority w:val="99"/>
    <w:rsid w:val="00797049"/>
    <w:rPr>
      <w:rFonts w:ascii="Cambria" w:eastAsia="Times New Roman" w:hAnsi="Cambria" w:cs="Tahoma"/>
      <w:bCs/>
      <w:color w:val="404040"/>
      <w:sz w:val="21"/>
      <w:szCs w:val="21"/>
      <w:lang w:val="sr-Cyrl-CS"/>
    </w:rPr>
  </w:style>
  <w:style w:type="paragraph" w:styleId="BodyText3">
    <w:name w:val="Body Text 3"/>
    <w:basedOn w:val="Normal"/>
    <w:link w:val="BodyText3Char"/>
    <w:uiPriority w:val="99"/>
    <w:unhideWhenUsed/>
    <w:rsid w:val="00797049"/>
    <w:rPr>
      <w:rFonts w:ascii="Cambria" w:eastAsia="Times New Roman" w:hAnsi="Cambria" w:cs="Tahoma"/>
      <w:color w:val="404040"/>
      <w:kern w:val="20"/>
      <w:sz w:val="21"/>
      <w:szCs w:val="21"/>
      <w:lang w:val="sr-Cyrl-CS" w:eastAsia="ko-KR"/>
    </w:rPr>
  </w:style>
  <w:style w:type="character" w:customStyle="1" w:styleId="BodyText3Char">
    <w:name w:val="Body Text 3 Char"/>
    <w:basedOn w:val="DefaultParagraphFont"/>
    <w:link w:val="BodyText3"/>
    <w:uiPriority w:val="99"/>
    <w:rsid w:val="00797049"/>
    <w:rPr>
      <w:rFonts w:ascii="Cambria" w:eastAsia="Times New Roman" w:hAnsi="Cambria" w:cs="Tahoma"/>
      <w:color w:val="404040"/>
      <w:kern w:val="20"/>
      <w:sz w:val="21"/>
      <w:szCs w:val="21"/>
      <w:lang w:val="sr-Cyrl-CS" w:eastAsia="ko-KR"/>
    </w:rPr>
  </w:style>
  <w:style w:type="paragraph" w:styleId="BodyTextIndent3">
    <w:name w:val="Body Text Indent 3"/>
    <w:basedOn w:val="Normal"/>
    <w:link w:val="BodyTextIndent3Char"/>
    <w:uiPriority w:val="99"/>
    <w:unhideWhenUsed/>
    <w:rsid w:val="00797049"/>
    <w:pPr>
      <w:ind w:firstLine="709"/>
    </w:pPr>
    <w:rPr>
      <w:rFonts w:ascii="Cambria" w:eastAsia="Times New Roman" w:hAnsi="Cambria" w:cs="Tahoma"/>
      <w:color w:val="404040"/>
      <w:sz w:val="21"/>
      <w:szCs w:val="21"/>
      <w:lang w:val="sr-Cyrl-CS"/>
    </w:rPr>
  </w:style>
  <w:style w:type="character" w:customStyle="1" w:styleId="BodyTextIndent3Char">
    <w:name w:val="Body Text Indent 3 Char"/>
    <w:basedOn w:val="DefaultParagraphFont"/>
    <w:link w:val="BodyTextIndent3"/>
    <w:uiPriority w:val="99"/>
    <w:rsid w:val="00797049"/>
    <w:rPr>
      <w:rFonts w:ascii="Cambria" w:eastAsia="Times New Roman" w:hAnsi="Cambria" w:cs="Tahoma"/>
      <w:color w:val="404040"/>
      <w:sz w:val="21"/>
      <w:szCs w:val="21"/>
      <w:lang w:val="sr-Cyrl-CS"/>
    </w:rPr>
  </w:style>
  <w:style w:type="table" w:customStyle="1" w:styleId="LightShading-Accent131">
    <w:name w:val="Light Shading - Accent 131"/>
    <w:basedOn w:val="TableNormal"/>
    <w:uiPriority w:val="60"/>
    <w:rsid w:val="00797049"/>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2">
    <w:name w:val="Light Shading - Accent 132"/>
    <w:basedOn w:val="TableNormal"/>
    <w:uiPriority w:val="60"/>
    <w:rsid w:val="00797049"/>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tabele31">
    <w:name w:val="tabele 31"/>
    <w:basedOn w:val="TableNormal"/>
    <w:next w:val="LightList-Accent3"/>
    <w:uiPriority w:val="61"/>
    <w:rsid w:val="00797049"/>
    <w:pPr>
      <w:spacing w:after="0" w:line="240" w:lineRule="auto"/>
    </w:pPr>
    <w:rPr>
      <w:rFonts w:ascii="Cambria Math" w:eastAsia="Calibri" w:hAnsi="Cambria Math" w:cs="Times New Roman"/>
      <w:sz w:val="18"/>
      <w:lang w:val="sr-Cyrl-CS"/>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LightShading-Accent111">
    <w:name w:val="Light Shading - Accent 111"/>
    <w:basedOn w:val="TableNormal"/>
    <w:uiPriority w:val="60"/>
    <w:rsid w:val="00797049"/>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32">
    <w:name w:val="Light Shading - Accent 32"/>
    <w:basedOn w:val="TableNormal"/>
    <w:next w:val="LightShading-Accent3"/>
    <w:uiPriority w:val="60"/>
    <w:rsid w:val="00797049"/>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List-Accent52">
    <w:name w:val="Light List - Accent 52"/>
    <w:basedOn w:val="TableNormal"/>
    <w:next w:val="LightList-Accent5"/>
    <w:uiPriority w:val="61"/>
    <w:rsid w:val="00797049"/>
    <w:pPr>
      <w:spacing w:after="0" w:line="240" w:lineRule="auto"/>
    </w:pPr>
    <w:rPr>
      <w:rFonts w:ascii="Calibri" w:eastAsia="Calibri" w:hAnsi="Calibri" w:cs="Times New Roman"/>
      <w:sz w:val="20"/>
      <w:szCs w:val="20"/>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Shading-Accent311">
    <w:name w:val="Light Shading - Accent 311"/>
    <w:basedOn w:val="TableNormal"/>
    <w:next w:val="LightShading-Accent3"/>
    <w:uiPriority w:val="60"/>
    <w:rsid w:val="00797049"/>
    <w:pPr>
      <w:spacing w:after="0" w:line="240" w:lineRule="auto"/>
    </w:pPr>
    <w:rPr>
      <w:rFonts w:ascii="Constantia" w:eastAsia="Constantia" w:hAnsi="Constantia" w:cs="Times New Roman"/>
      <w:color w:val="8CADAE"/>
      <w:lang w:val="sr-Cyrl-CS"/>
    </w:rPr>
    <w:tblPr>
      <w:tblStyleRowBandSize w:val="1"/>
      <w:tblStyleColBandSize w:val="1"/>
      <w:tblBorders>
        <w:top w:val="single" w:sz="8" w:space="0" w:color="8CADAE"/>
        <w:bottom w:val="single" w:sz="8" w:space="0" w:color="8CADAE"/>
      </w:tblBorders>
    </w:tblPr>
    <w:tblStylePr w:type="fir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la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2EAEB"/>
      </w:tcPr>
    </w:tblStylePr>
    <w:tblStylePr w:type="band1Horz">
      <w:tblPr/>
      <w:tcPr>
        <w:tcBorders>
          <w:left w:val="nil"/>
          <w:right w:val="nil"/>
          <w:insideH w:val="nil"/>
          <w:insideV w:val="nil"/>
        </w:tcBorders>
        <w:shd w:val="clear" w:color="auto" w:fill="E2EAEB"/>
      </w:tcPr>
    </w:tblStylePr>
  </w:style>
  <w:style w:type="table" w:customStyle="1" w:styleId="LightList-Accent312">
    <w:name w:val="Light List - Accent 312"/>
    <w:basedOn w:val="TableNormal"/>
    <w:next w:val="LightList-Accent3"/>
    <w:uiPriority w:val="61"/>
    <w:rsid w:val="00797049"/>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511">
    <w:name w:val="Light List - Accent 511"/>
    <w:basedOn w:val="TableNormal"/>
    <w:next w:val="LightList-Accent5"/>
    <w:uiPriority w:val="61"/>
    <w:rsid w:val="00797049"/>
    <w:pPr>
      <w:spacing w:after="0" w:line="240" w:lineRule="auto"/>
    </w:pPr>
    <w:rPr>
      <w:rFonts w:ascii="Times New Roman" w:eastAsia="Constantia" w:hAnsi="Times New Roman" w:cs="Times New Roman"/>
      <w:lang w:val="sr-Cyrl-CS"/>
    </w:rPr>
    <w:tblPr>
      <w:tblStyleRowBandSize w:val="1"/>
      <w:tblStyleColBandSize w:val="1"/>
      <w:tblBorders>
        <w:top w:val="single" w:sz="8" w:space="0" w:color="8FB08C"/>
        <w:left w:val="single" w:sz="8" w:space="0" w:color="8FB08C"/>
        <w:bottom w:val="single" w:sz="8" w:space="0" w:color="8FB08C"/>
        <w:right w:val="single" w:sz="8" w:space="0" w:color="8FB08C"/>
      </w:tblBorders>
    </w:tblPr>
    <w:tblStylePr w:type="firstRow">
      <w:pPr>
        <w:spacing w:before="0" w:after="0" w:line="240" w:lineRule="auto"/>
      </w:pPr>
      <w:rPr>
        <w:b/>
        <w:bCs/>
        <w:color w:val="FFFFFF"/>
      </w:rPr>
      <w:tblPr/>
      <w:tcPr>
        <w:shd w:val="clear" w:color="auto" w:fill="8FB08C"/>
      </w:tcPr>
    </w:tblStylePr>
    <w:tblStylePr w:type="lastRow">
      <w:pPr>
        <w:spacing w:before="0" w:after="0" w:line="240" w:lineRule="auto"/>
      </w:pPr>
      <w:rPr>
        <w:b/>
        <w:bCs/>
      </w:rPr>
      <w:tblPr/>
      <w:tcPr>
        <w:tcBorders>
          <w:top w:val="double" w:sz="6" w:space="0" w:color="8FB08C"/>
          <w:left w:val="single" w:sz="8" w:space="0" w:color="8FB08C"/>
          <w:bottom w:val="single" w:sz="8" w:space="0" w:color="8FB08C"/>
          <w:right w:val="single" w:sz="8" w:space="0" w:color="8FB08C"/>
        </w:tcBorders>
      </w:tcPr>
    </w:tblStylePr>
    <w:tblStylePr w:type="firstCol">
      <w:rPr>
        <w:b/>
        <w:bCs/>
      </w:rPr>
    </w:tblStylePr>
    <w:tblStylePr w:type="lastCol">
      <w:rPr>
        <w:b/>
        <w:bCs/>
      </w:rPr>
    </w:tblStylePr>
    <w:tblStylePr w:type="band1Vert">
      <w:tblPr/>
      <w:tcPr>
        <w:tcBorders>
          <w:top w:val="single" w:sz="8" w:space="0" w:color="8FB08C"/>
          <w:left w:val="single" w:sz="8" w:space="0" w:color="8FB08C"/>
          <w:bottom w:val="single" w:sz="8" w:space="0" w:color="8FB08C"/>
          <w:right w:val="single" w:sz="8" w:space="0" w:color="8FB08C"/>
        </w:tcBorders>
      </w:tcPr>
    </w:tblStylePr>
    <w:tblStylePr w:type="band1Horz">
      <w:tblPr/>
      <w:tcPr>
        <w:tcBorders>
          <w:top w:val="single" w:sz="8" w:space="0" w:color="8FB08C"/>
          <w:left w:val="single" w:sz="8" w:space="0" w:color="8FB08C"/>
          <w:bottom w:val="single" w:sz="8" w:space="0" w:color="8FB08C"/>
          <w:right w:val="single" w:sz="8" w:space="0" w:color="8FB08C"/>
        </w:tcBorders>
      </w:tcPr>
    </w:tblStylePr>
  </w:style>
  <w:style w:type="table" w:customStyle="1" w:styleId="LightGrid-Accent511">
    <w:name w:val="Light Grid - Accent 511"/>
    <w:basedOn w:val="TableNormal"/>
    <w:next w:val="LightGrid-Accent5"/>
    <w:uiPriority w:val="62"/>
    <w:rsid w:val="00797049"/>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omic Sans MS" w:eastAsia="Times New Roman" w:hAnsi="Comic Sans MS"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omic Sans MS" w:eastAsia="Times New Roman" w:hAnsi="Comic Sans MS"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omic Sans MS" w:eastAsia="Times New Roman" w:hAnsi="Comic Sans MS" w:cs="Times New Roman"/>
        <w:b/>
        <w:bCs/>
      </w:rPr>
    </w:tblStylePr>
    <w:tblStylePr w:type="lastCol">
      <w:rPr>
        <w:rFonts w:ascii="Comic Sans MS" w:eastAsia="Times New Roman" w:hAnsi="Comic Sans MS"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111">
    <w:name w:val="Светло сенчење – наглашавање 111"/>
    <w:basedOn w:val="TableNormal"/>
    <w:uiPriority w:val="60"/>
    <w:rsid w:val="00797049"/>
    <w:pPr>
      <w:spacing w:after="0" w:line="240" w:lineRule="auto"/>
    </w:pPr>
    <w:rPr>
      <w:rFonts w:ascii="Calibri" w:eastAsia="Calibri" w:hAnsi="Calibri" w:cs="Times New Roman"/>
      <w:color w:val="365F91"/>
      <w:sz w:val="20"/>
      <w:szCs w:val="20"/>
      <w:lang w:val="sr-Latn-CS" w:eastAsia="en-GB"/>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Grid-Accent52">
    <w:name w:val="Light Grid - Accent 52"/>
    <w:basedOn w:val="TableNormal"/>
    <w:next w:val="LightGrid-Accent5"/>
    <w:uiPriority w:val="62"/>
    <w:rsid w:val="00797049"/>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Comic Sans MS" w:eastAsia="Times New Roman" w:hAnsi="Comic Sans MS"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Comic Sans MS" w:eastAsia="Times New Roman" w:hAnsi="Comic Sans MS"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Comic Sans MS" w:eastAsia="Times New Roman" w:hAnsi="Comic Sans MS" w:cs="Times New Roman"/>
        <w:b/>
        <w:bCs/>
      </w:rPr>
    </w:tblStylePr>
    <w:tblStylePr w:type="lastCol">
      <w:rPr>
        <w:rFonts w:ascii="Comic Sans MS" w:eastAsia="Times New Roman" w:hAnsi="Comic Sans MS"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List-Accent321">
    <w:name w:val="Light List - Accent 321"/>
    <w:basedOn w:val="TableNormal"/>
    <w:next w:val="LightList-Accent3"/>
    <w:uiPriority w:val="61"/>
    <w:rsid w:val="00797049"/>
    <w:pPr>
      <w:spacing w:after="0" w:line="240" w:lineRule="auto"/>
    </w:pPr>
    <w:rPr>
      <w:rFonts w:ascii="Calibri" w:eastAsia="Calibri" w:hAnsi="Calibri" w:cs="Times New Roman"/>
      <w:sz w:val="20"/>
      <w:szCs w:val="20"/>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3111">
    <w:name w:val="Light List - Accent 3111"/>
    <w:basedOn w:val="TableNormal"/>
    <w:next w:val="LightList-Accent3"/>
    <w:uiPriority w:val="61"/>
    <w:rsid w:val="00797049"/>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Shading-Accent133">
    <w:name w:val="Light Shading - Accent 133"/>
    <w:basedOn w:val="TableNormal"/>
    <w:uiPriority w:val="60"/>
    <w:rsid w:val="00797049"/>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1">
    <w:name w:val="Light Shading - Accent 1311"/>
    <w:basedOn w:val="TableNormal"/>
    <w:uiPriority w:val="60"/>
    <w:rsid w:val="00797049"/>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21">
    <w:name w:val="Light Shading - Accent 1321"/>
    <w:basedOn w:val="TableNormal"/>
    <w:uiPriority w:val="60"/>
    <w:rsid w:val="00797049"/>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2">
    <w:name w:val="Light Shading - Accent 112"/>
    <w:basedOn w:val="TableNormal"/>
    <w:uiPriority w:val="60"/>
    <w:rsid w:val="00797049"/>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4">
    <w:name w:val="Light Shading - Accent 134"/>
    <w:basedOn w:val="TableNormal"/>
    <w:uiPriority w:val="60"/>
    <w:rsid w:val="00797049"/>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3">
    <w:name w:val="Light Shading - Accent 113"/>
    <w:basedOn w:val="TableNormal"/>
    <w:uiPriority w:val="60"/>
    <w:rsid w:val="00797049"/>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5">
    <w:name w:val="Light Shading - Accent 135"/>
    <w:basedOn w:val="TableNormal"/>
    <w:uiPriority w:val="60"/>
    <w:rsid w:val="00797049"/>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6">
    <w:name w:val="Light Shading - Accent 136"/>
    <w:basedOn w:val="TableNormal"/>
    <w:uiPriority w:val="60"/>
    <w:rsid w:val="00797049"/>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7">
    <w:name w:val="Light Shading - Accent 137"/>
    <w:basedOn w:val="TableNormal"/>
    <w:uiPriority w:val="60"/>
    <w:rsid w:val="00797049"/>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tabele32">
    <w:name w:val="tabele 32"/>
    <w:basedOn w:val="TableNormal"/>
    <w:next w:val="LightList-Accent3"/>
    <w:uiPriority w:val="61"/>
    <w:rsid w:val="00797049"/>
    <w:pPr>
      <w:spacing w:after="0" w:line="240" w:lineRule="auto"/>
    </w:pPr>
    <w:rPr>
      <w:rFonts w:ascii="Cambria Math" w:eastAsia="Calibri" w:hAnsi="Cambria Math" w:cs="Times New Roman"/>
      <w:sz w:val="18"/>
      <w:lang w:val="sr-Cyrl-CS"/>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LightShading-Accent114">
    <w:name w:val="Light Shading - Accent 114"/>
    <w:basedOn w:val="TableNormal"/>
    <w:uiPriority w:val="60"/>
    <w:rsid w:val="00797049"/>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33">
    <w:name w:val="Light Shading - Accent 33"/>
    <w:basedOn w:val="TableNormal"/>
    <w:next w:val="LightShading-Accent3"/>
    <w:uiPriority w:val="60"/>
    <w:rsid w:val="00797049"/>
    <w:pPr>
      <w:spacing w:after="0" w:line="240" w:lineRule="auto"/>
    </w:pPr>
    <w:rPr>
      <w:rFonts w:ascii="Arial" w:eastAsia="Calibri" w:hAnsi="Arial" w:cs="Times New Roman"/>
      <w:color w:val="474747"/>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List-Accent53">
    <w:name w:val="Light List - Accent 53"/>
    <w:basedOn w:val="TableNormal"/>
    <w:next w:val="LightList-Accent5"/>
    <w:uiPriority w:val="61"/>
    <w:rsid w:val="00797049"/>
    <w:pPr>
      <w:spacing w:after="0" w:line="240" w:lineRule="auto"/>
    </w:pPr>
    <w:rPr>
      <w:rFonts w:ascii="Calibri" w:eastAsia="Calibri" w:hAnsi="Calibri" w:cs="Times New Roman"/>
      <w:sz w:val="20"/>
      <w:szCs w:val="20"/>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Shading-Accent312">
    <w:name w:val="Light Shading - Accent 312"/>
    <w:basedOn w:val="TableNormal"/>
    <w:next w:val="LightShading-Accent3"/>
    <w:uiPriority w:val="60"/>
    <w:rsid w:val="00797049"/>
    <w:pPr>
      <w:spacing w:after="0" w:line="240" w:lineRule="auto"/>
    </w:pPr>
    <w:rPr>
      <w:rFonts w:ascii="Constantia" w:eastAsia="Constantia" w:hAnsi="Constantia" w:cs="Times New Roman"/>
      <w:color w:val="8CADAE"/>
      <w:lang w:val="sr-Cyrl-CS"/>
    </w:rPr>
    <w:tblPr>
      <w:tblStyleRowBandSize w:val="1"/>
      <w:tblStyleColBandSize w:val="1"/>
      <w:tblBorders>
        <w:top w:val="single" w:sz="8" w:space="0" w:color="8CADAE"/>
        <w:bottom w:val="single" w:sz="8" w:space="0" w:color="8CADAE"/>
      </w:tblBorders>
    </w:tblPr>
    <w:tblStylePr w:type="fir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la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2EAEB"/>
      </w:tcPr>
    </w:tblStylePr>
    <w:tblStylePr w:type="band1Horz">
      <w:tblPr/>
      <w:tcPr>
        <w:tcBorders>
          <w:left w:val="nil"/>
          <w:right w:val="nil"/>
          <w:insideH w:val="nil"/>
          <w:insideV w:val="nil"/>
        </w:tcBorders>
        <w:shd w:val="clear" w:color="auto" w:fill="E2EAEB"/>
      </w:tcPr>
    </w:tblStylePr>
  </w:style>
  <w:style w:type="table" w:customStyle="1" w:styleId="LightList-Accent313">
    <w:name w:val="Light List - Accent 313"/>
    <w:basedOn w:val="TableNormal"/>
    <w:next w:val="LightList-Accent3"/>
    <w:uiPriority w:val="61"/>
    <w:rsid w:val="00797049"/>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512">
    <w:name w:val="Light List - Accent 512"/>
    <w:basedOn w:val="TableNormal"/>
    <w:next w:val="LightList-Accent5"/>
    <w:uiPriority w:val="61"/>
    <w:rsid w:val="00797049"/>
    <w:pPr>
      <w:spacing w:after="0" w:line="240" w:lineRule="auto"/>
    </w:pPr>
    <w:rPr>
      <w:rFonts w:ascii="Times New Roman" w:eastAsia="Constantia" w:hAnsi="Times New Roman" w:cs="Times New Roman"/>
      <w:lang w:val="sr-Cyrl-CS"/>
    </w:rPr>
    <w:tblPr>
      <w:tblStyleRowBandSize w:val="1"/>
      <w:tblStyleColBandSize w:val="1"/>
      <w:tblBorders>
        <w:top w:val="single" w:sz="8" w:space="0" w:color="8FB08C"/>
        <w:left w:val="single" w:sz="8" w:space="0" w:color="8FB08C"/>
        <w:bottom w:val="single" w:sz="8" w:space="0" w:color="8FB08C"/>
        <w:right w:val="single" w:sz="8" w:space="0" w:color="8FB08C"/>
      </w:tblBorders>
    </w:tblPr>
    <w:tblStylePr w:type="firstRow">
      <w:pPr>
        <w:spacing w:before="0" w:after="0" w:line="240" w:lineRule="auto"/>
      </w:pPr>
      <w:rPr>
        <w:b/>
        <w:bCs/>
        <w:color w:val="FFFFFF"/>
      </w:rPr>
      <w:tblPr/>
      <w:tcPr>
        <w:shd w:val="clear" w:color="auto" w:fill="8FB08C"/>
      </w:tcPr>
    </w:tblStylePr>
    <w:tblStylePr w:type="lastRow">
      <w:pPr>
        <w:spacing w:before="0" w:after="0" w:line="240" w:lineRule="auto"/>
      </w:pPr>
      <w:rPr>
        <w:b/>
        <w:bCs/>
      </w:rPr>
      <w:tblPr/>
      <w:tcPr>
        <w:tcBorders>
          <w:top w:val="double" w:sz="6" w:space="0" w:color="8FB08C"/>
          <w:left w:val="single" w:sz="8" w:space="0" w:color="8FB08C"/>
          <w:bottom w:val="single" w:sz="8" w:space="0" w:color="8FB08C"/>
          <w:right w:val="single" w:sz="8" w:space="0" w:color="8FB08C"/>
        </w:tcBorders>
      </w:tcPr>
    </w:tblStylePr>
    <w:tblStylePr w:type="firstCol">
      <w:rPr>
        <w:b/>
        <w:bCs/>
      </w:rPr>
    </w:tblStylePr>
    <w:tblStylePr w:type="lastCol">
      <w:rPr>
        <w:b/>
        <w:bCs/>
      </w:rPr>
    </w:tblStylePr>
    <w:tblStylePr w:type="band1Vert">
      <w:tblPr/>
      <w:tcPr>
        <w:tcBorders>
          <w:top w:val="single" w:sz="8" w:space="0" w:color="8FB08C"/>
          <w:left w:val="single" w:sz="8" w:space="0" w:color="8FB08C"/>
          <w:bottom w:val="single" w:sz="8" w:space="0" w:color="8FB08C"/>
          <w:right w:val="single" w:sz="8" w:space="0" w:color="8FB08C"/>
        </w:tcBorders>
      </w:tcPr>
    </w:tblStylePr>
    <w:tblStylePr w:type="band1Horz">
      <w:tblPr/>
      <w:tcPr>
        <w:tcBorders>
          <w:top w:val="single" w:sz="8" w:space="0" w:color="8FB08C"/>
          <w:left w:val="single" w:sz="8" w:space="0" w:color="8FB08C"/>
          <w:bottom w:val="single" w:sz="8" w:space="0" w:color="8FB08C"/>
          <w:right w:val="single" w:sz="8" w:space="0" w:color="8FB08C"/>
        </w:tcBorders>
      </w:tcPr>
    </w:tblStylePr>
  </w:style>
  <w:style w:type="table" w:customStyle="1" w:styleId="LightGrid-Accent512">
    <w:name w:val="Light Grid - Accent 512"/>
    <w:basedOn w:val="TableNormal"/>
    <w:next w:val="LightGrid-Accent5"/>
    <w:uiPriority w:val="62"/>
    <w:rsid w:val="00797049"/>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omic Sans MS" w:eastAsia="Times New Roman" w:hAnsi="Comic Sans MS"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omic Sans MS" w:eastAsia="Times New Roman" w:hAnsi="Comic Sans MS"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omic Sans MS" w:eastAsia="Times New Roman" w:hAnsi="Comic Sans MS" w:cs="Times New Roman"/>
        <w:b/>
        <w:bCs/>
      </w:rPr>
    </w:tblStylePr>
    <w:tblStylePr w:type="lastCol">
      <w:rPr>
        <w:rFonts w:ascii="Comic Sans MS" w:eastAsia="Times New Roman" w:hAnsi="Comic Sans MS"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112">
    <w:name w:val="Светло сенчење – наглашавање 112"/>
    <w:basedOn w:val="TableNormal"/>
    <w:uiPriority w:val="60"/>
    <w:rsid w:val="00797049"/>
    <w:pPr>
      <w:spacing w:after="0" w:line="240" w:lineRule="auto"/>
    </w:pPr>
    <w:rPr>
      <w:rFonts w:ascii="Calibri" w:eastAsia="Calibri" w:hAnsi="Calibri" w:cs="Times New Roman"/>
      <w:color w:val="365F91"/>
      <w:sz w:val="20"/>
      <w:szCs w:val="20"/>
      <w:lang w:val="sr-Latn-CS" w:eastAsia="en-GB"/>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Grid-Accent53">
    <w:name w:val="Light Grid - Accent 53"/>
    <w:basedOn w:val="TableNormal"/>
    <w:next w:val="LightGrid-Accent5"/>
    <w:uiPriority w:val="62"/>
    <w:rsid w:val="00797049"/>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Comic Sans MS" w:eastAsia="Times New Roman" w:hAnsi="Comic Sans MS"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Comic Sans MS" w:eastAsia="Times New Roman" w:hAnsi="Comic Sans MS"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Comic Sans MS" w:eastAsia="Times New Roman" w:hAnsi="Comic Sans MS" w:cs="Times New Roman"/>
        <w:b/>
        <w:bCs/>
      </w:rPr>
    </w:tblStylePr>
    <w:tblStylePr w:type="lastCol">
      <w:rPr>
        <w:rFonts w:ascii="Comic Sans MS" w:eastAsia="Times New Roman" w:hAnsi="Comic Sans MS"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List-Accent322">
    <w:name w:val="Light List - Accent 322"/>
    <w:basedOn w:val="TableNormal"/>
    <w:next w:val="LightList-Accent3"/>
    <w:uiPriority w:val="61"/>
    <w:rsid w:val="00797049"/>
    <w:pPr>
      <w:spacing w:after="0" w:line="240" w:lineRule="auto"/>
    </w:pPr>
    <w:rPr>
      <w:rFonts w:ascii="Calibri" w:eastAsia="Calibri" w:hAnsi="Calibri" w:cs="Times New Roman"/>
      <w:sz w:val="20"/>
      <w:szCs w:val="20"/>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3112">
    <w:name w:val="Light List - Accent 3112"/>
    <w:basedOn w:val="TableNormal"/>
    <w:next w:val="LightList-Accent3"/>
    <w:uiPriority w:val="61"/>
    <w:rsid w:val="00797049"/>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Shading-Accent138">
    <w:name w:val="Light Shading - Accent 138"/>
    <w:basedOn w:val="TableNormal"/>
    <w:uiPriority w:val="60"/>
    <w:rsid w:val="00797049"/>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2">
    <w:name w:val="Light Shading - Accent 1312"/>
    <w:basedOn w:val="TableNormal"/>
    <w:uiPriority w:val="60"/>
    <w:rsid w:val="00797049"/>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22">
    <w:name w:val="Light Shading - Accent 1322"/>
    <w:basedOn w:val="TableNormal"/>
    <w:uiPriority w:val="60"/>
    <w:rsid w:val="00797049"/>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5">
    <w:name w:val="Light Shading - Accent 115"/>
    <w:basedOn w:val="TableNormal"/>
    <w:uiPriority w:val="60"/>
    <w:rsid w:val="00797049"/>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9">
    <w:name w:val="Light Shading - Accent 139"/>
    <w:basedOn w:val="TableNormal"/>
    <w:uiPriority w:val="60"/>
    <w:rsid w:val="00797049"/>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6">
    <w:name w:val="Light Shading - Accent 116"/>
    <w:basedOn w:val="TableNormal"/>
    <w:uiPriority w:val="60"/>
    <w:rsid w:val="00797049"/>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0">
    <w:name w:val="Light Shading - Accent 1310"/>
    <w:basedOn w:val="TableNormal"/>
    <w:uiPriority w:val="60"/>
    <w:rsid w:val="00797049"/>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3">
    <w:name w:val="Light Shading - Accent 1313"/>
    <w:basedOn w:val="TableNormal"/>
    <w:uiPriority w:val="60"/>
    <w:rsid w:val="00797049"/>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tabele33">
    <w:name w:val="tabele 33"/>
    <w:basedOn w:val="TableNormal"/>
    <w:next w:val="LightList-Accent3"/>
    <w:uiPriority w:val="61"/>
    <w:rsid w:val="00797049"/>
    <w:pPr>
      <w:spacing w:after="0" w:line="240" w:lineRule="auto"/>
    </w:pPr>
    <w:rPr>
      <w:rFonts w:ascii="Cambria Math" w:eastAsia="Calibri" w:hAnsi="Cambria Math" w:cs="Times New Roman"/>
      <w:sz w:val="18"/>
      <w:lang w:val="sr-Cyrl-CS"/>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LightShading-Accent117">
    <w:name w:val="Light Shading - Accent 117"/>
    <w:basedOn w:val="TableNormal"/>
    <w:uiPriority w:val="60"/>
    <w:rsid w:val="00797049"/>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34">
    <w:name w:val="Light Shading - Accent 34"/>
    <w:basedOn w:val="TableNormal"/>
    <w:next w:val="LightShading-Accent3"/>
    <w:uiPriority w:val="60"/>
    <w:rsid w:val="00797049"/>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List-Accent54">
    <w:name w:val="Light List - Accent 54"/>
    <w:basedOn w:val="TableNormal"/>
    <w:next w:val="LightList-Accent5"/>
    <w:uiPriority w:val="61"/>
    <w:rsid w:val="00797049"/>
    <w:pPr>
      <w:spacing w:after="0" w:line="240" w:lineRule="auto"/>
    </w:pPr>
    <w:rPr>
      <w:rFonts w:ascii="Calibri" w:eastAsia="Calibri" w:hAnsi="Calibri" w:cs="Times New Roman"/>
      <w:sz w:val="20"/>
      <w:szCs w:val="20"/>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Shading-Accent313">
    <w:name w:val="Light Shading - Accent 313"/>
    <w:basedOn w:val="TableNormal"/>
    <w:next w:val="LightShading-Accent3"/>
    <w:uiPriority w:val="60"/>
    <w:rsid w:val="00797049"/>
    <w:pPr>
      <w:spacing w:after="0" w:line="240" w:lineRule="auto"/>
    </w:pPr>
    <w:rPr>
      <w:rFonts w:ascii="Constantia" w:eastAsia="Constantia" w:hAnsi="Constantia" w:cs="Times New Roman"/>
      <w:color w:val="8CADAE"/>
      <w:lang w:val="sr-Cyrl-CS"/>
    </w:rPr>
    <w:tblPr>
      <w:tblStyleRowBandSize w:val="1"/>
      <w:tblStyleColBandSize w:val="1"/>
      <w:tblBorders>
        <w:top w:val="single" w:sz="8" w:space="0" w:color="8CADAE"/>
        <w:bottom w:val="single" w:sz="8" w:space="0" w:color="8CADAE"/>
      </w:tblBorders>
    </w:tblPr>
    <w:tblStylePr w:type="fir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la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2EAEB"/>
      </w:tcPr>
    </w:tblStylePr>
    <w:tblStylePr w:type="band1Horz">
      <w:tblPr/>
      <w:tcPr>
        <w:tcBorders>
          <w:left w:val="nil"/>
          <w:right w:val="nil"/>
          <w:insideH w:val="nil"/>
          <w:insideV w:val="nil"/>
        </w:tcBorders>
        <w:shd w:val="clear" w:color="auto" w:fill="E2EAEB"/>
      </w:tcPr>
    </w:tblStylePr>
  </w:style>
  <w:style w:type="table" w:customStyle="1" w:styleId="LightList-Accent314">
    <w:name w:val="Light List - Accent 314"/>
    <w:basedOn w:val="TableNormal"/>
    <w:next w:val="LightList-Accent3"/>
    <w:uiPriority w:val="61"/>
    <w:rsid w:val="00797049"/>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513">
    <w:name w:val="Light List - Accent 513"/>
    <w:basedOn w:val="TableNormal"/>
    <w:next w:val="LightList-Accent5"/>
    <w:uiPriority w:val="61"/>
    <w:rsid w:val="00797049"/>
    <w:pPr>
      <w:spacing w:after="0" w:line="240" w:lineRule="auto"/>
    </w:pPr>
    <w:rPr>
      <w:rFonts w:ascii="Times New Roman" w:eastAsia="Constantia" w:hAnsi="Times New Roman" w:cs="Times New Roman"/>
      <w:lang w:val="sr-Cyrl-CS"/>
    </w:rPr>
    <w:tblPr>
      <w:tblStyleRowBandSize w:val="1"/>
      <w:tblStyleColBandSize w:val="1"/>
      <w:tblBorders>
        <w:top w:val="single" w:sz="8" w:space="0" w:color="8FB08C"/>
        <w:left w:val="single" w:sz="8" w:space="0" w:color="8FB08C"/>
        <w:bottom w:val="single" w:sz="8" w:space="0" w:color="8FB08C"/>
        <w:right w:val="single" w:sz="8" w:space="0" w:color="8FB08C"/>
      </w:tblBorders>
    </w:tblPr>
    <w:tblStylePr w:type="firstRow">
      <w:pPr>
        <w:spacing w:before="0" w:after="0" w:line="240" w:lineRule="auto"/>
      </w:pPr>
      <w:rPr>
        <w:b/>
        <w:bCs/>
        <w:color w:val="FFFFFF"/>
      </w:rPr>
      <w:tblPr/>
      <w:tcPr>
        <w:shd w:val="clear" w:color="auto" w:fill="8FB08C"/>
      </w:tcPr>
    </w:tblStylePr>
    <w:tblStylePr w:type="lastRow">
      <w:pPr>
        <w:spacing w:before="0" w:after="0" w:line="240" w:lineRule="auto"/>
      </w:pPr>
      <w:rPr>
        <w:b/>
        <w:bCs/>
      </w:rPr>
      <w:tblPr/>
      <w:tcPr>
        <w:tcBorders>
          <w:top w:val="double" w:sz="6" w:space="0" w:color="8FB08C"/>
          <w:left w:val="single" w:sz="8" w:space="0" w:color="8FB08C"/>
          <w:bottom w:val="single" w:sz="8" w:space="0" w:color="8FB08C"/>
          <w:right w:val="single" w:sz="8" w:space="0" w:color="8FB08C"/>
        </w:tcBorders>
      </w:tcPr>
    </w:tblStylePr>
    <w:tblStylePr w:type="firstCol">
      <w:rPr>
        <w:b/>
        <w:bCs/>
      </w:rPr>
    </w:tblStylePr>
    <w:tblStylePr w:type="lastCol">
      <w:rPr>
        <w:b/>
        <w:bCs/>
      </w:rPr>
    </w:tblStylePr>
    <w:tblStylePr w:type="band1Vert">
      <w:tblPr/>
      <w:tcPr>
        <w:tcBorders>
          <w:top w:val="single" w:sz="8" w:space="0" w:color="8FB08C"/>
          <w:left w:val="single" w:sz="8" w:space="0" w:color="8FB08C"/>
          <w:bottom w:val="single" w:sz="8" w:space="0" w:color="8FB08C"/>
          <w:right w:val="single" w:sz="8" w:space="0" w:color="8FB08C"/>
        </w:tcBorders>
      </w:tcPr>
    </w:tblStylePr>
    <w:tblStylePr w:type="band1Horz">
      <w:tblPr/>
      <w:tcPr>
        <w:tcBorders>
          <w:top w:val="single" w:sz="8" w:space="0" w:color="8FB08C"/>
          <w:left w:val="single" w:sz="8" w:space="0" w:color="8FB08C"/>
          <w:bottom w:val="single" w:sz="8" w:space="0" w:color="8FB08C"/>
          <w:right w:val="single" w:sz="8" w:space="0" w:color="8FB08C"/>
        </w:tcBorders>
      </w:tcPr>
    </w:tblStylePr>
  </w:style>
  <w:style w:type="table" w:customStyle="1" w:styleId="LightGrid-Accent513">
    <w:name w:val="Light Grid - Accent 513"/>
    <w:basedOn w:val="TableNormal"/>
    <w:next w:val="LightGrid-Accent5"/>
    <w:uiPriority w:val="62"/>
    <w:rsid w:val="00797049"/>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omic Sans MS" w:eastAsia="Times New Roman" w:hAnsi="Comic Sans MS"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omic Sans MS" w:eastAsia="Times New Roman" w:hAnsi="Comic Sans MS"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omic Sans MS" w:eastAsia="Times New Roman" w:hAnsi="Comic Sans MS" w:cs="Times New Roman"/>
        <w:b/>
        <w:bCs/>
      </w:rPr>
    </w:tblStylePr>
    <w:tblStylePr w:type="lastCol">
      <w:rPr>
        <w:rFonts w:ascii="Comic Sans MS" w:eastAsia="Times New Roman" w:hAnsi="Comic Sans MS"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113">
    <w:name w:val="Светло сенчење – наглашавање 113"/>
    <w:basedOn w:val="TableNormal"/>
    <w:uiPriority w:val="60"/>
    <w:rsid w:val="00797049"/>
    <w:pPr>
      <w:spacing w:after="0" w:line="240" w:lineRule="auto"/>
    </w:pPr>
    <w:rPr>
      <w:rFonts w:ascii="Calibri" w:eastAsia="Calibri" w:hAnsi="Calibri" w:cs="Times New Roman"/>
      <w:color w:val="365F91"/>
      <w:sz w:val="20"/>
      <w:szCs w:val="20"/>
      <w:lang w:val="sr-Latn-CS" w:eastAsia="en-GB"/>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Grid-Accent54">
    <w:name w:val="Light Grid - Accent 54"/>
    <w:basedOn w:val="TableNormal"/>
    <w:next w:val="LightGrid-Accent5"/>
    <w:uiPriority w:val="62"/>
    <w:rsid w:val="00797049"/>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Comic Sans MS" w:eastAsia="Times New Roman" w:hAnsi="Comic Sans MS"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Comic Sans MS" w:eastAsia="Times New Roman" w:hAnsi="Comic Sans MS"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Comic Sans MS" w:eastAsia="Times New Roman" w:hAnsi="Comic Sans MS" w:cs="Times New Roman"/>
        <w:b/>
        <w:bCs/>
      </w:rPr>
    </w:tblStylePr>
    <w:tblStylePr w:type="lastCol">
      <w:rPr>
        <w:rFonts w:ascii="Comic Sans MS" w:eastAsia="Times New Roman" w:hAnsi="Comic Sans MS"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Shading-Accent123">
    <w:name w:val="Light Shading - Accent 123"/>
    <w:basedOn w:val="TableNormal"/>
    <w:uiPriority w:val="60"/>
    <w:rsid w:val="00797049"/>
    <w:pPr>
      <w:spacing w:after="0" w:line="240" w:lineRule="auto"/>
    </w:pPr>
    <w:rPr>
      <w:rFonts w:ascii="Cambria" w:eastAsia="Calibri" w:hAnsi="Cambria" w:cs="Times New Roman"/>
      <w:color w:val="A8422A"/>
      <w:sz w:val="20"/>
      <w:szCs w:val="20"/>
      <w:lang w:val="en-GB" w:eastAsia="sr-Cyrl-CS"/>
    </w:rPr>
    <w:tblPr>
      <w:tblStyleRowBandSize w:val="1"/>
      <w:tblStyleColBandSize w:val="1"/>
      <w:tblBorders>
        <w:top w:val="single" w:sz="8" w:space="0" w:color="D16349"/>
        <w:bottom w:val="single" w:sz="8" w:space="0" w:color="D16349"/>
      </w:tblBorders>
    </w:tblPr>
    <w:tblStylePr w:type="fir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la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D8D2"/>
      </w:tcPr>
    </w:tblStylePr>
    <w:tblStylePr w:type="band1Horz">
      <w:tblPr/>
      <w:tcPr>
        <w:tcBorders>
          <w:left w:val="nil"/>
          <w:right w:val="nil"/>
          <w:insideH w:val="nil"/>
          <w:insideV w:val="nil"/>
        </w:tcBorders>
        <w:shd w:val="clear" w:color="auto" w:fill="F3D8D2"/>
      </w:tcPr>
    </w:tblStylePr>
  </w:style>
  <w:style w:type="table" w:customStyle="1" w:styleId="LightList-Accent323">
    <w:name w:val="Light List - Accent 323"/>
    <w:basedOn w:val="TableNormal"/>
    <w:next w:val="LightList-Accent3"/>
    <w:uiPriority w:val="61"/>
    <w:rsid w:val="00797049"/>
    <w:pPr>
      <w:spacing w:after="0" w:line="240" w:lineRule="auto"/>
    </w:pPr>
    <w:rPr>
      <w:rFonts w:ascii="Calibri" w:eastAsia="Calibri" w:hAnsi="Calibri" w:cs="Times New Roman"/>
      <w:sz w:val="20"/>
      <w:szCs w:val="20"/>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3113">
    <w:name w:val="Light List - Accent 3113"/>
    <w:basedOn w:val="TableNormal"/>
    <w:next w:val="LightList-Accent3"/>
    <w:uiPriority w:val="61"/>
    <w:rsid w:val="00797049"/>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Shading-Accent1314">
    <w:name w:val="Light Shading - Accent 1314"/>
    <w:basedOn w:val="TableNormal"/>
    <w:uiPriority w:val="60"/>
    <w:rsid w:val="00797049"/>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5">
    <w:name w:val="Light Shading - Accent 1315"/>
    <w:basedOn w:val="TableNormal"/>
    <w:uiPriority w:val="60"/>
    <w:rsid w:val="00797049"/>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23">
    <w:name w:val="Light Shading - Accent 1323"/>
    <w:basedOn w:val="TableNormal"/>
    <w:uiPriority w:val="60"/>
    <w:rsid w:val="00797049"/>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6">
    <w:name w:val="Light Shading - Accent 1316"/>
    <w:basedOn w:val="TableNormal"/>
    <w:uiPriority w:val="60"/>
    <w:rsid w:val="00797049"/>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81">
    <w:name w:val="Light Shading - Accent 1381"/>
    <w:basedOn w:val="TableNormal"/>
    <w:uiPriority w:val="60"/>
    <w:rsid w:val="00797049"/>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8">
    <w:name w:val="Light Shading - Accent 118"/>
    <w:basedOn w:val="TableNormal"/>
    <w:uiPriority w:val="60"/>
    <w:rsid w:val="00797049"/>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91">
    <w:name w:val="Light Shading - Accent 1391"/>
    <w:basedOn w:val="TableNormal"/>
    <w:uiPriority w:val="60"/>
    <w:rsid w:val="00797049"/>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61">
    <w:name w:val="Light Shading - Accent 1161"/>
    <w:basedOn w:val="TableNormal"/>
    <w:uiPriority w:val="60"/>
    <w:rsid w:val="00797049"/>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01">
    <w:name w:val="Light Shading - Accent 13101"/>
    <w:basedOn w:val="TableNormal"/>
    <w:uiPriority w:val="60"/>
    <w:rsid w:val="00797049"/>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61">
    <w:name w:val="Light Shading - Accent 1361"/>
    <w:basedOn w:val="TableNormal"/>
    <w:uiPriority w:val="60"/>
    <w:rsid w:val="00797049"/>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character" w:customStyle="1" w:styleId="FollowedHyperlink1">
    <w:name w:val="FollowedHyperlink1"/>
    <w:basedOn w:val="DefaultParagraphFont"/>
    <w:uiPriority w:val="99"/>
    <w:semiHidden/>
    <w:unhideWhenUsed/>
    <w:rsid w:val="00797049"/>
    <w:rPr>
      <w:color w:val="919191"/>
      <w:u w:val="single"/>
    </w:rPr>
  </w:style>
  <w:style w:type="table" w:customStyle="1" w:styleId="LightShading-Accent119">
    <w:name w:val="Light Shading - Accent 119"/>
    <w:basedOn w:val="TableNormal"/>
    <w:uiPriority w:val="60"/>
    <w:rsid w:val="00797049"/>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4">
    <w:name w:val="Light Shading - Accent 14"/>
    <w:basedOn w:val="TableNormal"/>
    <w:next w:val="LightShading-Accent1"/>
    <w:uiPriority w:val="60"/>
    <w:rsid w:val="00797049"/>
    <w:pPr>
      <w:spacing w:after="0" w:line="240" w:lineRule="auto"/>
    </w:pPr>
    <w:rPr>
      <w:color w:val="BF2B0E"/>
    </w:rPr>
    <w:tblPr>
      <w:tblStyleRowBandSize w:val="1"/>
      <w:tblStyleColBandSize w:val="1"/>
      <w:tblBorders>
        <w:top w:val="single" w:sz="8" w:space="0" w:color="EF4623"/>
        <w:bottom w:val="single" w:sz="8" w:space="0" w:color="EF4623"/>
      </w:tblBorders>
    </w:tblPr>
    <w:tblStylePr w:type="firstRow">
      <w:pPr>
        <w:spacing w:before="0" w:after="0" w:line="240" w:lineRule="auto"/>
      </w:pPr>
      <w:rPr>
        <w:b/>
        <w:bCs/>
      </w:rPr>
      <w:tblPr/>
      <w:tcPr>
        <w:tcBorders>
          <w:top w:val="single" w:sz="8" w:space="0" w:color="EF4623"/>
          <w:left w:val="nil"/>
          <w:bottom w:val="single" w:sz="8" w:space="0" w:color="EF4623"/>
          <w:right w:val="nil"/>
          <w:insideH w:val="nil"/>
          <w:insideV w:val="nil"/>
        </w:tcBorders>
      </w:tcPr>
    </w:tblStylePr>
    <w:tblStylePr w:type="lastRow">
      <w:pPr>
        <w:spacing w:before="0" w:after="0" w:line="240" w:lineRule="auto"/>
      </w:pPr>
      <w:rPr>
        <w:b/>
        <w:bCs/>
      </w:rPr>
      <w:tblPr/>
      <w:tcPr>
        <w:tcBorders>
          <w:top w:val="single" w:sz="8" w:space="0" w:color="EF4623"/>
          <w:left w:val="nil"/>
          <w:bottom w:val="single" w:sz="8" w:space="0" w:color="EF462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BD1C8"/>
      </w:tcPr>
    </w:tblStylePr>
    <w:tblStylePr w:type="band1Horz">
      <w:tblPr/>
      <w:tcPr>
        <w:tcBorders>
          <w:left w:val="nil"/>
          <w:right w:val="nil"/>
          <w:insideH w:val="nil"/>
          <w:insideV w:val="nil"/>
        </w:tcBorders>
        <w:shd w:val="clear" w:color="auto" w:fill="FBD1C8"/>
      </w:tcPr>
    </w:tblStylePr>
  </w:style>
  <w:style w:type="paragraph" w:styleId="HTMLPreformatted">
    <w:name w:val="HTML Preformatted"/>
    <w:basedOn w:val="Normal"/>
    <w:link w:val="HTMLPreformattedChar"/>
    <w:uiPriority w:val="99"/>
    <w:semiHidden/>
    <w:unhideWhenUsed/>
    <w:rsid w:val="00797049"/>
    <w:pPr>
      <w:spacing w:after="0"/>
      <w:ind w:firstLine="709"/>
    </w:pPr>
    <w:rPr>
      <w:rFonts w:ascii="Consolas" w:eastAsia="Times New Roman" w:hAnsi="Consolas" w:cs="Consolas"/>
      <w:bCs/>
      <w:color w:val="404040"/>
      <w:sz w:val="20"/>
      <w:szCs w:val="20"/>
      <w:lang w:val="sr-Cyrl-CS"/>
    </w:rPr>
  </w:style>
  <w:style w:type="character" w:customStyle="1" w:styleId="HTMLPreformattedChar">
    <w:name w:val="HTML Preformatted Char"/>
    <w:basedOn w:val="DefaultParagraphFont"/>
    <w:link w:val="HTMLPreformatted"/>
    <w:uiPriority w:val="99"/>
    <w:semiHidden/>
    <w:rsid w:val="00797049"/>
    <w:rPr>
      <w:rFonts w:ascii="Consolas" w:eastAsia="Times New Roman" w:hAnsi="Consolas" w:cs="Consolas"/>
      <w:bCs/>
      <w:color w:val="404040"/>
      <w:sz w:val="20"/>
      <w:szCs w:val="20"/>
      <w:lang w:val="sr-Cyrl-CS"/>
    </w:rPr>
  </w:style>
  <w:style w:type="table" w:customStyle="1" w:styleId="LightShading-Accent331">
    <w:name w:val="Light Shading - Accent 331"/>
    <w:basedOn w:val="TableNormal"/>
    <w:next w:val="LightShading-Accent3"/>
    <w:uiPriority w:val="60"/>
    <w:rsid w:val="00797049"/>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Shading-Accent332">
    <w:name w:val="Light Shading - Accent 332"/>
    <w:basedOn w:val="TableNormal"/>
    <w:next w:val="LightShading-Accent3"/>
    <w:uiPriority w:val="60"/>
    <w:rsid w:val="00797049"/>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Shading-Accent333">
    <w:name w:val="Light Shading - Accent 333"/>
    <w:basedOn w:val="TableNormal"/>
    <w:next w:val="LightShading-Accent3"/>
    <w:uiPriority w:val="60"/>
    <w:rsid w:val="00797049"/>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Shading-Accent341">
    <w:name w:val="Light Shading - Accent 341"/>
    <w:basedOn w:val="TableNormal"/>
    <w:next w:val="LightShading-Accent3"/>
    <w:uiPriority w:val="60"/>
    <w:rsid w:val="00797049"/>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Shading-Accent342">
    <w:name w:val="Light Shading - Accent 342"/>
    <w:basedOn w:val="TableNormal"/>
    <w:next w:val="LightShading-Accent3"/>
    <w:uiPriority w:val="60"/>
    <w:rsid w:val="00797049"/>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Grid-Accent514">
    <w:name w:val="Light Grid - Accent 514"/>
    <w:basedOn w:val="TableNormal"/>
    <w:next w:val="LightGrid-Accent5"/>
    <w:uiPriority w:val="62"/>
    <w:rsid w:val="00797049"/>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55">
    <w:name w:val="Light Grid - Accent 55"/>
    <w:basedOn w:val="TableNormal"/>
    <w:next w:val="LightGrid-Accent5"/>
    <w:uiPriority w:val="62"/>
    <w:rsid w:val="00797049"/>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Grid-Accent5111">
    <w:name w:val="Light Grid - Accent 5111"/>
    <w:basedOn w:val="TableNormal"/>
    <w:next w:val="LightGrid-Accent5"/>
    <w:uiPriority w:val="62"/>
    <w:rsid w:val="00797049"/>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521">
    <w:name w:val="Light Grid - Accent 521"/>
    <w:basedOn w:val="TableNormal"/>
    <w:next w:val="LightGrid-Accent5"/>
    <w:uiPriority w:val="62"/>
    <w:rsid w:val="00797049"/>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Grid-Accent5121">
    <w:name w:val="Light Grid - Accent 5121"/>
    <w:basedOn w:val="TableNormal"/>
    <w:next w:val="LightGrid-Accent5"/>
    <w:uiPriority w:val="62"/>
    <w:rsid w:val="00797049"/>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531">
    <w:name w:val="Light Grid - Accent 531"/>
    <w:basedOn w:val="TableNormal"/>
    <w:next w:val="LightGrid-Accent5"/>
    <w:uiPriority w:val="62"/>
    <w:rsid w:val="00797049"/>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Grid-Accent5131">
    <w:name w:val="Light Grid - Accent 5131"/>
    <w:basedOn w:val="TableNormal"/>
    <w:next w:val="LightGrid-Accent5"/>
    <w:uiPriority w:val="62"/>
    <w:rsid w:val="00797049"/>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541">
    <w:name w:val="Light Grid - Accent 541"/>
    <w:basedOn w:val="TableNormal"/>
    <w:next w:val="LightGrid-Accent5"/>
    <w:uiPriority w:val="62"/>
    <w:rsid w:val="00797049"/>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Shading-Accent61">
    <w:name w:val="Light Shading - Accent 61"/>
    <w:basedOn w:val="TableNormal"/>
    <w:next w:val="LightShading-Accent6"/>
    <w:uiPriority w:val="60"/>
    <w:rsid w:val="00797049"/>
    <w:pPr>
      <w:spacing w:after="0" w:line="240" w:lineRule="auto"/>
    </w:pPr>
    <w:rPr>
      <w:rFonts w:ascii="Calibri" w:eastAsia="Calibri" w:hAnsi="Calibri" w:cs="Times New Roman"/>
      <w:color w:val="393939"/>
      <w:sz w:val="20"/>
      <w:szCs w:val="20"/>
    </w:rPr>
    <w:tblPr>
      <w:tblStyleRowBandSize w:val="1"/>
      <w:tblStyleColBandSize w:val="1"/>
      <w:tblBorders>
        <w:top w:val="single" w:sz="8" w:space="0" w:color="4D4D4D"/>
        <w:bottom w:val="single" w:sz="8" w:space="0" w:color="4D4D4D"/>
      </w:tblBorders>
    </w:tblPr>
    <w:tblStylePr w:type="firstRow">
      <w:pPr>
        <w:spacing w:beforeLines="0" w:before="0" w:beforeAutospacing="0" w:afterLines="0" w:after="0" w:afterAutospacing="0" w:line="240" w:lineRule="auto"/>
      </w:pPr>
      <w:rPr>
        <w:b/>
        <w:bCs/>
      </w:rPr>
      <w:tblPr/>
      <w:tcPr>
        <w:tcBorders>
          <w:top w:val="single" w:sz="8" w:space="0" w:color="4D4D4D"/>
          <w:left w:val="nil"/>
          <w:bottom w:val="single" w:sz="8" w:space="0" w:color="4D4D4D"/>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4D4D4D"/>
          <w:left w:val="nil"/>
          <w:bottom w:val="single" w:sz="8" w:space="0" w:color="4D4D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3D3"/>
      </w:tcPr>
    </w:tblStylePr>
    <w:tblStylePr w:type="band1Horz">
      <w:tblPr/>
      <w:tcPr>
        <w:tcBorders>
          <w:left w:val="nil"/>
          <w:right w:val="nil"/>
          <w:insideH w:val="nil"/>
          <w:insideV w:val="nil"/>
        </w:tcBorders>
        <w:shd w:val="clear" w:color="auto" w:fill="D3D3D3"/>
      </w:tcPr>
    </w:tblStylePr>
  </w:style>
  <w:style w:type="character" w:customStyle="1" w:styleId="ListBulletChar">
    <w:name w:val="List Bullet Char"/>
    <w:basedOn w:val="DefaultParagraphFont"/>
    <w:link w:val="ListBullet1"/>
    <w:uiPriority w:val="99"/>
    <w:locked/>
    <w:rsid w:val="00797049"/>
    <w:rPr>
      <w:rFonts w:eastAsia="MS PGothic"/>
      <w:color w:val="595959"/>
      <w:kern w:val="20"/>
      <w:sz w:val="20"/>
      <w:szCs w:val="20"/>
      <w:lang w:eastAsia="ja-JP"/>
    </w:rPr>
  </w:style>
  <w:style w:type="table" w:customStyle="1" w:styleId="GridTable6Colorful-Accent41">
    <w:name w:val="Grid Table 6 Colorful - Accent 41"/>
    <w:basedOn w:val="TableNormal"/>
    <w:next w:val="GridTable6Colorful-Accent43"/>
    <w:uiPriority w:val="51"/>
    <w:rsid w:val="00797049"/>
    <w:pPr>
      <w:spacing w:after="0" w:line="240" w:lineRule="auto"/>
    </w:pPr>
    <w:rPr>
      <w:color w:val="5F5F5F"/>
    </w:rPr>
    <w:tblPr>
      <w:tblStyleRowBandSize w:val="1"/>
      <w:tblStyleColBandSize w:val="1"/>
      <w:tblBorders>
        <w:top w:val="single" w:sz="4" w:space="0" w:color="B2B2B2"/>
        <w:left w:val="single" w:sz="4" w:space="0" w:color="B2B2B2"/>
        <w:bottom w:val="single" w:sz="4" w:space="0" w:color="B2B2B2"/>
        <w:right w:val="single" w:sz="4" w:space="0" w:color="B2B2B2"/>
        <w:insideH w:val="single" w:sz="4" w:space="0" w:color="B2B2B2"/>
        <w:insideV w:val="single" w:sz="4" w:space="0" w:color="B2B2B2"/>
      </w:tblBorders>
    </w:tblPr>
    <w:tblStylePr w:type="firstRow">
      <w:rPr>
        <w:b/>
        <w:bCs/>
      </w:rPr>
      <w:tblPr/>
      <w:tcPr>
        <w:tcBorders>
          <w:bottom w:val="single" w:sz="12" w:space="0" w:color="B2B2B2"/>
        </w:tcBorders>
      </w:tcPr>
    </w:tblStylePr>
    <w:tblStylePr w:type="lastRow">
      <w:rPr>
        <w:b/>
        <w:bCs/>
      </w:rPr>
      <w:tblPr/>
      <w:tcPr>
        <w:tcBorders>
          <w:top w:val="double" w:sz="4" w:space="0" w:color="B2B2B2"/>
        </w:tcBorders>
      </w:tcPr>
    </w:tblStylePr>
    <w:tblStylePr w:type="firstCol">
      <w:rPr>
        <w:b/>
        <w:bCs/>
      </w:rPr>
    </w:tblStylePr>
    <w:tblStylePr w:type="lastCol">
      <w:rPr>
        <w:b/>
        <w:bCs/>
      </w:rPr>
    </w:tblStylePr>
    <w:tblStylePr w:type="band1Vert">
      <w:tblPr/>
      <w:tcPr>
        <w:shd w:val="clear" w:color="auto" w:fill="E5E5E5"/>
      </w:tcPr>
    </w:tblStylePr>
    <w:tblStylePr w:type="band1Horz">
      <w:tblPr/>
      <w:tcPr>
        <w:shd w:val="clear" w:color="auto" w:fill="E5E5E5"/>
      </w:tcPr>
    </w:tblStylePr>
  </w:style>
  <w:style w:type="table" w:customStyle="1" w:styleId="LightShading-Accent611">
    <w:name w:val="Light Shading - Accent 611"/>
    <w:basedOn w:val="TableNormal"/>
    <w:next w:val="LightShading-Accent6"/>
    <w:uiPriority w:val="60"/>
    <w:rsid w:val="00797049"/>
    <w:pPr>
      <w:spacing w:after="0" w:line="240" w:lineRule="auto"/>
    </w:pPr>
    <w:rPr>
      <w:rFonts w:ascii="Calibri" w:eastAsia="Calibri" w:hAnsi="Calibri" w:cs="Times New Roman"/>
      <w:color w:val="E36C0A"/>
      <w:sz w:val="20"/>
      <w:szCs w:val="20"/>
    </w:rPr>
    <w:tblPr>
      <w:tblStyleRowBandSize w:val="1"/>
      <w:tblStyleColBandSize w:val="1"/>
      <w:tblBorders>
        <w:top w:val="single" w:sz="8" w:space="0" w:color="F79646"/>
        <w:bottom w:val="single" w:sz="8" w:space="0" w:color="F79646"/>
      </w:tblBorders>
    </w:tblPr>
    <w:tblStylePr w:type="firstRow">
      <w:pPr>
        <w:spacing w:beforeLines="0" w:before="0" w:beforeAutospacing="0" w:afterLines="0" w:after="0" w:afterAutospacing="0" w:line="240" w:lineRule="auto"/>
      </w:pPr>
      <w:rPr>
        <w:b/>
        <w:bCs/>
      </w:rPr>
      <w:tblPr/>
      <w:tcPr>
        <w:tcBorders>
          <w:top w:val="single" w:sz="8" w:space="0" w:color="F79646"/>
          <w:left w:val="nil"/>
          <w:bottom w:val="single" w:sz="8" w:space="0" w:color="F79646"/>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F79646"/>
          <w:left w:val="nil"/>
          <w:bottom w:val="single" w:sz="8" w:space="0" w:color="F7964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cPr>
    </w:tblStylePr>
    <w:tblStylePr w:type="band1Horz">
      <w:tblPr/>
      <w:tcPr>
        <w:tcBorders>
          <w:left w:val="nil"/>
          <w:right w:val="nil"/>
          <w:insideH w:val="nil"/>
          <w:insideV w:val="nil"/>
        </w:tcBorders>
        <w:shd w:val="clear" w:color="auto" w:fill="FDE4D0"/>
      </w:tcPr>
    </w:tblStylePr>
  </w:style>
  <w:style w:type="table" w:customStyle="1" w:styleId="GridTable6Colorful-Accent31">
    <w:name w:val="Grid Table 6 Colorful - Accent 31"/>
    <w:basedOn w:val="TableNormal"/>
    <w:next w:val="GridTable6Colorful-Accent33"/>
    <w:uiPriority w:val="51"/>
    <w:rsid w:val="00797049"/>
    <w:pPr>
      <w:spacing w:after="0" w:line="240" w:lineRule="auto"/>
    </w:pPr>
    <w:rPr>
      <w:rFonts w:ascii="Calibri" w:eastAsia="Calibri" w:hAnsi="Calibri" w:cs="Times New Roman"/>
      <w:color w:val="707070"/>
      <w:sz w:val="20"/>
      <w:szCs w:val="20"/>
    </w:rPr>
    <w:tblPr>
      <w:tblStyleRowBandSize w:val="1"/>
      <w:tblStyleColBandSize w:val="1"/>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Pr>
    <w:tblStylePr w:type="firstRow">
      <w:rPr>
        <w:b/>
        <w:bCs/>
      </w:rPr>
      <w:tblPr/>
      <w:tcPr>
        <w:tcBorders>
          <w:bottom w:val="single" w:sz="12" w:space="0" w:color="C0C0C0"/>
        </w:tcBorders>
      </w:tcPr>
    </w:tblStylePr>
    <w:tblStylePr w:type="lastRow">
      <w:rPr>
        <w:b/>
        <w:bCs/>
      </w:rPr>
      <w:tblPr/>
      <w:tcPr>
        <w:tcBorders>
          <w:top w:val="double" w:sz="4" w:space="0" w:color="C0C0C0"/>
        </w:tcBorders>
      </w:tcPr>
    </w:tblStylePr>
    <w:tblStylePr w:type="firstCol">
      <w:rPr>
        <w:b/>
        <w:bCs/>
      </w:rPr>
    </w:tblStylePr>
    <w:tblStylePr w:type="lastCol">
      <w:rPr>
        <w:b/>
        <w:bCs/>
      </w:rPr>
    </w:tblStylePr>
    <w:tblStylePr w:type="band1Vert">
      <w:tblPr/>
      <w:tcPr>
        <w:shd w:val="clear" w:color="auto" w:fill="EAEAEA"/>
      </w:tcPr>
    </w:tblStylePr>
    <w:tblStylePr w:type="band1Horz">
      <w:tblPr/>
      <w:tcPr>
        <w:shd w:val="clear" w:color="auto" w:fill="EAEAEA"/>
      </w:tcPr>
    </w:tblStylePr>
  </w:style>
  <w:style w:type="table" w:customStyle="1" w:styleId="GridTable4-Accent51">
    <w:name w:val="Grid Table 4 - Accent 51"/>
    <w:basedOn w:val="TableNormal"/>
    <w:next w:val="GridTable4-Accent53"/>
    <w:uiPriority w:val="49"/>
    <w:rsid w:val="00797049"/>
    <w:pPr>
      <w:spacing w:after="0" w:line="240" w:lineRule="auto"/>
    </w:pPr>
    <w:rPr>
      <w:rFonts w:ascii="Calibri" w:eastAsia="Calibri" w:hAnsi="Calibri" w:cs="Times New Roman"/>
      <w:sz w:val="20"/>
      <w:szCs w:val="20"/>
    </w:rPr>
    <w:tblPr>
      <w:tblStyleRowBandSize w:val="1"/>
      <w:tblStyleColBandSize w:val="1"/>
      <w:tblBorders>
        <w:top w:val="single" w:sz="4" w:space="0" w:color="9F9F9F"/>
        <w:left w:val="single" w:sz="4" w:space="0" w:color="9F9F9F"/>
        <w:bottom w:val="single" w:sz="4" w:space="0" w:color="9F9F9F"/>
        <w:right w:val="single" w:sz="4" w:space="0" w:color="9F9F9F"/>
        <w:insideH w:val="single" w:sz="4" w:space="0" w:color="9F9F9F"/>
        <w:insideV w:val="single" w:sz="4" w:space="0" w:color="9F9F9F"/>
      </w:tblBorders>
    </w:tblPr>
    <w:tblStylePr w:type="firstRow">
      <w:rPr>
        <w:b/>
        <w:bCs/>
        <w:color w:val="FFFFFF"/>
      </w:rPr>
      <w:tblPr/>
      <w:tcPr>
        <w:tcBorders>
          <w:top w:val="single" w:sz="4" w:space="0" w:color="5F5F5F"/>
          <w:left w:val="single" w:sz="4" w:space="0" w:color="5F5F5F"/>
          <w:bottom w:val="single" w:sz="4" w:space="0" w:color="5F5F5F"/>
          <w:right w:val="single" w:sz="4" w:space="0" w:color="5F5F5F"/>
          <w:insideH w:val="nil"/>
          <w:insideV w:val="nil"/>
        </w:tcBorders>
        <w:shd w:val="clear" w:color="auto" w:fill="5F5F5F"/>
      </w:tcPr>
    </w:tblStylePr>
    <w:tblStylePr w:type="lastRow">
      <w:rPr>
        <w:b/>
        <w:bCs/>
      </w:rPr>
      <w:tblPr/>
      <w:tcPr>
        <w:tcBorders>
          <w:top w:val="double" w:sz="4" w:space="0" w:color="5F5F5F"/>
        </w:tcBorders>
      </w:tcPr>
    </w:tblStylePr>
    <w:tblStylePr w:type="firstCol">
      <w:rPr>
        <w:b/>
        <w:bCs/>
      </w:rPr>
    </w:tblStylePr>
    <w:tblStylePr w:type="lastCol">
      <w:rPr>
        <w:b/>
        <w:bCs/>
      </w:rPr>
    </w:tblStylePr>
    <w:tblStylePr w:type="band1Vert">
      <w:tblPr/>
      <w:tcPr>
        <w:shd w:val="clear" w:color="auto" w:fill="DFDFDF"/>
      </w:tcPr>
    </w:tblStylePr>
    <w:tblStylePr w:type="band1Horz">
      <w:tblPr/>
      <w:tcPr>
        <w:shd w:val="clear" w:color="auto" w:fill="DFDFDF"/>
      </w:tcPr>
    </w:tblStylePr>
  </w:style>
  <w:style w:type="table" w:customStyle="1" w:styleId="GridTable5Dark-Accent51">
    <w:name w:val="Grid Table 5 Dark - Accent 51"/>
    <w:basedOn w:val="TableNormal"/>
    <w:next w:val="GridTable5Dark-Accent53"/>
    <w:uiPriority w:val="50"/>
    <w:rsid w:val="00797049"/>
    <w:pPr>
      <w:spacing w:after="0" w:line="240" w:lineRule="auto"/>
    </w:pPr>
    <w:rPr>
      <w:rFonts w:ascii="Calibri" w:eastAsia="Calibri" w:hAnsi="Calibri" w:cs="Times New Roman"/>
      <w:sz w:val="20"/>
      <w:szCs w:val="20"/>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DFDFDF"/>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5F5F5F"/>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5F5F5F"/>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5F5F5F"/>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5F5F5F"/>
      </w:tcPr>
    </w:tblStylePr>
    <w:tblStylePr w:type="band1Vert">
      <w:tblPr/>
      <w:tcPr>
        <w:shd w:val="clear" w:color="auto" w:fill="BFBFBF"/>
      </w:tcPr>
    </w:tblStylePr>
    <w:tblStylePr w:type="band1Horz">
      <w:tblPr/>
      <w:tcPr>
        <w:shd w:val="clear" w:color="auto" w:fill="BFBFBF"/>
      </w:tcPr>
    </w:tblStylePr>
  </w:style>
  <w:style w:type="table" w:customStyle="1" w:styleId="a">
    <w:name w:val="ФС"/>
    <w:basedOn w:val="TableNormal"/>
    <w:uiPriority w:val="99"/>
    <w:rsid w:val="00797049"/>
    <w:pPr>
      <w:spacing w:after="0" w:line="240" w:lineRule="auto"/>
    </w:pPr>
    <w:rPr>
      <w:rFonts w:ascii="Calibri" w:eastAsia="Calibri" w:hAnsi="Calibri" w:cs="Times New Roman"/>
      <w:sz w:val="20"/>
      <w:szCs w:val="20"/>
    </w:rPr>
    <w:tblPr/>
  </w:style>
  <w:style w:type="table" w:customStyle="1" w:styleId="ListTable6Colorful-Accent31">
    <w:name w:val="List Table 6 Colorful - Accent 31"/>
    <w:basedOn w:val="TableNormal"/>
    <w:next w:val="ListTable6Colorful-Accent33"/>
    <w:uiPriority w:val="51"/>
    <w:rsid w:val="00797049"/>
    <w:pPr>
      <w:spacing w:after="0" w:line="240" w:lineRule="auto"/>
    </w:pPr>
    <w:rPr>
      <w:rFonts w:ascii="Calibri" w:eastAsia="Calibri" w:hAnsi="Calibri" w:cs="Times New Roman"/>
      <w:color w:val="707070"/>
      <w:sz w:val="20"/>
      <w:szCs w:val="20"/>
    </w:rPr>
    <w:tblPr>
      <w:tblStyleRowBandSize w:val="1"/>
      <w:tblStyleColBandSize w:val="1"/>
      <w:tblBorders>
        <w:top w:val="single" w:sz="4" w:space="0" w:color="969696"/>
        <w:bottom w:val="single" w:sz="4" w:space="0" w:color="969696"/>
      </w:tblBorders>
    </w:tblPr>
    <w:tblStylePr w:type="firstRow">
      <w:rPr>
        <w:b/>
        <w:bCs/>
      </w:rPr>
      <w:tblPr/>
      <w:tcPr>
        <w:tcBorders>
          <w:bottom w:val="single" w:sz="4" w:space="0" w:color="969696"/>
        </w:tcBorders>
      </w:tcPr>
    </w:tblStylePr>
    <w:tblStylePr w:type="lastRow">
      <w:rPr>
        <w:b/>
        <w:bCs/>
      </w:rPr>
      <w:tblPr/>
      <w:tcPr>
        <w:tcBorders>
          <w:top w:val="double" w:sz="4" w:space="0" w:color="969696"/>
        </w:tcBorders>
      </w:tcPr>
    </w:tblStylePr>
    <w:tblStylePr w:type="firstCol">
      <w:rPr>
        <w:b/>
        <w:bCs/>
      </w:rPr>
    </w:tblStylePr>
    <w:tblStylePr w:type="lastCol">
      <w:rPr>
        <w:b/>
        <w:bCs/>
      </w:rPr>
    </w:tblStylePr>
    <w:tblStylePr w:type="band1Vert">
      <w:tblPr/>
      <w:tcPr>
        <w:shd w:val="clear" w:color="auto" w:fill="EAEAEA"/>
      </w:tcPr>
    </w:tblStylePr>
    <w:tblStylePr w:type="band1Horz">
      <w:tblPr/>
      <w:tcPr>
        <w:shd w:val="clear" w:color="auto" w:fill="EAEAEA"/>
      </w:tcPr>
    </w:tblStylePr>
  </w:style>
  <w:style w:type="table" w:customStyle="1" w:styleId="GridTable1Light-Accent11">
    <w:name w:val="Grid Table 1 Light - Accent 11"/>
    <w:basedOn w:val="TableNormal"/>
    <w:next w:val="GridTable1Light-Accent13"/>
    <w:uiPriority w:val="46"/>
    <w:rsid w:val="00797049"/>
    <w:pPr>
      <w:spacing w:after="0" w:line="240" w:lineRule="auto"/>
    </w:pPr>
    <w:tblPr>
      <w:tblStyleRowBandSize w:val="1"/>
      <w:tblStyleColBandSize w:val="1"/>
      <w:tblBorders>
        <w:top w:val="single" w:sz="4" w:space="0" w:color="F8B4A6"/>
        <w:left w:val="single" w:sz="4" w:space="0" w:color="F8B4A6"/>
        <w:bottom w:val="single" w:sz="4" w:space="0" w:color="F8B4A6"/>
        <w:right w:val="single" w:sz="4" w:space="0" w:color="F8B4A6"/>
        <w:insideH w:val="single" w:sz="4" w:space="0" w:color="F8B4A6"/>
        <w:insideV w:val="single" w:sz="4" w:space="0" w:color="F8B4A6"/>
      </w:tblBorders>
    </w:tblPr>
    <w:tblStylePr w:type="firstRow">
      <w:rPr>
        <w:b/>
        <w:bCs/>
      </w:rPr>
      <w:tblPr/>
      <w:tcPr>
        <w:tcBorders>
          <w:bottom w:val="single" w:sz="12" w:space="0" w:color="F58F7A"/>
        </w:tcBorders>
      </w:tcPr>
    </w:tblStylePr>
    <w:tblStylePr w:type="lastRow">
      <w:rPr>
        <w:b/>
        <w:bCs/>
      </w:rPr>
      <w:tblPr/>
      <w:tcPr>
        <w:tcBorders>
          <w:top w:val="double" w:sz="2" w:space="0" w:color="F58F7A"/>
        </w:tcBorders>
      </w:tcPr>
    </w:tblStylePr>
    <w:tblStylePr w:type="firstCol">
      <w:rPr>
        <w:b/>
        <w:bCs/>
      </w:rPr>
    </w:tblStylePr>
    <w:tblStylePr w:type="lastCol">
      <w:rPr>
        <w:b/>
        <w:bCs/>
      </w:rPr>
    </w:tblStylePr>
  </w:style>
  <w:style w:type="table" w:customStyle="1" w:styleId="ListTable1Light-Accent11">
    <w:name w:val="List Table 1 Light - Accent 11"/>
    <w:basedOn w:val="TableNormal"/>
    <w:next w:val="ListTable1Light-Accent13"/>
    <w:uiPriority w:val="46"/>
    <w:rsid w:val="00797049"/>
    <w:pPr>
      <w:spacing w:after="0" w:line="240" w:lineRule="auto"/>
    </w:pPr>
    <w:tblPr>
      <w:tblStyleRowBandSize w:val="1"/>
      <w:tblStyleColBandSize w:val="1"/>
    </w:tblPr>
    <w:tblStylePr w:type="firstRow">
      <w:rPr>
        <w:b/>
        <w:bCs/>
      </w:rPr>
      <w:tblPr/>
      <w:tcPr>
        <w:tcBorders>
          <w:bottom w:val="single" w:sz="4" w:space="0" w:color="F58F7A"/>
        </w:tcBorders>
      </w:tcPr>
    </w:tblStylePr>
    <w:tblStylePr w:type="lastRow">
      <w:rPr>
        <w:b/>
        <w:bCs/>
      </w:rPr>
      <w:tblPr/>
      <w:tcPr>
        <w:tcBorders>
          <w:top w:val="single" w:sz="4" w:space="0" w:color="F58F7A"/>
        </w:tcBorders>
      </w:tcPr>
    </w:tblStylePr>
    <w:tblStylePr w:type="firstCol">
      <w:rPr>
        <w:b/>
        <w:bCs/>
      </w:rPr>
    </w:tblStylePr>
    <w:tblStylePr w:type="lastCol">
      <w:rPr>
        <w:b/>
        <w:bCs/>
      </w:rPr>
    </w:tblStylePr>
    <w:tblStylePr w:type="band1Vert">
      <w:tblPr/>
      <w:tcPr>
        <w:shd w:val="clear" w:color="auto" w:fill="FBD9D2"/>
      </w:tcPr>
    </w:tblStylePr>
    <w:tblStylePr w:type="band1Horz">
      <w:tblPr/>
      <w:tcPr>
        <w:shd w:val="clear" w:color="auto" w:fill="FBD9D2"/>
      </w:tcPr>
    </w:tblStylePr>
  </w:style>
  <w:style w:type="table" w:customStyle="1" w:styleId="ListTable2-Accent11">
    <w:name w:val="List Table 2 - Accent 11"/>
    <w:basedOn w:val="TableNormal"/>
    <w:next w:val="ListTable2-Accent13"/>
    <w:uiPriority w:val="47"/>
    <w:rsid w:val="00797049"/>
    <w:pPr>
      <w:spacing w:after="0" w:line="240" w:lineRule="auto"/>
    </w:pPr>
    <w:tblPr>
      <w:tblStyleRowBandSize w:val="1"/>
      <w:tblStyleColBandSize w:val="1"/>
      <w:tblBorders>
        <w:top w:val="single" w:sz="4" w:space="0" w:color="F58F7A"/>
        <w:bottom w:val="single" w:sz="4" w:space="0" w:color="F58F7A"/>
        <w:insideH w:val="single" w:sz="4" w:space="0" w:color="F58F7A"/>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BD9D2"/>
      </w:tcPr>
    </w:tblStylePr>
    <w:tblStylePr w:type="band1Horz">
      <w:tblPr/>
      <w:tcPr>
        <w:shd w:val="clear" w:color="auto" w:fill="FBD9D2"/>
      </w:tcPr>
    </w:tblStylePr>
  </w:style>
  <w:style w:type="table" w:customStyle="1" w:styleId="ListTable2-Accent51">
    <w:name w:val="List Table 2 - Accent 51"/>
    <w:basedOn w:val="TableNormal"/>
    <w:next w:val="ListTable2-Accent53"/>
    <w:uiPriority w:val="47"/>
    <w:rsid w:val="00797049"/>
    <w:pPr>
      <w:spacing w:after="0" w:line="240" w:lineRule="auto"/>
    </w:pPr>
    <w:tblPr>
      <w:tblStyleRowBandSize w:val="1"/>
      <w:tblStyleColBandSize w:val="1"/>
      <w:tblBorders>
        <w:top w:val="single" w:sz="4" w:space="0" w:color="9F9F9F"/>
        <w:bottom w:val="single" w:sz="4" w:space="0" w:color="9F9F9F"/>
        <w:insideH w:val="single" w:sz="4" w:space="0" w:color="9F9F9F"/>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FDFDF"/>
      </w:tcPr>
    </w:tblStylePr>
    <w:tblStylePr w:type="band1Horz">
      <w:tblPr/>
      <w:tcPr>
        <w:shd w:val="clear" w:color="auto" w:fill="DFDFDF"/>
      </w:tcPr>
    </w:tblStylePr>
  </w:style>
  <w:style w:type="table" w:customStyle="1" w:styleId="GridTable2-Accent51">
    <w:name w:val="Grid Table 2 - Accent 51"/>
    <w:basedOn w:val="TableNormal"/>
    <w:next w:val="GridTable2-Accent53"/>
    <w:uiPriority w:val="47"/>
    <w:rsid w:val="00797049"/>
    <w:pPr>
      <w:spacing w:after="0" w:line="240" w:lineRule="auto"/>
    </w:pPr>
    <w:tblPr>
      <w:tblStyleRowBandSize w:val="1"/>
      <w:tblStyleColBandSize w:val="1"/>
      <w:tblBorders>
        <w:top w:val="single" w:sz="2" w:space="0" w:color="9F9F9F"/>
        <w:bottom w:val="single" w:sz="2" w:space="0" w:color="9F9F9F"/>
        <w:insideH w:val="single" w:sz="2" w:space="0" w:color="9F9F9F"/>
        <w:insideV w:val="single" w:sz="2" w:space="0" w:color="9F9F9F"/>
      </w:tblBorders>
    </w:tblPr>
    <w:tblStylePr w:type="firstRow">
      <w:rPr>
        <w:b/>
        <w:bCs/>
      </w:rPr>
      <w:tblPr/>
      <w:tcPr>
        <w:tcBorders>
          <w:top w:val="nil"/>
          <w:bottom w:val="single" w:sz="12" w:space="0" w:color="9F9F9F"/>
          <w:insideH w:val="nil"/>
          <w:insideV w:val="nil"/>
        </w:tcBorders>
        <w:shd w:val="clear" w:color="auto" w:fill="FFFFFF"/>
      </w:tcPr>
    </w:tblStylePr>
    <w:tblStylePr w:type="lastRow">
      <w:rPr>
        <w:b/>
        <w:bCs/>
      </w:rPr>
      <w:tblPr/>
      <w:tcPr>
        <w:tcBorders>
          <w:top w:val="double" w:sz="2" w:space="0" w:color="9F9F9F"/>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FDFDF"/>
      </w:tcPr>
    </w:tblStylePr>
    <w:tblStylePr w:type="band1Horz">
      <w:tblPr/>
      <w:tcPr>
        <w:shd w:val="clear" w:color="auto" w:fill="DFDFDF"/>
      </w:tcPr>
    </w:tblStylePr>
  </w:style>
  <w:style w:type="table" w:customStyle="1" w:styleId="TableGrid2">
    <w:name w:val="Table Grid2"/>
    <w:basedOn w:val="TableNormal"/>
    <w:next w:val="TableGrid"/>
    <w:uiPriority w:val="39"/>
    <w:rsid w:val="00797049"/>
    <w:pPr>
      <w:spacing w:before="120" w:after="120" w:line="264" w:lineRule="auto"/>
      <w:ind w:left="115" w:right="115"/>
    </w:pPr>
    <w:rPr>
      <w:rFonts w:eastAsia="MS PGothic"/>
      <w:sz w:val="20"/>
      <w:szCs w:val="20"/>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
    <w:tcPr>
      <w:vAlign w:val="center"/>
    </w:tcPr>
    <w:tblStylePr w:type="firstRow">
      <w:pPr>
        <w:wordWrap/>
        <w:jc w:val="center"/>
      </w:pPr>
      <w:rPr>
        <w:b/>
        <w:i w:val="0"/>
        <w:sz w:val="22"/>
      </w:rPr>
    </w:tblStylePr>
    <w:tblStylePr w:type="lastRow">
      <w:rPr>
        <w:b/>
        <w:i w:val="0"/>
        <w:sz w:val="22"/>
      </w:rPr>
      <w:tblPr/>
      <w:tcPr>
        <w:tcBorders>
          <w:top w:val="double" w:sz="4" w:space="0" w:color="auto"/>
          <w:left w:val="single" w:sz="4" w:space="0" w:color="auto"/>
          <w:bottom w:val="single" w:sz="18" w:space="0" w:color="auto"/>
          <w:right w:val="single" w:sz="4" w:space="0" w:color="auto"/>
          <w:insideH w:val="nil"/>
          <w:insideV w:val="single" w:sz="4" w:space="0" w:color="auto"/>
          <w:tl2br w:val="nil"/>
          <w:tr2bl w:val="nil"/>
        </w:tcBorders>
      </w:tcPr>
    </w:tblStylePr>
  </w:style>
  <w:style w:type="table" w:customStyle="1" w:styleId="LightShading-Accent124">
    <w:name w:val="Light Shading - Accent 124"/>
    <w:basedOn w:val="TableNormal"/>
    <w:uiPriority w:val="60"/>
    <w:rsid w:val="00797049"/>
    <w:pPr>
      <w:spacing w:after="0" w:line="264" w:lineRule="auto"/>
    </w:pPr>
    <w:rPr>
      <w:rFonts w:ascii="Cambria" w:eastAsia="Calibri" w:hAnsi="Cambria" w:cs="Times New Roman"/>
      <w:color w:val="A8422A"/>
      <w:sz w:val="20"/>
      <w:szCs w:val="20"/>
      <w:lang w:val="en-GB" w:eastAsia="sr-Cyrl-CS"/>
    </w:rPr>
    <w:tblPr>
      <w:tblStyleRowBandSize w:val="1"/>
      <w:tblStyleColBandSize w:val="1"/>
      <w:tblBorders>
        <w:top w:val="single" w:sz="8" w:space="0" w:color="D16349"/>
        <w:bottom w:val="single" w:sz="8" w:space="0" w:color="D16349"/>
      </w:tblBorders>
    </w:tblPr>
    <w:tblStylePr w:type="fir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la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D8D2"/>
      </w:tcPr>
    </w:tblStylePr>
    <w:tblStylePr w:type="band1Horz">
      <w:tblPr/>
      <w:tcPr>
        <w:tcBorders>
          <w:left w:val="nil"/>
          <w:right w:val="nil"/>
          <w:insideH w:val="nil"/>
          <w:insideV w:val="nil"/>
        </w:tcBorders>
        <w:shd w:val="clear" w:color="auto" w:fill="F3D8D2"/>
      </w:tcPr>
    </w:tblStylePr>
  </w:style>
  <w:style w:type="table" w:customStyle="1" w:styleId="GridTable6Colorful-Accent512">
    <w:name w:val="Grid Table 6 Colorful - Accent 512"/>
    <w:basedOn w:val="TableNormal"/>
    <w:next w:val="GridTable6Colorful-Accent54"/>
    <w:uiPriority w:val="51"/>
    <w:rsid w:val="00797049"/>
    <w:pPr>
      <w:spacing w:after="0" w:line="240" w:lineRule="auto"/>
    </w:pPr>
    <w:rPr>
      <w:rFonts w:ascii="Calibri" w:eastAsia="Calibri" w:hAnsi="Calibri" w:cs="Times New Roman"/>
      <w:color w:val="C19300"/>
      <w:sz w:val="20"/>
      <w:szCs w:val="20"/>
    </w:rPr>
    <w:tblPr>
      <w:tblStyleRowBandSize w:val="1"/>
      <w:tblStyleColBandSize w:val="1"/>
      <w:tblBorders>
        <w:top w:val="single" w:sz="4" w:space="0" w:color="FEDA69"/>
        <w:left w:val="single" w:sz="4" w:space="0" w:color="FEDA69"/>
        <w:bottom w:val="single" w:sz="4" w:space="0" w:color="FEDA69"/>
        <w:right w:val="single" w:sz="4" w:space="0" w:color="FEDA69"/>
        <w:insideH w:val="single" w:sz="4" w:space="0" w:color="FEDA69"/>
        <w:insideV w:val="single" w:sz="4" w:space="0" w:color="FEDA69"/>
      </w:tblBorders>
    </w:tblPr>
    <w:tblStylePr w:type="firstRow">
      <w:rPr>
        <w:b/>
        <w:bCs/>
      </w:rPr>
      <w:tblPr/>
      <w:tcPr>
        <w:tcBorders>
          <w:bottom w:val="single" w:sz="12" w:space="0" w:color="FEDA69"/>
        </w:tcBorders>
      </w:tcPr>
    </w:tblStylePr>
    <w:tblStylePr w:type="lastRow">
      <w:rPr>
        <w:b/>
        <w:bCs/>
      </w:rPr>
      <w:tblPr/>
      <w:tcPr>
        <w:tcBorders>
          <w:top w:val="double" w:sz="4" w:space="0" w:color="FEDA69"/>
        </w:tcBorders>
      </w:tcPr>
    </w:tblStylePr>
    <w:tblStylePr w:type="firstCol">
      <w:rPr>
        <w:b/>
        <w:bCs/>
      </w:rPr>
    </w:tblStylePr>
    <w:tblStylePr w:type="lastCol">
      <w:rPr>
        <w:b/>
        <w:bCs/>
      </w:rPr>
    </w:tblStylePr>
    <w:tblStylePr w:type="band1Vert">
      <w:tblPr/>
      <w:tcPr>
        <w:shd w:val="clear" w:color="auto" w:fill="FEF2CD"/>
      </w:tcPr>
    </w:tblStylePr>
    <w:tblStylePr w:type="band1Horz">
      <w:tblPr/>
      <w:tcPr>
        <w:shd w:val="clear" w:color="auto" w:fill="FEF2CD"/>
      </w:tcPr>
    </w:tblStylePr>
  </w:style>
  <w:style w:type="table" w:customStyle="1" w:styleId="GridTable6Colorful-Accent513">
    <w:name w:val="Grid Table 6 Colorful - Accent 513"/>
    <w:basedOn w:val="TableNormal"/>
    <w:uiPriority w:val="51"/>
    <w:rsid w:val="00797049"/>
    <w:pPr>
      <w:spacing w:after="0" w:line="264" w:lineRule="auto"/>
    </w:pPr>
    <w:rPr>
      <w:rFonts w:ascii="Calibri" w:eastAsia="Calibri" w:hAnsi="Calibri" w:cs="Times New Roman"/>
      <w:color w:val="474747"/>
      <w:sz w:val="20"/>
      <w:szCs w:val="20"/>
    </w:rPr>
    <w:tblPr>
      <w:tblStyleRowBandSize w:val="1"/>
      <w:tblStyleColBandSize w:val="1"/>
      <w:tblBorders>
        <w:top w:val="single" w:sz="4" w:space="0" w:color="9F9F9F"/>
        <w:left w:val="single" w:sz="4" w:space="0" w:color="9F9F9F"/>
        <w:bottom w:val="single" w:sz="4" w:space="0" w:color="9F9F9F"/>
        <w:right w:val="single" w:sz="4" w:space="0" w:color="9F9F9F"/>
        <w:insideH w:val="single" w:sz="4" w:space="0" w:color="9F9F9F"/>
        <w:insideV w:val="single" w:sz="4" w:space="0" w:color="9F9F9F"/>
      </w:tblBorders>
    </w:tblPr>
    <w:tblStylePr w:type="firstRow">
      <w:rPr>
        <w:b/>
        <w:bCs/>
      </w:rPr>
      <w:tblPr/>
      <w:tcPr>
        <w:tcBorders>
          <w:bottom w:val="single" w:sz="12" w:space="0" w:color="9F9F9F"/>
        </w:tcBorders>
      </w:tcPr>
    </w:tblStylePr>
    <w:tblStylePr w:type="lastRow">
      <w:rPr>
        <w:b/>
        <w:bCs/>
      </w:rPr>
      <w:tblPr/>
      <w:tcPr>
        <w:tcBorders>
          <w:top w:val="double" w:sz="4" w:space="0" w:color="9F9F9F"/>
        </w:tcBorders>
      </w:tcPr>
    </w:tblStylePr>
    <w:tblStylePr w:type="firstCol">
      <w:rPr>
        <w:b/>
        <w:bCs/>
      </w:rPr>
    </w:tblStylePr>
    <w:tblStylePr w:type="lastCol">
      <w:rPr>
        <w:b/>
        <w:bCs/>
      </w:rPr>
    </w:tblStylePr>
    <w:tblStylePr w:type="band1Vert">
      <w:tblPr/>
      <w:tcPr>
        <w:shd w:val="clear" w:color="auto" w:fill="DFDFDF"/>
      </w:tcPr>
    </w:tblStylePr>
    <w:tblStylePr w:type="band1Horz">
      <w:tblPr/>
      <w:tcPr>
        <w:shd w:val="clear" w:color="auto" w:fill="DFDFDF"/>
      </w:tcPr>
    </w:tblStylePr>
  </w:style>
  <w:style w:type="numbering" w:customStyle="1" w:styleId="NoList3">
    <w:name w:val="No List3"/>
    <w:next w:val="NoList"/>
    <w:uiPriority w:val="99"/>
    <w:semiHidden/>
    <w:unhideWhenUsed/>
    <w:rsid w:val="00797049"/>
  </w:style>
  <w:style w:type="table" w:customStyle="1" w:styleId="TableGrid3">
    <w:name w:val="Table Grid3"/>
    <w:basedOn w:val="TableNormal"/>
    <w:next w:val="TableGrid"/>
    <w:uiPriority w:val="39"/>
    <w:rsid w:val="00797049"/>
    <w:pPr>
      <w:spacing w:before="120" w:after="120" w:line="264" w:lineRule="auto"/>
      <w:ind w:left="115" w:right="115"/>
    </w:pPr>
    <w:rPr>
      <w:rFonts w:eastAsia="MS PGothic"/>
      <w:sz w:val="20"/>
      <w:szCs w:val="20"/>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
    <w:tcPr>
      <w:vAlign w:val="center"/>
    </w:tcPr>
    <w:tblStylePr w:type="firstRow">
      <w:pPr>
        <w:wordWrap/>
        <w:jc w:val="center"/>
      </w:pPr>
      <w:rPr>
        <w:b/>
        <w:i w:val="0"/>
        <w:sz w:val="22"/>
      </w:rPr>
    </w:tblStylePr>
    <w:tblStylePr w:type="lastRow">
      <w:rPr>
        <w:b/>
        <w:i w:val="0"/>
        <w:sz w:val="22"/>
      </w:rPr>
      <w:tblPr/>
      <w:tcPr>
        <w:tcBorders>
          <w:top w:val="double" w:sz="4" w:space="0" w:color="auto"/>
          <w:left w:val="single" w:sz="4" w:space="0" w:color="auto"/>
          <w:bottom w:val="single" w:sz="18" w:space="0" w:color="auto"/>
          <w:right w:val="single" w:sz="4" w:space="0" w:color="auto"/>
          <w:insideH w:val="nil"/>
          <w:insideV w:val="single" w:sz="4" w:space="0" w:color="auto"/>
          <w:tl2br w:val="nil"/>
          <w:tr2bl w:val="nil"/>
        </w:tcBorders>
      </w:tcPr>
    </w:tblStylePr>
  </w:style>
  <w:style w:type="table" w:customStyle="1" w:styleId="FinancialTable1">
    <w:name w:val="Financial Table1"/>
    <w:basedOn w:val="TableNormal"/>
    <w:uiPriority w:val="99"/>
    <w:rsid w:val="00797049"/>
    <w:pPr>
      <w:spacing w:before="60" w:after="60" w:line="264" w:lineRule="auto"/>
    </w:pPr>
    <w:rPr>
      <w:rFonts w:eastAsia="MS PGothic"/>
      <w:sz w:val="20"/>
      <w:szCs w:val="20"/>
      <w:lang w:eastAsia="ja-JP"/>
    </w:rPr>
    <w:tblPr>
      <w:tblBorders>
        <w:top w:val="single" w:sz="8" w:space="0" w:color="000000"/>
        <w:left w:val="single" w:sz="8" w:space="0" w:color="000000"/>
        <w:bottom w:val="single" w:sz="24" w:space="0" w:color="000000"/>
        <w:right w:val="single" w:sz="8" w:space="0" w:color="000000"/>
        <w:insideH w:val="single" w:sz="8" w:space="0" w:color="000000"/>
        <w:insideV w:val="single" w:sz="8" w:space="0" w:color="000000"/>
      </w:tblBorders>
      <w:tblCellMar>
        <w:left w:w="72" w:type="dxa"/>
        <w:right w:w="72" w:type="dxa"/>
      </w:tblCellMar>
    </w:tblPr>
    <w:tblStylePr w:type="firstRow">
      <w:pPr>
        <w:wordWrap/>
        <w:spacing w:beforeLines="0" w:before="40" w:beforeAutospacing="0" w:afterLines="0" w:after="40" w:afterAutospacing="0"/>
        <w:jc w:val="left"/>
      </w:pPr>
      <w:rPr>
        <w:rFonts w:ascii="Arial" w:hAnsi="Arial"/>
        <w:b/>
        <w:i w:val="0"/>
        <w:caps w:val="0"/>
        <w:smallCaps w:val="0"/>
        <w:color w:val="000000"/>
        <w:sz w:val="22"/>
      </w:rPr>
    </w:tblStylePr>
    <w:tblStylePr w:type="firstCol">
      <w:rPr>
        <w:b/>
        <w:color w:val="000000"/>
      </w:rPr>
    </w:tblStylePr>
  </w:style>
  <w:style w:type="table" w:customStyle="1" w:styleId="GridTable6Colorful-Accent53">
    <w:name w:val="Grid Table 6 Colorful - Accent 53"/>
    <w:basedOn w:val="TableNormal"/>
    <w:next w:val="GridTable6Colorful-Accent54"/>
    <w:uiPriority w:val="51"/>
    <w:rsid w:val="00797049"/>
    <w:pPr>
      <w:spacing w:after="0" w:line="264" w:lineRule="auto"/>
    </w:pPr>
    <w:rPr>
      <w:rFonts w:ascii="Calibri" w:eastAsia="Calibri" w:hAnsi="Calibri" w:cs="Times New Roman"/>
      <w:color w:val="474747"/>
      <w:sz w:val="20"/>
      <w:szCs w:val="20"/>
    </w:rPr>
    <w:tblPr>
      <w:tblStyleRowBandSize w:val="1"/>
      <w:tblStyleColBandSize w:val="1"/>
      <w:tblBorders>
        <w:top w:val="single" w:sz="4" w:space="0" w:color="9F9F9F"/>
        <w:left w:val="single" w:sz="4" w:space="0" w:color="9F9F9F"/>
        <w:bottom w:val="single" w:sz="4" w:space="0" w:color="9F9F9F"/>
        <w:right w:val="single" w:sz="4" w:space="0" w:color="9F9F9F"/>
        <w:insideH w:val="single" w:sz="4" w:space="0" w:color="9F9F9F"/>
        <w:insideV w:val="single" w:sz="4" w:space="0" w:color="9F9F9F"/>
      </w:tblBorders>
    </w:tblPr>
    <w:tblStylePr w:type="firstRow">
      <w:rPr>
        <w:b/>
        <w:bCs/>
      </w:rPr>
      <w:tblPr/>
      <w:tcPr>
        <w:tcBorders>
          <w:bottom w:val="single" w:sz="12" w:space="0" w:color="9F9F9F"/>
        </w:tcBorders>
      </w:tcPr>
    </w:tblStylePr>
    <w:tblStylePr w:type="lastRow">
      <w:rPr>
        <w:b/>
        <w:bCs/>
      </w:rPr>
      <w:tblPr/>
      <w:tcPr>
        <w:tcBorders>
          <w:top w:val="double" w:sz="4" w:space="0" w:color="9F9F9F"/>
        </w:tcBorders>
      </w:tcPr>
    </w:tblStylePr>
    <w:tblStylePr w:type="firstCol">
      <w:rPr>
        <w:b/>
        <w:bCs/>
      </w:rPr>
    </w:tblStylePr>
    <w:tblStylePr w:type="lastCol">
      <w:rPr>
        <w:b/>
        <w:bCs/>
      </w:rPr>
    </w:tblStylePr>
    <w:tblStylePr w:type="band1Vert">
      <w:tblPr/>
      <w:tcPr>
        <w:shd w:val="clear" w:color="auto" w:fill="DFDFDF"/>
      </w:tcPr>
    </w:tblStylePr>
    <w:tblStylePr w:type="band1Horz">
      <w:tblPr/>
      <w:tcPr>
        <w:shd w:val="clear" w:color="auto" w:fill="DFDFDF"/>
      </w:tcPr>
    </w:tblStylePr>
  </w:style>
  <w:style w:type="table" w:customStyle="1" w:styleId="LightShading-Accent125">
    <w:name w:val="Light Shading - Accent 125"/>
    <w:basedOn w:val="TableNormal"/>
    <w:uiPriority w:val="60"/>
    <w:rsid w:val="00797049"/>
    <w:pPr>
      <w:spacing w:after="0" w:line="264" w:lineRule="auto"/>
    </w:pPr>
    <w:rPr>
      <w:rFonts w:ascii="Cambria" w:eastAsia="Calibri" w:hAnsi="Cambria" w:cs="Times New Roman"/>
      <w:color w:val="A8422A"/>
      <w:sz w:val="20"/>
      <w:szCs w:val="20"/>
      <w:lang w:val="en-GB" w:eastAsia="sr-Cyrl-CS"/>
    </w:rPr>
    <w:tblPr>
      <w:tblStyleRowBandSize w:val="1"/>
      <w:tblStyleColBandSize w:val="1"/>
      <w:tblBorders>
        <w:top w:val="single" w:sz="8" w:space="0" w:color="D16349"/>
        <w:bottom w:val="single" w:sz="8" w:space="0" w:color="D16349"/>
      </w:tblBorders>
    </w:tblPr>
    <w:tblStylePr w:type="fir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la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D8D2"/>
      </w:tcPr>
    </w:tblStylePr>
    <w:tblStylePr w:type="band1Horz">
      <w:tblPr/>
      <w:tcPr>
        <w:tcBorders>
          <w:left w:val="nil"/>
          <w:right w:val="nil"/>
          <w:insideH w:val="nil"/>
          <w:insideV w:val="nil"/>
        </w:tcBorders>
        <w:shd w:val="clear" w:color="auto" w:fill="F3D8D2"/>
      </w:tcPr>
    </w:tblStylePr>
  </w:style>
  <w:style w:type="table" w:customStyle="1" w:styleId="GridTable6Colorful-Accent514">
    <w:name w:val="Grid Table 6 Colorful - Accent 514"/>
    <w:basedOn w:val="TableNormal"/>
    <w:uiPriority w:val="51"/>
    <w:rsid w:val="00797049"/>
    <w:pPr>
      <w:spacing w:after="0" w:line="264" w:lineRule="auto"/>
    </w:pPr>
    <w:rPr>
      <w:rFonts w:ascii="Calibri" w:eastAsia="Calibri" w:hAnsi="Calibri" w:cs="Times New Roman"/>
      <w:color w:val="387AAA"/>
      <w:sz w:val="20"/>
      <w:szCs w:val="20"/>
    </w:rPr>
    <w:tblPr>
      <w:tblStyleRowBandSize w:val="1"/>
      <w:tblStyleColBandSize w:val="1"/>
      <w:tblBorders>
        <w:top w:val="single" w:sz="4" w:space="0" w:color="A1C5E0"/>
        <w:left w:val="single" w:sz="4" w:space="0" w:color="A1C5E0"/>
        <w:bottom w:val="single" w:sz="4" w:space="0" w:color="A1C5E0"/>
        <w:right w:val="single" w:sz="4" w:space="0" w:color="A1C5E0"/>
        <w:insideH w:val="single" w:sz="4" w:space="0" w:color="A1C5E0"/>
        <w:insideV w:val="single" w:sz="4" w:space="0" w:color="A1C5E0"/>
      </w:tblBorders>
    </w:tblPr>
    <w:tblStylePr w:type="firstRow">
      <w:rPr>
        <w:b/>
        <w:bCs/>
      </w:rPr>
      <w:tblPr/>
      <w:tcPr>
        <w:tcBorders>
          <w:bottom w:val="single" w:sz="12" w:space="0" w:color="A1C5E0"/>
        </w:tcBorders>
      </w:tcPr>
    </w:tblStylePr>
    <w:tblStylePr w:type="lastRow">
      <w:rPr>
        <w:b/>
        <w:bCs/>
      </w:rPr>
      <w:tblPr/>
      <w:tcPr>
        <w:tcBorders>
          <w:top w:val="double" w:sz="4" w:space="0" w:color="A1C5E0"/>
        </w:tcBorders>
      </w:tcPr>
    </w:tblStylePr>
    <w:tblStylePr w:type="firstCol">
      <w:rPr>
        <w:b/>
        <w:bCs/>
      </w:rPr>
    </w:tblStylePr>
    <w:tblStylePr w:type="lastCol">
      <w:rPr>
        <w:b/>
        <w:bCs/>
      </w:rPr>
    </w:tblStylePr>
    <w:tblStylePr w:type="band1Vert">
      <w:tblPr/>
      <w:tcPr>
        <w:shd w:val="clear" w:color="auto" w:fill="DFEBF4"/>
      </w:tcPr>
    </w:tblStylePr>
    <w:tblStylePr w:type="band1Horz">
      <w:tblPr/>
      <w:tcPr>
        <w:shd w:val="clear" w:color="auto" w:fill="DFEBF4"/>
      </w:tcPr>
    </w:tblStylePr>
  </w:style>
  <w:style w:type="table" w:customStyle="1" w:styleId="LightShading-Accent1211">
    <w:name w:val="Light Shading - Accent 1211"/>
    <w:basedOn w:val="TableNormal"/>
    <w:uiPriority w:val="60"/>
    <w:rsid w:val="00797049"/>
    <w:pPr>
      <w:spacing w:after="0" w:line="264" w:lineRule="auto"/>
    </w:pPr>
    <w:rPr>
      <w:rFonts w:ascii="Cambria" w:eastAsia="Calibri" w:hAnsi="Cambria" w:cs="Times New Roman"/>
      <w:color w:val="A8422A"/>
      <w:sz w:val="20"/>
      <w:szCs w:val="20"/>
      <w:lang w:val="en-GB" w:eastAsia="sr-Cyrl-CS"/>
    </w:rPr>
    <w:tblPr>
      <w:tblStyleRowBandSize w:val="1"/>
      <w:tblStyleColBandSize w:val="1"/>
      <w:tblBorders>
        <w:top w:val="single" w:sz="8" w:space="0" w:color="D16349"/>
        <w:bottom w:val="single" w:sz="8" w:space="0" w:color="D16349"/>
      </w:tblBorders>
    </w:tblPr>
    <w:tblStylePr w:type="fir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la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D8D2"/>
      </w:tcPr>
    </w:tblStylePr>
    <w:tblStylePr w:type="band1Horz">
      <w:tblPr/>
      <w:tcPr>
        <w:tcBorders>
          <w:left w:val="nil"/>
          <w:right w:val="nil"/>
          <w:insideH w:val="nil"/>
          <w:insideV w:val="nil"/>
        </w:tcBorders>
        <w:shd w:val="clear" w:color="auto" w:fill="F3D8D2"/>
      </w:tcPr>
    </w:tblStylePr>
  </w:style>
  <w:style w:type="table" w:customStyle="1" w:styleId="GridTable6Colorful-Accent5111">
    <w:name w:val="Grid Table 6 Colorful - Accent 5111"/>
    <w:basedOn w:val="TableNormal"/>
    <w:uiPriority w:val="51"/>
    <w:rsid w:val="00797049"/>
    <w:pPr>
      <w:spacing w:after="0" w:line="264" w:lineRule="auto"/>
    </w:pPr>
    <w:rPr>
      <w:rFonts w:ascii="Calibri" w:eastAsia="Calibri" w:hAnsi="Calibri" w:cs="Times New Roman"/>
      <w:color w:val="387AAA"/>
      <w:sz w:val="20"/>
      <w:szCs w:val="20"/>
    </w:rPr>
    <w:tblPr>
      <w:tblStyleRowBandSize w:val="1"/>
      <w:tblStyleColBandSize w:val="1"/>
      <w:tblBorders>
        <w:top w:val="single" w:sz="4" w:space="0" w:color="A1C5E0"/>
        <w:left w:val="single" w:sz="4" w:space="0" w:color="A1C5E0"/>
        <w:bottom w:val="single" w:sz="4" w:space="0" w:color="A1C5E0"/>
        <w:right w:val="single" w:sz="4" w:space="0" w:color="A1C5E0"/>
        <w:insideH w:val="single" w:sz="4" w:space="0" w:color="A1C5E0"/>
        <w:insideV w:val="single" w:sz="4" w:space="0" w:color="A1C5E0"/>
      </w:tblBorders>
    </w:tblPr>
    <w:tblStylePr w:type="firstRow">
      <w:rPr>
        <w:b/>
        <w:bCs/>
      </w:rPr>
      <w:tblPr/>
      <w:tcPr>
        <w:tcBorders>
          <w:bottom w:val="single" w:sz="12" w:space="0" w:color="A1C5E0"/>
        </w:tcBorders>
      </w:tcPr>
    </w:tblStylePr>
    <w:tblStylePr w:type="lastRow">
      <w:rPr>
        <w:b/>
        <w:bCs/>
      </w:rPr>
      <w:tblPr/>
      <w:tcPr>
        <w:tcBorders>
          <w:top w:val="double" w:sz="4" w:space="0" w:color="A1C5E0"/>
        </w:tcBorders>
      </w:tcPr>
    </w:tblStylePr>
    <w:tblStylePr w:type="firstCol">
      <w:rPr>
        <w:b/>
        <w:bCs/>
      </w:rPr>
    </w:tblStylePr>
    <w:tblStylePr w:type="lastCol">
      <w:rPr>
        <w:b/>
        <w:bCs/>
      </w:rPr>
    </w:tblStylePr>
    <w:tblStylePr w:type="band1Vert">
      <w:tblPr/>
      <w:tcPr>
        <w:shd w:val="clear" w:color="auto" w:fill="DFEBF4"/>
      </w:tcPr>
    </w:tblStylePr>
    <w:tblStylePr w:type="band1Horz">
      <w:tblPr/>
      <w:tcPr>
        <w:shd w:val="clear" w:color="auto" w:fill="DFEBF4"/>
      </w:tcPr>
    </w:tblStylePr>
  </w:style>
  <w:style w:type="table" w:customStyle="1" w:styleId="GridTable6Colorful-Accent12">
    <w:name w:val="Grid Table 6 Colorful - Accent 12"/>
    <w:basedOn w:val="TableNormal"/>
    <w:next w:val="GridTable6Colorful-Accent13"/>
    <w:uiPriority w:val="51"/>
    <w:rsid w:val="00797049"/>
    <w:pPr>
      <w:spacing w:after="0" w:line="264" w:lineRule="auto"/>
    </w:pPr>
    <w:rPr>
      <w:rFonts w:eastAsia="MS PGothic"/>
      <w:color w:val="BF2B0E"/>
      <w:sz w:val="20"/>
      <w:szCs w:val="20"/>
      <w:lang w:eastAsia="ja-JP"/>
    </w:rPr>
    <w:tblPr>
      <w:tblStyleRowBandSize w:val="1"/>
      <w:tblStyleColBandSize w:val="1"/>
      <w:tblBorders>
        <w:top w:val="single" w:sz="4" w:space="0" w:color="F58F7A"/>
        <w:left w:val="single" w:sz="4" w:space="0" w:color="F58F7A"/>
        <w:bottom w:val="single" w:sz="4" w:space="0" w:color="F58F7A"/>
        <w:right w:val="single" w:sz="4" w:space="0" w:color="F58F7A"/>
        <w:insideH w:val="single" w:sz="4" w:space="0" w:color="F58F7A"/>
        <w:insideV w:val="single" w:sz="4" w:space="0" w:color="F58F7A"/>
      </w:tblBorders>
    </w:tblPr>
    <w:tblStylePr w:type="firstRow">
      <w:rPr>
        <w:b/>
        <w:bCs/>
      </w:rPr>
      <w:tblPr/>
      <w:tcPr>
        <w:tcBorders>
          <w:bottom w:val="single" w:sz="12" w:space="0" w:color="F58F7A"/>
        </w:tcBorders>
      </w:tcPr>
    </w:tblStylePr>
    <w:tblStylePr w:type="lastRow">
      <w:rPr>
        <w:b/>
        <w:bCs/>
      </w:rPr>
      <w:tblPr/>
      <w:tcPr>
        <w:tcBorders>
          <w:top w:val="double" w:sz="4" w:space="0" w:color="F58F7A"/>
        </w:tcBorders>
      </w:tcPr>
    </w:tblStylePr>
    <w:tblStylePr w:type="firstCol">
      <w:rPr>
        <w:b/>
        <w:bCs/>
      </w:rPr>
    </w:tblStylePr>
    <w:tblStylePr w:type="lastCol">
      <w:rPr>
        <w:b/>
        <w:bCs/>
      </w:rPr>
    </w:tblStylePr>
    <w:tblStylePr w:type="band1Vert">
      <w:tblPr/>
      <w:tcPr>
        <w:shd w:val="clear" w:color="auto" w:fill="FBD9D2"/>
      </w:tcPr>
    </w:tblStylePr>
    <w:tblStylePr w:type="band1Horz">
      <w:tblPr/>
      <w:tcPr>
        <w:shd w:val="clear" w:color="auto" w:fill="FBD9D2"/>
      </w:tcPr>
    </w:tblStylePr>
  </w:style>
  <w:style w:type="table" w:customStyle="1" w:styleId="LightShading-Accent1221">
    <w:name w:val="Light Shading - Accent 1221"/>
    <w:basedOn w:val="TableNormal"/>
    <w:uiPriority w:val="60"/>
    <w:rsid w:val="00797049"/>
    <w:pPr>
      <w:spacing w:after="0" w:line="240" w:lineRule="auto"/>
    </w:pPr>
    <w:rPr>
      <w:rFonts w:ascii="Cambria" w:eastAsia="Calibri" w:hAnsi="Cambria" w:cs="Times New Roman"/>
      <w:color w:val="A8422A"/>
      <w:sz w:val="20"/>
      <w:szCs w:val="20"/>
      <w:lang w:val="en-GB" w:eastAsia="sr-Cyrl-CS"/>
    </w:rPr>
    <w:tblPr>
      <w:tblStyleRowBandSize w:val="1"/>
      <w:tblStyleColBandSize w:val="1"/>
      <w:tblBorders>
        <w:top w:val="single" w:sz="8" w:space="0" w:color="D16349"/>
        <w:bottom w:val="single" w:sz="8" w:space="0" w:color="D16349"/>
      </w:tblBorders>
    </w:tblPr>
    <w:tblStylePr w:type="fir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la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D8D2"/>
      </w:tcPr>
    </w:tblStylePr>
    <w:tblStylePr w:type="band1Horz">
      <w:tblPr/>
      <w:tcPr>
        <w:tcBorders>
          <w:left w:val="nil"/>
          <w:right w:val="nil"/>
          <w:insideH w:val="nil"/>
          <w:insideV w:val="nil"/>
        </w:tcBorders>
        <w:shd w:val="clear" w:color="auto" w:fill="F3D8D2"/>
      </w:tcPr>
    </w:tblStylePr>
  </w:style>
  <w:style w:type="table" w:customStyle="1" w:styleId="GridTable6Colorful-Accent521">
    <w:name w:val="Grid Table 6 Colorful - Accent 521"/>
    <w:basedOn w:val="TableNormal"/>
    <w:next w:val="GridTable6Colorful-Accent54"/>
    <w:uiPriority w:val="51"/>
    <w:rsid w:val="00797049"/>
    <w:pPr>
      <w:spacing w:after="0" w:line="240" w:lineRule="auto"/>
    </w:pPr>
    <w:rPr>
      <w:rFonts w:ascii="Calibri" w:eastAsia="Calibri" w:hAnsi="Calibri" w:cs="Times New Roman"/>
      <w:color w:val="C19300"/>
      <w:sz w:val="20"/>
      <w:szCs w:val="20"/>
    </w:rPr>
    <w:tblPr>
      <w:tblStyleRowBandSize w:val="1"/>
      <w:tblStyleColBandSize w:val="1"/>
      <w:tblBorders>
        <w:top w:val="single" w:sz="4" w:space="0" w:color="FEDA69"/>
        <w:left w:val="single" w:sz="4" w:space="0" w:color="FEDA69"/>
        <w:bottom w:val="single" w:sz="4" w:space="0" w:color="FEDA69"/>
        <w:right w:val="single" w:sz="4" w:space="0" w:color="FEDA69"/>
        <w:insideH w:val="single" w:sz="4" w:space="0" w:color="FEDA69"/>
        <w:insideV w:val="single" w:sz="4" w:space="0" w:color="FEDA69"/>
      </w:tblBorders>
    </w:tblPr>
    <w:tblStylePr w:type="firstRow">
      <w:rPr>
        <w:b/>
        <w:bCs/>
      </w:rPr>
      <w:tblPr/>
      <w:tcPr>
        <w:tcBorders>
          <w:bottom w:val="single" w:sz="12" w:space="0" w:color="FEDA69"/>
        </w:tcBorders>
      </w:tcPr>
    </w:tblStylePr>
    <w:tblStylePr w:type="lastRow">
      <w:rPr>
        <w:b/>
        <w:bCs/>
      </w:rPr>
      <w:tblPr/>
      <w:tcPr>
        <w:tcBorders>
          <w:top w:val="double" w:sz="4" w:space="0" w:color="FEDA69"/>
        </w:tcBorders>
      </w:tcPr>
    </w:tblStylePr>
    <w:tblStylePr w:type="firstCol">
      <w:rPr>
        <w:b/>
        <w:bCs/>
      </w:rPr>
    </w:tblStylePr>
    <w:tblStylePr w:type="lastCol">
      <w:rPr>
        <w:b/>
        <w:bCs/>
      </w:rPr>
    </w:tblStylePr>
    <w:tblStylePr w:type="band1Vert">
      <w:tblPr/>
      <w:tcPr>
        <w:shd w:val="clear" w:color="auto" w:fill="FEF2CD"/>
      </w:tcPr>
    </w:tblStylePr>
    <w:tblStylePr w:type="band1Horz">
      <w:tblPr/>
      <w:tcPr>
        <w:shd w:val="clear" w:color="auto" w:fill="FEF2CD"/>
      </w:tcPr>
    </w:tblStylePr>
  </w:style>
  <w:style w:type="table" w:customStyle="1" w:styleId="tabele34">
    <w:name w:val="tabele 34"/>
    <w:basedOn w:val="TableNormal"/>
    <w:next w:val="LightList-Accent3"/>
    <w:uiPriority w:val="61"/>
    <w:rsid w:val="00797049"/>
    <w:pPr>
      <w:spacing w:after="0" w:line="240" w:lineRule="auto"/>
    </w:pPr>
    <w:rPr>
      <w:rFonts w:ascii="Cambria Math" w:eastAsia="Calibri" w:hAnsi="Cambria Math" w:cs="Times New Roman"/>
      <w:sz w:val="18"/>
      <w:lang w:val="sr-Cyrl-CS"/>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LightShading-Accent1110">
    <w:name w:val="Light Shading - Accent 1110"/>
    <w:basedOn w:val="TableNormal"/>
    <w:uiPriority w:val="60"/>
    <w:rsid w:val="00797049"/>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35">
    <w:name w:val="Light Shading - Accent 35"/>
    <w:basedOn w:val="TableNormal"/>
    <w:next w:val="LightShading-Accent3"/>
    <w:uiPriority w:val="60"/>
    <w:rsid w:val="00797049"/>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List-Accent55">
    <w:name w:val="Light List - Accent 55"/>
    <w:basedOn w:val="TableNormal"/>
    <w:next w:val="LightList-Accent5"/>
    <w:uiPriority w:val="61"/>
    <w:rsid w:val="00797049"/>
    <w:pPr>
      <w:spacing w:after="0" w:line="240" w:lineRule="auto"/>
    </w:pPr>
    <w:rPr>
      <w:rFonts w:ascii="Calibri" w:eastAsia="Calibri" w:hAnsi="Calibri" w:cs="Times New Roman"/>
      <w:sz w:val="20"/>
      <w:szCs w:val="20"/>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Shading-Accent314">
    <w:name w:val="Light Shading - Accent 314"/>
    <w:basedOn w:val="TableNormal"/>
    <w:next w:val="LightShading-Accent3"/>
    <w:uiPriority w:val="60"/>
    <w:rsid w:val="00797049"/>
    <w:pPr>
      <w:spacing w:after="0" w:line="240" w:lineRule="auto"/>
    </w:pPr>
    <w:rPr>
      <w:rFonts w:ascii="Constantia" w:eastAsia="Constantia" w:hAnsi="Constantia" w:cs="Times New Roman"/>
      <w:color w:val="8CADAE"/>
      <w:lang w:val="sr-Cyrl-CS"/>
    </w:rPr>
    <w:tblPr>
      <w:tblStyleRowBandSize w:val="1"/>
      <w:tblStyleColBandSize w:val="1"/>
      <w:tblBorders>
        <w:top w:val="single" w:sz="8" w:space="0" w:color="8CADAE"/>
        <w:bottom w:val="single" w:sz="8" w:space="0" w:color="8CADAE"/>
      </w:tblBorders>
    </w:tblPr>
    <w:tblStylePr w:type="fir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la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2EAEB"/>
      </w:tcPr>
    </w:tblStylePr>
    <w:tblStylePr w:type="band1Horz">
      <w:tblPr/>
      <w:tcPr>
        <w:tcBorders>
          <w:left w:val="nil"/>
          <w:right w:val="nil"/>
          <w:insideH w:val="nil"/>
          <w:insideV w:val="nil"/>
        </w:tcBorders>
        <w:shd w:val="clear" w:color="auto" w:fill="E2EAEB"/>
      </w:tcPr>
    </w:tblStylePr>
  </w:style>
  <w:style w:type="table" w:customStyle="1" w:styleId="LightList-Accent315">
    <w:name w:val="Light List - Accent 315"/>
    <w:basedOn w:val="TableNormal"/>
    <w:next w:val="LightList-Accent3"/>
    <w:uiPriority w:val="61"/>
    <w:rsid w:val="00797049"/>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TableGrid11">
    <w:name w:val="Table Grid11"/>
    <w:basedOn w:val="TableNormal"/>
    <w:next w:val="TableGrid"/>
    <w:uiPriority w:val="59"/>
    <w:rsid w:val="00797049"/>
    <w:pPr>
      <w:spacing w:after="0" w:line="240" w:lineRule="auto"/>
    </w:pPr>
    <w:rPr>
      <w:rFonts w:ascii="Constantia" w:eastAsia="Constantia" w:hAnsi="Constantia" w:cs="Times New Roman"/>
      <w:lang w:val="sr-Cyrl-C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ghtList-Accent514">
    <w:name w:val="Light List - Accent 514"/>
    <w:basedOn w:val="TableNormal"/>
    <w:next w:val="LightList-Accent5"/>
    <w:uiPriority w:val="61"/>
    <w:rsid w:val="00797049"/>
    <w:pPr>
      <w:spacing w:after="0" w:line="240" w:lineRule="auto"/>
    </w:pPr>
    <w:rPr>
      <w:rFonts w:ascii="Times New Roman" w:eastAsia="Constantia" w:hAnsi="Times New Roman" w:cs="Times New Roman"/>
      <w:lang w:val="sr-Cyrl-CS"/>
    </w:rPr>
    <w:tblPr>
      <w:tblStyleRowBandSize w:val="1"/>
      <w:tblStyleColBandSize w:val="1"/>
      <w:tblBorders>
        <w:top w:val="single" w:sz="8" w:space="0" w:color="8FB08C"/>
        <w:left w:val="single" w:sz="8" w:space="0" w:color="8FB08C"/>
        <w:bottom w:val="single" w:sz="8" w:space="0" w:color="8FB08C"/>
        <w:right w:val="single" w:sz="8" w:space="0" w:color="8FB08C"/>
      </w:tblBorders>
    </w:tblPr>
    <w:tblStylePr w:type="firstRow">
      <w:pPr>
        <w:spacing w:before="0" w:after="0" w:line="240" w:lineRule="auto"/>
      </w:pPr>
      <w:rPr>
        <w:b/>
        <w:bCs/>
        <w:color w:val="FFFFFF"/>
      </w:rPr>
      <w:tblPr/>
      <w:tcPr>
        <w:shd w:val="clear" w:color="auto" w:fill="8FB08C"/>
      </w:tcPr>
    </w:tblStylePr>
    <w:tblStylePr w:type="lastRow">
      <w:pPr>
        <w:spacing w:before="0" w:after="0" w:line="240" w:lineRule="auto"/>
      </w:pPr>
      <w:rPr>
        <w:b/>
        <w:bCs/>
      </w:rPr>
      <w:tblPr/>
      <w:tcPr>
        <w:tcBorders>
          <w:top w:val="double" w:sz="6" w:space="0" w:color="8FB08C"/>
          <w:left w:val="single" w:sz="8" w:space="0" w:color="8FB08C"/>
          <w:bottom w:val="single" w:sz="8" w:space="0" w:color="8FB08C"/>
          <w:right w:val="single" w:sz="8" w:space="0" w:color="8FB08C"/>
        </w:tcBorders>
      </w:tcPr>
    </w:tblStylePr>
    <w:tblStylePr w:type="firstCol">
      <w:rPr>
        <w:b/>
        <w:bCs/>
      </w:rPr>
    </w:tblStylePr>
    <w:tblStylePr w:type="lastCol">
      <w:rPr>
        <w:b/>
        <w:bCs/>
      </w:rPr>
    </w:tblStylePr>
    <w:tblStylePr w:type="band1Vert">
      <w:tblPr/>
      <w:tcPr>
        <w:tcBorders>
          <w:top w:val="single" w:sz="8" w:space="0" w:color="8FB08C"/>
          <w:left w:val="single" w:sz="8" w:space="0" w:color="8FB08C"/>
          <w:bottom w:val="single" w:sz="8" w:space="0" w:color="8FB08C"/>
          <w:right w:val="single" w:sz="8" w:space="0" w:color="8FB08C"/>
        </w:tcBorders>
      </w:tcPr>
    </w:tblStylePr>
    <w:tblStylePr w:type="band1Horz">
      <w:tblPr/>
      <w:tcPr>
        <w:tcBorders>
          <w:top w:val="single" w:sz="8" w:space="0" w:color="8FB08C"/>
          <w:left w:val="single" w:sz="8" w:space="0" w:color="8FB08C"/>
          <w:bottom w:val="single" w:sz="8" w:space="0" w:color="8FB08C"/>
          <w:right w:val="single" w:sz="8" w:space="0" w:color="8FB08C"/>
        </w:tcBorders>
      </w:tcPr>
    </w:tblStylePr>
  </w:style>
  <w:style w:type="table" w:customStyle="1" w:styleId="MediumList1-Accent511">
    <w:name w:val="Medium List 1 - Accent 511"/>
    <w:basedOn w:val="TableNormal"/>
    <w:next w:val="MediumList1-Accent5"/>
    <w:uiPriority w:val="65"/>
    <w:rsid w:val="00797049"/>
    <w:pPr>
      <w:spacing w:after="0" w:line="240" w:lineRule="auto"/>
    </w:pPr>
    <w:rPr>
      <w:rFonts w:ascii="Constantia" w:eastAsia="Constantia" w:hAnsi="Constantia" w:cs="Times New Roman"/>
      <w:color w:val="000000"/>
      <w:lang w:val="sr-Cyrl-CS"/>
    </w:rPr>
    <w:tblPr>
      <w:tblStyleRowBandSize w:val="1"/>
      <w:tblStyleColBandSize w:val="1"/>
      <w:tblBorders>
        <w:top w:val="single" w:sz="8" w:space="0" w:color="8FB08C"/>
        <w:bottom w:val="single" w:sz="8" w:space="0" w:color="8FB08C"/>
      </w:tblBorders>
    </w:tblPr>
    <w:tblStylePr w:type="firstRow">
      <w:rPr>
        <w:rFonts w:ascii="Verdana" w:eastAsia="Times New Roman" w:hAnsi="Verdana" w:cs="Times New Roman"/>
      </w:rPr>
      <w:tblPr/>
      <w:tcPr>
        <w:tcBorders>
          <w:top w:val="nil"/>
          <w:bottom w:val="single" w:sz="8" w:space="0" w:color="8FB08C"/>
        </w:tcBorders>
      </w:tcPr>
    </w:tblStylePr>
    <w:tblStylePr w:type="lastRow">
      <w:rPr>
        <w:b/>
        <w:bCs/>
        <w:color w:val="646B86"/>
      </w:rPr>
      <w:tblPr/>
      <w:tcPr>
        <w:tcBorders>
          <w:top w:val="single" w:sz="8" w:space="0" w:color="8FB08C"/>
          <w:bottom w:val="single" w:sz="8" w:space="0" w:color="8FB08C"/>
        </w:tcBorders>
      </w:tcPr>
    </w:tblStylePr>
    <w:tblStylePr w:type="firstCol">
      <w:rPr>
        <w:b/>
        <w:bCs/>
      </w:rPr>
    </w:tblStylePr>
    <w:tblStylePr w:type="lastCol">
      <w:rPr>
        <w:b/>
        <w:bCs/>
      </w:rPr>
      <w:tblPr/>
      <w:tcPr>
        <w:tcBorders>
          <w:top w:val="single" w:sz="8" w:space="0" w:color="8FB08C"/>
          <w:bottom w:val="single" w:sz="8" w:space="0" w:color="8FB08C"/>
        </w:tcBorders>
      </w:tcPr>
    </w:tblStylePr>
    <w:tblStylePr w:type="band1Vert">
      <w:tblPr/>
      <w:tcPr>
        <w:shd w:val="clear" w:color="auto" w:fill="E3EBE2"/>
      </w:tcPr>
    </w:tblStylePr>
    <w:tblStylePr w:type="band1Horz">
      <w:tblPr/>
      <w:tcPr>
        <w:shd w:val="clear" w:color="auto" w:fill="E3EBE2"/>
      </w:tcPr>
    </w:tblStylePr>
  </w:style>
  <w:style w:type="table" w:customStyle="1" w:styleId="MediumList1-Accent52">
    <w:name w:val="Medium List 1 - Accent 52"/>
    <w:basedOn w:val="TableNormal"/>
    <w:next w:val="MediumList1-Accent5"/>
    <w:uiPriority w:val="65"/>
    <w:rsid w:val="00797049"/>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4BACC6"/>
        <w:bottom w:val="single" w:sz="8" w:space="0" w:color="4BACC6"/>
      </w:tblBorders>
    </w:tblPr>
    <w:tblStylePr w:type="firstRow">
      <w:rPr>
        <w:rFonts w:ascii="Times New Roman" w:eastAsia="Times New Roman" w:hAnsi="Times New Roman" w:cs="Times New Roman"/>
      </w:rPr>
      <w:tblPr/>
      <w:tcPr>
        <w:tcBorders>
          <w:top w:val="nil"/>
          <w:bottom w:val="single" w:sz="8" w:space="0" w:color="4BACC6"/>
        </w:tcBorders>
      </w:tcPr>
    </w:tblStylePr>
    <w:tblStylePr w:type="lastRow">
      <w:rPr>
        <w:b/>
        <w:bCs/>
        <w:color w:val="1F497D"/>
      </w:rPr>
      <w:tblPr/>
      <w:tcPr>
        <w:tcBorders>
          <w:top w:val="single" w:sz="8" w:space="0" w:color="4BACC6"/>
          <w:bottom w:val="single" w:sz="8" w:space="0" w:color="4BACC6"/>
        </w:tcBorders>
      </w:tcPr>
    </w:tblStylePr>
    <w:tblStylePr w:type="firstCol">
      <w:rPr>
        <w:b/>
        <w:bCs/>
      </w:rPr>
    </w:tblStylePr>
    <w:tblStylePr w:type="lastCol">
      <w:rPr>
        <w:b/>
        <w:bCs/>
      </w:rPr>
      <w:tblPr/>
      <w:tcPr>
        <w:tcBorders>
          <w:top w:val="single" w:sz="8" w:space="0" w:color="4BACC6"/>
          <w:bottom w:val="single" w:sz="8" w:space="0" w:color="4BACC6"/>
        </w:tcBorders>
      </w:tcPr>
    </w:tblStylePr>
    <w:tblStylePr w:type="band1Vert">
      <w:tblPr/>
      <w:tcPr>
        <w:shd w:val="clear" w:color="auto" w:fill="D2EAF1"/>
      </w:tcPr>
    </w:tblStylePr>
    <w:tblStylePr w:type="band1Horz">
      <w:tblPr/>
      <w:tcPr>
        <w:shd w:val="clear" w:color="auto" w:fill="D2EAF1"/>
      </w:tcPr>
    </w:tblStylePr>
  </w:style>
  <w:style w:type="numbering" w:customStyle="1" w:styleId="NoList111">
    <w:name w:val="No List111"/>
    <w:next w:val="NoList"/>
    <w:uiPriority w:val="99"/>
    <w:semiHidden/>
    <w:unhideWhenUsed/>
    <w:rsid w:val="00797049"/>
  </w:style>
  <w:style w:type="table" w:customStyle="1" w:styleId="LightGrid-Accent515">
    <w:name w:val="Light Grid - Accent 515"/>
    <w:basedOn w:val="TableNormal"/>
    <w:next w:val="LightGrid-Accent5"/>
    <w:uiPriority w:val="62"/>
    <w:rsid w:val="00797049"/>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omic Sans MS" w:eastAsia="Times New Roman" w:hAnsi="Comic Sans MS"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omic Sans MS" w:eastAsia="Times New Roman" w:hAnsi="Comic Sans MS"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omic Sans MS" w:eastAsia="Times New Roman" w:hAnsi="Comic Sans MS" w:cs="Times New Roman"/>
        <w:b/>
        <w:bCs/>
      </w:rPr>
    </w:tblStylePr>
    <w:tblStylePr w:type="lastCol">
      <w:rPr>
        <w:rFonts w:ascii="Comic Sans MS" w:eastAsia="Times New Roman" w:hAnsi="Comic Sans MS"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114">
    <w:name w:val="Светло сенчење – наглашавање 114"/>
    <w:basedOn w:val="TableNormal"/>
    <w:uiPriority w:val="60"/>
    <w:rsid w:val="00797049"/>
    <w:pPr>
      <w:spacing w:after="0" w:line="240" w:lineRule="auto"/>
    </w:pPr>
    <w:rPr>
      <w:rFonts w:ascii="Calibri" w:eastAsia="Calibri" w:hAnsi="Calibri" w:cs="Times New Roman"/>
      <w:color w:val="365F91"/>
      <w:sz w:val="20"/>
      <w:szCs w:val="20"/>
      <w:lang w:val="sr-Latn-CS" w:eastAsia="en-GB"/>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Grid-Accent56">
    <w:name w:val="Light Grid - Accent 56"/>
    <w:basedOn w:val="TableNormal"/>
    <w:next w:val="LightGrid-Accent5"/>
    <w:uiPriority w:val="62"/>
    <w:rsid w:val="00797049"/>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Comic Sans MS" w:eastAsia="Times New Roman" w:hAnsi="Comic Sans MS"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Comic Sans MS" w:eastAsia="Times New Roman" w:hAnsi="Comic Sans MS"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Comic Sans MS" w:eastAsia="Times New Roman" w:hAnsi="Comic Sans MS" w:cs="Times New Roman"/>
        <w:b/>
        <w:bCs/>
      </w:rPr>
    </w:tblStylePr>
    <w:tblStylePr w:type="lastCol">
      <w:rPr>
        <w:rFonts w:ascii="Comic Sans MS" w:eastAsia="Times New Roman" w:hAnsi="Comic Sans MS"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tabelezaifs1">
    <w:name w:val="tabele za ifs1"/>
    <w:basedOn w:val="TableNormal"/>
    <w:uiPriority w:val="99"/>
    <w:qFormat/>
    <w:rsid w:val="00797049"/>
    <w:pPr>
      <w:spacing w:after="0" w:line="240" w:lineRule="auto"/>
    </w:pPr>
    <w:rPr>
      <w:rFonts w:ascii="Cambria Math" w:eastAsia="Calibri" w:hAnsi="Cambria Math" w:cs="Times New Roman"/>
      <w:sz w:val="20"/>
      <w:szCs w:val="20"/>
      <w:lang w:val="en-GB" w:eastAsia="en-GB"/>
    </w:rPr>
    <w:tblPr/>
  </w:style>
  <w:style w:type="table" w:customStyle="1" w:styleId="tabelezaifs11">
    <w:name w:val="tabele za ifs 11"/>
    <w:basedOn w:val="TableNormal"/>
    <w:uiPriority w:val="66"/>
    <w:rsid w:val="00797049"/>
    <w:pPr>
      <w:spacing w:after="0" w:line="240" w:lineRule="auto"/>
    </w:pPr>
    <w:rPr>
      <w:rFonts w:ascii="Cambria Math" w:eastAsia="Times New Roman" w:hAnsi="Cambria Math" w:cs="Times New Roman"/>
      <w:color w:val="000000"/>
      <w:sz w:val="20"/>
      <w:szCs w:val="20"/>
      <w:lang w:val="en-GB" w:eastAsia="en-GB"/>
    </w:rPr>
    <w:tblPr>
      <w:tblStyleRowBandSize w:val="1"/>
      <w:tblStyleColBandSize w:val="1"/>
      <w:tblBorders>
        <w:top w:val="single" w:sz="8" w:space="0" w:color="8CADAE"/>
        <w:left w:val="single" w:sz="8" w:space="0" w:color="8CADAE"/>
        <w:bottom w:val="single" w:sz="8" w:space="0" w:color="8CADAE"/>
        <w:right w:val="single" w:sz="8" w:space="0" w:color="8CADAE"/>
      </w:tblBorders>
    </w:tblPr>
    <w:tcPr>
      <w:vAlign w:val="bottom"/>
    </w:tcPr>
    <w:tblStylePr w:type="firstRow">
      <w:rPr>
        <w:sz w:val="24"/>
        <w:szCs w:val="24"/>
      </w:rPr>
      <w:tblPr/>
      <w:tcPr>
        <w:tcBorders>
          <w:top w:val="nil"/>
          <w:left w:val="nil"/>
          <w:bottom w:val="single" w:sz="24" w:space="0" w:color="8CADAE"/>
          <w:right w:val="nil"/>
          <w:insideH w:val="nil"/>
          <w:insideV w:val="nil"/>
        </w:tcBorders>
        <w:shd w:val="clear" w:color="auto" w:fill="FFFFFF"/>
      </w:tcPr>
    </w:tblStylePr>
    <w:tblStylePr w:type="lastRow">
      <w:tblPr/>
      <w:tcPr>
        <w:tcBorders>
          <w:top w:val="single" w:sz="8" w:space="0" w:color="8CADAE"/>
          <w:left w:val="nil"/>
          <w:bottom w:val="nil"/>
          <w:right w:val="nil"/>
          <w:insideH w:val="nil"/>
          <w:insideV w:val="nil"/>
        </w:tcBorders>
        <w:shd w:val="clear" w:color="auto" w:fill="FFFFFF"/>
      </w:tcPr>
    </w:tblStylePr>
    <w:tblStylePr w:type="firstCol">
      <w:tblPr/>
      <w:tcPr>
        <w:tcBorders>
          <w:top w:val="nil"/>
          <w:left w:val="nil"/>
          <w:bottom w:val="nil"/>
          <w:right w:val="single" w:sz="8" w:space="0" w:color="8CADAE"/>
          <w:insideH w:val="nil"/>
          <w:insideV w:val="nil"/>
        </w:tcBorders>
        <w:shd w:val="clear" w:color="auto" w:fill="FFFFFF"/>
      </w:tcPr>
    </w:tblStylePr>
    <w:tblStylePr w:type="lastCol">
      <w:tblPr/>
      <w:tcPr>
        <w:tcBorders>
          <w:top w:val="nil"/>
          <w:left w:val="single" w:sz="8" w:space="0" w:color="8CADAE"/>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2EAEB"/>
      </w:tcPr>
    </w:tblStylePr>
    <w:tblStylePr w:type="band1Horz">
      <w:tblPr/>
      <w:tcPr>
        <w:tcBorders>
          <w:top w:val="nil"/>
          <w:bottom w:val="nil"/>
          <w:insideH w:val="nil"/>
          <w:insideV w:val="nil"/>
        </w:tcBorders>
        <w:shd w:val="clear" w:color="auto" w:fill="E2EAEB"/>
      </w:tcPr>
    </w:tblStylePr>
    <w:tblStylePr w:type="nwCell">
      <w:tblPr/>
      <w:tcPr>
        <w:shd w:val="clear" w:color="auto" w:fill="FFFFFF"/>
      </w:tcPr>
    </w:tblStylePr>
    <w:tblStylePr w:type="swCell">
      <w:tblPr/>
      <w:tcPr>
        <w:tcBorders>
          <w:top w:val="nil"/>
        </w:tcBorders>
      </w:tcPr>
    </w:tblStylePr>
  </w:style>
  <w:style w:type="table" w:customStyle="1" w:styleId="ColorfulList-Accent11">
    <w:name w:val="Colorful List - Accent 11"/>
    <w:basedOn w:val="TableNormal"/>
    <w:next w:val="ColorfulList-Accent1"/>
    <w:uiPriority w:val="72"/>
    <w:rsid w:val="00797049"/>
    <w:pPr>
      <w:spacing w:after="0" w:line="240" w:lineRule="auto"/>
    </w:pPr>
    <w:rPr>
      <w:rFonts w:ascii="Calibri" w:eastAsia="Calibri" w:hAnsi="Calibri" w:cs="Times New Roman"/>
      <w:color w:val="000000"/>
      <w:sz w:val="20"/>
      <w:szCs w:val="20"/>
      <w:lang w:val="en-GB" w:eastAsia="en-GB"/>
    </w:rPr>
    <w:tblPr>
      <w:tblStyleRowBandSize w:val="1"/>
      <w:tblStyleColBandSize w:val="1"/>
    </w:tblPr>
    <w:tcPr>
      <w:shd w:val="clear" w:color="auto" w:fill="FAEFEC"/>
    </w:tcPr>
    <w:tblStylePr w:type="firstRow">
      <w:rPr>
        <w:b/>
        <w:bCs/>
        <w:color w:val="FFFFFF"/>
      </w:rPr>
      <w:tblPr/>
      <w:tcPr>
        <w:tcBorders>
          <w:bottom w:val="single" w:sz="12" w:space="0" w:color="FFFFFF"/>
        </w:tcBorders>
        <w:shd w:val="clear" w:color="auto" w:fill="A38F00"/>
      </w:tcPr>
    </w:tblStylePr>
    <w:tblStylePr w:type="lastRow">
      <w:rPr>
        <w:b/>
        <w:bCs/>
        <w:color w:val="A38F00"/>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3D8D2"/>
      </w:tcPr>
    </w:tblStylePr>
    <w:tblStylePr w:type="band1Horz">
      <w:tblPr/>
      <w:tcPr>
        <w:shd w:val="clear" w:color="auto" w:fill="F5DFDA"/>
      </w:tcPr>
    </w:tblStylePr>
  </w:style>
  <w:style w:type="numbering" w:customStyle="1" w:styleId="NoList21">
    <w:name w:val="No List21"/>
    <w:next w:val="NoList"/>
    <w:uiPriority w:val="99"/>
    <w:semiHidden/>
    <w:unhideWhenUsed/>
    <w:rsid w:val="00797049"/>
  </w:style>
  <w:style w:type="table" w:customStyle="1" w:styleId="LightList-Accent324">
    <w:name w:val="Light List - Accent 324"/>
    <w:basedOn w:val="TableNormal"/>
    <w:next w:val="LightList-Accent3"/>
    <w:uiPriority w:val="61"/>
    <w:rsid w:val="00797049"/>
    <w:pPr>
      <w:spacing w:after="0" w:line="240" w:lineRule="auto"/>
    </w:pPr>
    <w:rPr>
      <w:rFonts w:ascii="Calibri" w:eastAsia="Calibri" w:hAnsi="Calibri" w:cs="Times New Roman"/>
      <w:sz w:val="20"/>
      <w:szCs w:val="20"/>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3114">
    <w:name w:val="Light List - Accent 3114"/>
    <w:basedOn w:val="TableNormal"/>
    <w:next w:val="LightList-Accent3"/>
    <w:uiPriority w:val="61"/>
    <w:rsid w:val="00797049"/>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Shading-Accent1317">
    <w:name w:val="Light Shading - Accent 1317"/>
    <w:basedOn w:val="TableNormal"/>
    <w:uiPriority w:val="60"/>
    <w:rsid w:val="00797049"/>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8">
    <w:name w:val="Light Shading - Accent 1318"/>
    <w:basedOn w:val="TableNormal"/>
    <w:uiPriority w:val="60"/>
    <w:rsid w:val="00797049"/>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24">
    <w:name w:val="Light Shading - Accent 1324"/>
    <w:basedOn w:val="TableNormal"/>
    <w:uiPriority w:val="60"/>
    <w:rsid w:val="00797049"/>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tabele311">
    <w:name w:val="tabele 311"/>
    <w:basedOn w:val="TableNormal"/>
    <w:next w:val="LightList-Accent3"/>
    <w:uiPriority w:val="61"/>
    <w:rsid w:val="00797049"/>
    <w:pPr>
      <w:spacing w:after="0" w:line="240" w:lineRule="auto"/>
    </w:pPr>
    <w:rPr>
      <w:rFonts w:ascii="Cambria Math" w:eastAsia="Calibri" w:hAnsi="Cambria Math" w:cs="Times New Roman"/>
      <w:sz w:val="18"/>
      <w:lang w:val="sr-Cyrl-CS"/>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LightShading-Accent1111">
    <w:name w:val="Light Shading - Accent 1111"/>
    <w:basedOn w:val="TableNormal"/>
    <w:uiPriority w:val="60"/>
    <w:rsid w:val="00797049"/>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321">
    <w:name w:val="Light Shading - Accent 321"/>
    <w:basedOn w:val="TableNormal"/>
    <w:next w:val="LightShading-Accent3"/>
    <w:uiPriority w:val="60"/>
    <w:rsid w:val="00797049"/>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List-Accent521">
    <w:name w:val="Light List - Accent 521"/>
    <w:basedOn w:val="TableNormal"/>
    <w:next w:val="LightList-Accent5"/>
    <w:uiPriority w:val="61"/>
    <w:rsid w:val="00797049"/>
    <w:pPr>
      <w:spacing w:after="0" w:line="240" w:lineRule="auto"/>
    </w:pPr>
    <w:rPr>
      <w:rFonts w:ascii="Calibri" w:eastAsia="Calibri" w:hAnsi="Calibri" w:cs="Times New Roman"/>
      <w:sz w:val="20"/>
      <w:szCs w:val="20"/>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Shading-Accent3111">
    <w:name w:val="Light Shading - Accent 3111"/>
    <w:basedOn w:val="TableNormal"/>
    <w:next w:val="LightShading-Accent3"/>
    <w:uiPriority w:val="60"/>
    <w:rsid w:val="00797049"/>
    <w:pPr>
      <w:spacing w:after="0" w:line="240" w:lineRule="auto"/>
    </w:pPr>
    <w:rPr>
      <w:rFonts w:ascii="Constantia" w:eastAsia="Constantia" w:hAnsi="Constantia" w:cs="Times New Roman"/>
      <w:color w:val="8CADAE"/>
      <w:lang w:val="sr-Cyrl-CS"/>
    </w:rPr>
    <w:tblPr>
      <w:tblStyleRowBandSize w:val="1"/>
      <w:tblStyleColBandSize w:val="1"/>
      <w:tblBorders>
        <w:top w:val="single" w:sz="8" w:space="0" w:color="8CADAE"/>
        <w:bottom w:val="single" w:sz="8" w:space="0" w:color="8CADAE"/>
      </w:tblBorders>
    </w:tblPr>
    <w:tblStylePr w:type="fir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la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2EAEB"/>
      </w:tcPr>
    </w:tblStylePr>
    <w:tblStylePr w:type="band1Horz">
      <w:tblPr/>
      <w:tcPr>
        <w:tcBorders>
          <w:left w:val="nil"/>
          <w:right w:val="nil"/>
          <w:insideH w:val="nil"/>
          <w:insideV w:val="nil"/>
        </w:tcBorders>
        <w:shd w:val="clear" w:color="auto" w:fill="E2EAEB"/>
      </w:tcPr>
    </w:tblStylePr>
  </w:style>
  <w:style w:type="table" w:customStyle="1" w:styleId="LightList-Accent3121">
    <w:name w:val="Light List - Accent 3121"/>
    <w:basedOn w:val="TableNormal"/>
    <w:next w:val="LightList-Accent3"/>
    <w:uiPriority w:val="61"/>
    <w:rsid w:val="00797049"/>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5111">
    <w:name w:val="Light List - Accent 5111"/>
    <w:basedOn w:val="TableNormal"/>
    <w:next w:val="LightList-Accent5"/>
    <w:uiPriority w:val="61"/>
    <w:rsid w:val="00797049"/>
    <w:pPr>
      <w:spacing w:after="0" w:line="240" w:lineRule="auto"/>
    </w:pPr>
    <w:rPr>
      <w:rFonts w:ascii="Times New Roman" w:eastAsia="Constantia" w:hAnsi="Times New Roman" w:cs="Times New Roman"/>
      <w:lang w:val="sr-Cyrl-CS"/>
    </w:rPr>
    <w:tblPr>
      <w:tblStyleRowBandSize w:val="1"/>
      <w:tblStyleColBandSize w:val="1"/>
      <w:tblBorders>
        <w:top w:val="single" w:sz="8" w:space="0" w:color="8FB08C"/>
        <w:left w:val="single" w:sz="8" w:space="0" w:color="8FB08C"/>
        <w:bottom w:val="single" w:sz="8" w:space="0" w:color="8FB08C"/>
        <w:right w:val="single" w:sz="8" w:space="0" w:color="8FB08C"/>
      </w:tblBorders>
    </w:tblPr>
    <w:tblStylePr w:type="firstRow">
      <w:pPr>
        <w:spacing w:before="0" w:after="0" w:line="240" w:lineRule="auto"/>
      </w:pPr>
      <w:rPr>
        <w:b/>
        <w:bCs/>
        <w:color w:val="FFFFFF"/>
      </w:rPr>
      <w:tblPr/>
      <w:tcPr>
        <w:shd w:val="clear" w:color="auto" w:fill="8FB08C"/>
      </w:tcPr>
    </w:tblStylePr>
    <w:tblStylePr w:type="lastRow">
      <w:pPr>
        <w:spacing w:before="0" w:after="0" w:line="240" w:lineRule="auto"/>
      </w:pPr>
      <w:rPr>
        <w:b/>
        <w:bCs/>
      </w:rPr>
      <w:tblPr/>
      <w:tcPr>
        <w:tcBorders>
          <w:top w:val="double" w:sz="6" w:space="0" w:color="8FB08C"/>
          <w:left w:val="single" w:sz="8" w:space="0" w:color="8FB08C"/>
          <w:bottom w:val="single" w:sz="8" w:space="0" w:color="8FB08C"/>
          <w:right w:val="single" w:sz="8" w:space="0" w:color="8FB08C"/>
        </w:tcBorders>
      </w:tcPr>
    </w:tblStylePr>
    <w:tblStylePr w:type="firstCol">
      <w:rPr>
        <w:b/>
        <w:bCs/>
      </w:rPr>
    </w:tblStylePr>
    <w:tblStylePr w:type="lastCol">
      <w:rPr>
        <w:b/>
        <w:bCs/>
      </w:rPr>
    </w:tblStylePr>
    <w:tblStylePr w:type="band1Vert">
      <w:tblPr/>
      <w:tcPr>
        <w:tcBorders>
          <w:top w:val="single" w:sz="8" w:space="0" w:color="8FB08C"/>
          <w:left w:val="single" w:sz="8" w:space="0" w:color="8FB08C"/>
          <w:bottom w:val="single" w:sz="8" w:space="0" w:color="8FB08C"/>
          <w:right w:val="single" w:sz="8" w:space="0" w:color="8FB08C"/>
        </w:tcBorders>
      </w:tcPr>
    </w:tblStylePr>
    <w:tblStylePr w:type="band1Horz">
      <w:tblPr/>
      <w:tcPr>
        <w:tcBorders>
          <w:top w:val="single" w:sz="8" w:space="0" w:color="8FB08C"/>
          <w:left w:val="single" w:sz="8" w:space="0" w:color="8FB08C"/>
          <w:bottom w:val="single" w:sz="8" w:space="0" w:color="8FB08C"/>
          <w:right w:val="single" w:sz="8" w:space="0" w:color="8FB08C"/>
        </w:tcBorders>
      </w:tcPr>
    </w:tblStylePr>
  </w:style>
  <w:style w:type="table" w:customStyle="1" w:styleId="LightGrid-Accent5112">
    <w:name w:val="Light Grid - Accent 5112"/>
    <w:basedOn w:val="TableNormal"/>
    <w:next w:val="LightGrid-Accent5"/>
    <w:uiPriority w:val="62"/>
    <w:rsid w:val="00797049"/>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omic Sans MS" w:eastAsia="Times New Roman" w:hAnsi="Comic Sans MS"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omic Sans MS" w:eastAsia="Times New Roman" w:hAnsi="Comic Sans MS"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omic Sans MS" w:eastAsia="Times New Roman" w:hAnsi="Comic Sans MS" w:cs="Times New Roman"/>
        <w:b/>
        <w:bCs/>
      </w:rPr>
    </w:tblStylePr>
    <w:tblStylePr w:type="lastCol">
      <w:rPr>
        <w:rFonts w:ascii="Comic Sans MS" w:eastAsia="Times New Roman" w:hAnsi="Comic Sans MS"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1111">
    <w:name w:val="Светло сенчење – наглашавање 1111"/>
    <w:basedOn w:val="TableNormal"/>
    <w:uiPriority w:val="60"/>
    <w:rsid w:val="00797049"/>
    <w:pPr>
      <w:spacing w:after="0" w:line="240" w:lineRule="auto"/>
    </w:pPr>
    <w:rPr>
      <w:rFonts w:ascii="Calibri" w:eastAsia="Calibri" w:hAnsi="Calibri" w:cs="Times New Roman"/>
      <w:color w:val="365F91"/>
      <w:sz w:val="20"/>
      <w:szCs w:val="20"/>
      <w:lang w:val="sr-Latn-CS" w:eastAsia="en-GB"/>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Grid-Accent522">
    <w:name w:val="Light Grid - Accent 522"/>
    <w:basedOn w:val="TableNormal"/>
    <w:next w:val="LightGrid-Accent5"/>
    <w:uiPriority w:val="62"/>
    <w:rsid w:val="00797049"/>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Comic Sans MS" w:eastAsia="Times New Roman" w:hAnsi="Comic Sans MS"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Comic Sans MS" w:eastAsia="Times New Roman" w:hAnsi="Comic Sans MS"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Comic Sans MS" w:eastAsia="Times New Roman" w:hAnsi="Comic Sans MS" w:cs="Times New Roman"/>
        <w:b/>
        <w:bCs/>
      </w:rPr>
    </w:tblStylePr>
    <w:tblStylePr w:type="lastCol">
      <w:rPr>
        <w:rFonts w:ascii="Comic Sans MS" w:eastAsia="Times New Roman" w:hAnsi="Comic Sans MS"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List-Accent3211">
    <w:name w:val="Light List - Accent 3211"/>
    <w:basedOn w:val="TableNormal"/>
    <w:next w:val="LightList-Accent3"/>
    <w:uiPriority w:val="61"/>
    <w:rsid w:val="00797049"/>
    <w:pPr>
      <w:spacing w:after="0" w:line="240" w:lineRule="auto"/>
    </w:pPr>
    <w:rPr>
      <w:rFonts w:ascii="Calibri" w:eastAsia="Calibri" w:hAnsi="Calibri" w:cs="Times New Roman"/>
      <w:sz w:val="20"/>
      <w:szCs w:val="20"/>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31111">
    <w:name w:val="Light List - Accent 31111"/>
    <w:basedOn w:val="TableNormal"/>
    <w:next w:val="LightList-Accent3"/>
    <w:uiPriority w:val="61"/>
    <w:rsid w:val="00797049"/>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Shading-Accent1331">
    <w:name w:val="Light Shading - Accent 1331"/>
    <w:basedOn w:val="TableNormal"/>
    <w:uiPriority w:val="60"/>
    <w:rsid w:val="00797049"/>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11">
    <w:name w:val="Light Shading - Accent 13111"/>
    <w:basedOn w:val="TableNormal"/>
    <w:uiPriority w:val="60"/>
    <w:rsid w:val="00797049"/>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211">
    <w:name w:val="Light Shading - Accent 13211"/>
    <w:basedOn w:val="TableNormal"/>
    <w:uiPriority w:val="60"/>
    <w:rsid w:val="00797049"/>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21">
    <w:name w:val="Light Shading - Accent 1121"/>
    <w:basedOn w:val="TableNormal"/>
    <w:uiPriority w:val="60"/>
    <w:rsid w:val="00797049"/>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41">
    <w:name w:val="Light Shading - Accent 1341"/>
    <w:basedOn w:val="TableNormal"/>
    <w:uiPriority w:val="60"/>
    <w:rsid w:val="00797049"/>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31">
    <w:name w:val="Light Shading - Accent 1131"/>
    <w:basedOn w:val="TableNormal"/>
    <w:uiPriority w:val="60"/>
    <w:rsid w:val="00797049"/>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51">
    <w:name w:val="Light Shading - Accent 1351"/>
    <w:basedOn w:val="TableNormal"/>
    <w:uiPriority w:val="60"/>
    <w:rsid w:val="00797049"/>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62">
    <w:name w:val="Light Shading - Accent 1362"/>
    <w:basedOn w:val="TableNormal"/>
    <w:uiPriority w:val="60"/>
    <w:rsid w:val="00797049"/>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71">
    <w:name w:val="Light Shading - Accent 1371"/>
    <w:basedOn w:val="TableNormal"/>
    <w:uiPriority w:val="60"/>
    <w:rsid w:val="00797049"/>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tabele321">
    <w:name w:val="tabele 321"/>
    <w:basedOn w:val="TableNormal"/>
    <w:next w:val="LightList-Accent3"/>
    <w:uiPriority w:val="61"/>
    <w:rsid w:val="00797049"/>
    <w:pPr>
      <w:spacing w:after="0" w:line="240" w:lineRule="auto"/>
    </w:pPr>
    <w:rPr>
      <w:rFonts w:ascii="Cambria Math" w:eastAsia="Calibri" w:hAnsi="Cambria Math" w:cs="Times New Roman"/>
      <w:sz w:val="18"/>
      <w:lang w:val="sr-Cyrl-CS"/>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LightShading-Accent1141">
    <w:name w:val="Light Shading - Accent 1141"/>
    <w:basedOn w:val="TableNormal"/>
    <w:uiPriority w:val="60"/>
    <w:rsid w:val="00797049"/>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334">
    <w:name w:val="Light Shading - Accent 334"/>
    <w:basedOn w:val="TableNormal"/>
    <w:next w:val="LightShading-Accent3"/>
    <w:uiPriority w:val="60"/>
    <w:rsid w:val="00797049"/>
    <w:pPr>
      <w:spacing w:after="0" w:line="240" w:lineRule="auto"/>
    </w:pPr>
    <w:rPr>
      <w:rFonts w:ascii="Arial" w:eastAsia="Calibri" w:hAnsi="Arial" w:cs="Times New Roman"/>
      <w:color w:val="474747"/>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List-Accent531">
    <w:name w:val="Light List - Accent 531"/>
    <w:basedOn w:val="TableNormal"/>
    <w:next w:val="LightList-Accent5"/>
    <w:uiPriority w:val="61"/>
    <w:rsid w:val="00797049"/>
    <w:pPr>
      <w:spacing w:after="0" w:line="240" w:lineRule="auto"/>
    </w:pPr>
    <w:rPr>
      <w:rFonts w:ascii="Calibri" w:eastAsia="Calibri" w:hAnsi="Calibri" w:cs="Times New Roman"/>
      <w:sz w:val="20"/>
      <w:szCs w:val="20"/>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Shading-Accent3121">
    <w:name w:val="Light Shading - Accent 3121"/>
    <w:basedOn w:val="TableNormal"/>
    <w:next w:val="LightShading-Accent3"/>
    <w:uiPriority w:val="60"/>
    <w:rsid w:val="00797049"/>
    <w:pPr>
      <w:spacing w:after="0" w:line="240" w:lineRule="auto"/>
    </w:pPr>
    <w:rPr>
      <w:rFonts w:ascii="Constantia" w:eastAsia="Constantia" w:hAnsi="Constantia" w:cs="Times New Roman"/>
      <w:color w:val="8CADAE"/>
      <w:lang w:val="sr-Cyrl-CS"/>
    </w:rPr>
    <w:tblPr>
      <w:tblStyleRowBandSize w:val="1"/>
      <w:tblStyleColBandSize w:val="1"/>
      <w:tblBorders>
        <w:top w:val="single" w:sz="8" w:space="0" w:color="8CADAE"/>
        <w:bottom w:val="single" w:sz="8" w:space="0" w:color="8CADAE"/>
      </w:tblBorders>
    </w:tblPr>
    <w:tblStylePr w:type="fir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la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2EAEB"/>
      </w:tcPr>
    </w:tblStylePr>
    <w:tblStylePr w:type="band1Horz">
      <w:tblPr/>
      <w:tcPr>
        <w:tcBorders>
          <w:left w:val="nil"/>
          <w:right w:val="nil"/>
          <w:insideH w:val="nil"/>
          <w:insideV w:val="nil"/>
        </w:tcBorders>
        <w:shd w:val="clear" w:color="auto" w:fill="E2EAEB"/>
      </w:tcPr>
    </w:tblStylePr>
  </w:style>
  <w:style w:type="table" w:customStyle="1" w:styleId="LightList-Accent3131">
    <w:name w:val="Light List - Accent 3131"/>
    <w:basedOn w:val="TableNormal"/>
    <w:next w:val="LightList-Accent3"/>
    <w:uiPriority w:val="61"/>
    <w:rsid w:val="00797049"/>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5121">
    <w:name w:val="Light List - Accent 5121"/>
    <w:basedOn w:val="TableNormal"/>
    <w:next w:val="LightList-Accent5"/>
    <w:uiPriority w:val="61"/>
    <w:rsid w:val="00797049"/>
    <w:pPr>
      <w:spacing w:after="0" w:line="240" w:lineRule="auto"/>
    </w:pPr>
    <w:rPr>
      <w:rFonts w:ascii="Times New Roman" w:eastAsia="Constantia" w:hAnsi="Times New Roman" w:cs="Times New Roman"/>
      <w:lang w:val="sr-Cyrl-CS"/>
    </w:rPr>
    <w:tblPr>
      <w:tblStyleRowBandSize w:val="1"/>
      <w:tblStyleColBandSize w:val="1"/>
      <w:tblBorders>
        <w:top w:val="single" w:sz="8" w:space="0" w:color="8FB08C"/>
        <w:left w:val="single" w:sz="8" w:space="0" w:color="8FB08C"/>
        <w:bottom w:val="single" w:sz="8" w:space="0" w:color="8FB08C"/>
        <w:right w:val="single" w:sz="8" w:space="0" w:color="8FB08C"/>
      </w:tblBorders>
    </w:tblPr>
    <w:tblStylePr w:type="firstRow">
      <w:pPr>
        <w:spacing w:before="0" w:after="0" w:line="240" w:lineRule="auto"/>
      </w:pPr>
      <w:rPr>
        <w:b/>
        <w:bCs/>
        <w:color w:val="FFFFFF"/>
      </w:rPr>
      <w:tblPr/>
      <w:tcPr>
        <w:shd w:val="clear" w:color="auto" w:fill="8FB08C"/>
      </w:tcPr>
    </w:tblStylePr>
    <w:tblStylePr w:type="lastRow">
      <w:pPr>
        <w:spacing w:before="0" w:after="0" w:line="240" w:lineRule="auto"/>
      </w:pPr>
      <w:rPr>
        <w:b/>
        <w:bCs/>
      </w:rPr>
      <w:tblPr/>
      <w:tcPr>
        <w:tcBorders>
          <w:top w:val="double" w:sz="6" w:space="0" w:color="8FB08C"/>
          <w:left w:val="single" w:sz="8" w:space="0" w:color="8FB08C"/>
          <w:bottom w:val="single" w:sz="8" w:space="0" w:color="8FB08C"/>
          <w:right w:val="single" w:sz="8" w:space="0" w:color="8FB08C"/>
        </w:tcBorders>
      </w:tcPr>
    </w:tblStylePr>
    <w:tblStylePr w:type="firstCol">
      <w:rPr>
        <w:b/>
        <w:bCs/>
      </w:rPr>
    </w:tblStylePr>
    <w:tblStylePr w:type="lastCol">
      <w:rPr>
        <w:b/>
        <w:bCs/>
      </w:rPr>
    </w:tblStylePr>
    <w:tblStylePr w:type="band1Vert">
      <w:tblPr/>
      <w:tcPr>
        <w:tcBorders>
          <w:top w:val="single" w:sz="8" w:space="0" w:color="8FB08C"/>
          <w:left w:val="single" w:sz="8" w:space="0" w:color="8FB08C"/>
          <w:bottom w:val="single" w:sz="8" w:space="0" w:color="8FB08C"/>
          <w:right w:val="single" w:sz="8" w:space="0" w:color="8FB08C"/>
        </w:tcBorders>
      </w:tcPr>
    </w:tblStylePr>
    <w:tblStylePr w:type="band1Horz">
      <w:tblPr/>
      <w:tcPr>
        <w:tcBorders>
          <w:top w:val="single" w:sz="8" w:space="0" w:color="8FB08C"/>
          <w:left w:val="single" w:sz="8" w:space="0" w:color="8FB08C"/>
          <w:bottom w:val="single" w:sz="8" w:space="0" w:color="8FB08C"/>
          <w:right w:val="single" w:sz="8" w:space="0" w:color="8FB08C"/>
        </w:tcBorders>
      </w:tcPr>
    </w:tblStylePr>
  </w:style>
  <w:style w:type="table" w:customStyle="1" w:styleId="LightGrid-Accent5122">
    <w:name w:val="Light Grid - Accent 5122"/>
    <w:basedOn w:val="TableNormal"/>
    <w:next w:val="LightGrid-Accent5"/>
    <w:uiPriority w:val="62"/>
    <w:rsid w:val="00797049"/>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omic Sans MS" w:eastAsia="Times New Roman" w:hAnsi="Comic Sans MS"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omic Sans MS" w:eastAsia="Times New Roman" w:hAnsi="Comic Sans MS"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omic Sans MS" w:eastAsia="Times New Roman" w:hAnsi="Comic Sans MS" w:cs="Times New Roman"/>
        <w:b/>
        <w:bCs/>
      </w:rPr>
    </w:tblStylePr>
    <w:tblStylePr w:type="lastCol">
      <w:rPr>
        <w:rFonts w:ascii="Comic Sans MS" w:eastAsia="Times New Roman" w:hAnsi="Comic Sans MS"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1121">
    <w:name w:val="Светло сенчење – наглашавање 1121"/>
    <w:basedOn w:val="TableNormal"/>
    <w:uiPriority w:val="60"/>
    <w:rsid w:val="00797049"/>
    <w:pPr>
      <w:spacing w:after="0" w:line="240" w:lineRule="auto"/>
    </w:pPr>
    <w:rPr>
      <w:rFonts w:ascii="Calibri" w:eastAsia="Calibri" w:hAnsi="Calibri" w:cs="Times New Roman"/>
      <w:color w:val="365F91"/>
      <w:sz w:val="20"/>
      <w:szCs w:val="20"/>
      <w:lang w:val="sr-Latn-CS" w:eastAsia="en-GB"/>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Grid-Accent532">
    <w:name w:val="Light Grid - Accent 532"/>
    <w:basedOn w:val="TableNormal"/>
    <w:next w:val="LightGrid-Accent5"/>
    <w:uiPriority w:val="62"/>
    <w:rsid w:val="00797049"/>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Comic Sans MS" w:eastAsia="Times New Roman" w:hAnsi="Comic Sans MS"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Comic Sans MS" w:eastAsia="Times New Roman" w:hAnsi="Comic Sans MS"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Comic Sans MS" w:eastAsia="Times New Roman" w:hAnsi="Comic Sans MS" w:cs="Times New Roman"/>
        <w:b/>
        <w:bCs/>
      </w:rPr>
    </w:tblStylePr>
    <w:tblStylePr w:type="lastCol">
      <w:rPr>
        <w:rFonts w:ascii="Comic Sans MS" w:eastAsia="Times New Roman" w:hAnsi="Comic Sans MS"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List-Accent3221">
    <w:name w:val="Light List - Accent 3221"/>
    <w:basedOn w:val="TableNormal"/>
    <w:next w:val="LightList-Accent3"/>
    <w:uiPriority w:val="61"/>
    <w:rsid w:val="00797049"/>
    <w:pPr>
      <w:spacing w:after="0" w:line="240" w:lineRule="auto"/>
    </w:pPr>
    <w:rPr>
      <w:rFonts w:ascii="Calibri" w:eastAsia="Calibri" w:hAnsi="Calibri" w:cs="Times New Roman"/>
      <w:sz w:val="20"/>
      <w:szCs w:val="20"/>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31121">
    <w:name w:val="Light List - Accent 31121"/>
    <w:basedOn w:val="TableNormal"/>
    <w:next w:val="LightList-Accent3"/>
    <w:uiPriority w:val="61"/>
    <w:rsid w:val="00797049"/>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Shading-Accent1382">
    <w:name w:val="Light Shading - Accent 1382"/>
    <w:basedOn w:val="TableNormal"/>
    <w:uiPriority w:val="60"/>
    <w:rsid w:val="00797049"/>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21">
    <w:name w:val="Light Shading - Accent 13121"/>
    <w:basedOn w:val="TableNormal"/>
    <w:uiPriority w:val="60"/>
    <w:rsid w:val="00797049"/>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221">
    <w:name w:val="Light Shading - Accent 13221"/>
    <w:basedOn w:val="TableNormal"/>
    <w:uiPriority w:val="60"/>
    <w:rsid w:val="00797049"/>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51">
    <w:name w:val="Light Shading - Accent 1151"/>
    <w:basedOn w:val="TableNormal"/>
    <w:uiPriority w:val="60"/>
    <w:rsid w:val="00797049"/>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92">
    <w:name w:val="Light Shading - Accent 1392"/>
    <w:basedOn w:val="TableNormal"/>
    <w:uiPriority w:val="60"/>
    <w:rsid w:val="00797049"/>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62">
    <w:name w:val="Light Shading - Accent 1162"/>
    <w:basedOn w:val="TableNormal"/>
    <w:uiPriority w:val="60"/>
    <w:rsid w:val="00797049"/>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02">
    <w:name w:val="Light Shading - Accent 13102"/>
    <w:basedOn w:val="TableNormal"/>
    <w:uiPriority w:val="60"/>
    <w:rsid w:val="00797049"/>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31">
    <w:name w:val="Light Shading - Accent 13131"/>
    <w:basedOn w:val="TableNormal"/>
    <w:uiPriority w:val="60"/>
    <w:rsid w:val="00797049"/>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tabele331">
    <w:name w:val="tabele 331"/>
    <w:basedOn w:val="TableNormal"/>
    <w:next w:val="LightList-Accent3"/>
    <w:uiPriority w:val="61"/>
    <w:rsid w:val="00797049"/>
    <w:pPr>
      <w:spacing w:after="0" w:line="240" w:lineRule="auto"/>
    </w:pPr>
    <w:rPr>
      <w:rFonts w:ascii="Cambria Math" w:eastAsia="Calibri" w:hAnsi="Cambria Math" w:cs="Times New Roman"/>
      <w:sz w:val="18"/>
      <w:lang w:val="sr-Cyrl-CS"/>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LightShading-Accent1171">
    <w:name w:val="Light Shading - Accent 1171"/>
    <w:basedOn w:val="TableNormal"/>
    <w:uiPriority w:val="60"/>
    <w:rsid w:val="00797049"/>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343">
    <w:name w:val="Light Shading - Accent 343"/>
    <w:basedOn w:val="TableNormal"/>
    <w:next w:val="LightShading-Accent3"/>
    <w:uiPriority w:val="60"/>
    <w:rsid w:val="00797049"/>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List-Accent541">
    <w:name w:val="Light List - Accent 541"/>
    <w:basedOn w:val="TableNormal"/>
    <w:next w:val="LightList-Accent5"/>
    <w:uiPriority w:val="61"/>
    <w:rsid w:val="00797049"/>
    <w:pPr>
      <w:spacing w:after="0" w:line="240" w:lineRule="auto"/>
    </w:pPr>
    <w:rPr>
      <w:rFonts w:ascii="Calibri" w:eastAsia="Calibri" w:hAnsi="Calibri" w:cs="Times New Roman"/>
      <w:sz w:val="20"/>
      <w:szCs w:val="20"/>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Shading-Accent3131">
    <w:name w:val="Light Shading - Accent 3131"/>
    <w:basedOn w:val="TableNormal"/>
    <w:next w:val="LightShading-Accent3"/>
    <w:uiPriority w:val="60"/>
    <w:rsid w:val="00797049"/>
    <w:pPr>
      <w:spacing w:after="0" w:line="240" w:lineRule="auto"/>
    </w:pPr>
    <w:rPr>
      <w:rFonts w:ascii="Constantia" w:eastAsia="Constantia" w:hAnsi="Constantia" w:cs="Times New Roman"/>
      <w:color w:val="8CADAE"/>
      <w:lang w:val="sr-Cyrl-CS"/>
    </w:rPr>
    <w:tblPr>
      <w:tblStyleRowBandSize w:val="1"/>
      <w:tblStyleColBandSize w:val="1"/>
      <w:tblBorders>
        <w:top w:val="single" w:sz="8" w:space="0" w:color="8CADAE"/>
        <w:bottom w:val="single" w:sz="8" w:space="0" w:color="8CADAE"/>
      </w:tblBorders>
    </w:tblPr>
    <w:tblStylePr w:type="fir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la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2EAEB"/>
      </w:tcPr>
    </w:tblStylePr>
    <w:tblStylePr w:type="band1Horz">
      <w:tblPr/>
      <w:tcPr>
        <w:tcBorders>
          <w:left w:val="nil"/>
          <w:right w:val="nil"/>
          <w:insideH w:val="nil"/>
          <w:insideV w:val="nil"/>
        </w:tcBorders>
        <w:shd w:val="clear" w:color="auto" w:fill="E2EAEB"/>
      </w:tcPr>
    </w:tblStylePr>
  </w:style>
  <w:style w:type="table" w:customStyle="1" w:styleId="LightList-Accent3141">
    <w:name w:val="Light List - Accent 3141"/>
    <w:basedOn w:val="TableNormal"/>
    <w:next w:val="LightList-Accent3"/>
    <w:uiPriority w:val="61"/>
    <w:rsid w:val="00797049"/>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5131">
    <w:name w:val="Light List - Accent 5131"/>
    <w:basedOn w:val="TableNormal"/>
    <w:next w:val="LightList-Accent5"/>
    <w:uiPriority w:val="61"/>
    <w:rsid w:val="00797049"/>
    <w:pPr>
      <w:spacing w:after="0" w:line="240" w:lineRule="auto"/>
    </w:pPr>
    <w:rPr>
      <w:rFonts w:ascii="Times New Roman" w:eastAsia="Constantia" w:hAnsi="Times New Roman" w:cs="Times New Roman"/>
      <w:lang w:val="sr-Cyrl-CS"/>
    </w:rPr>
    <w:tblPr>
      <w:tblStyleRowBandSize w:val="1"/>
      <w:tblStyleColBandSize w:val="1"/>
      <w:tblBorders>
        <w:top w:val="single" w:sz="8" w:space="0" w:color="8FB08C"/>
        <w:left w:val="single" w:sz="8" w:space="0" w:color="8FB08C"/>
        <w:bottom w:val="single" w:sz="8" w:space="0" w:color="8FB08C"/>
        <w:right w:val="single" w:sz="8" w:space="0" w:color="8FB08C"/>
      </w:tblBorders>
    </w:tblPr>
    <w:tblStylePr w:type="firstRow">
      <w:pPr>
        <w:spacing w:before="0" w:after="0" w:line="240" w:lineRule="auto"/>
      </w:pPr>
      <w:rPr>
        <w:b/>
        <w:bCs/>
        <w:color w:val="FFFFFF"/>
      </w:rPr>
      <w:tblPr/>
      <w:tcPr>
        <w:shd w:val="clear" w:color="auto" w:fill="8FB08C"/>
      </w:tcPr>
    </w:tblStylePr>
    <w:tblStylePr w:type="lastRow">
      <w:pPr>
        <w:spacing w:before="0" w:after="0" w:line="240" w:lineRule="auto"/>
      </w:pPr>
      <w:rPr>
        <w:b/>
        <w:bCs/>
      </w:rPr>
      <w:tblPr/>
      <w:tcPr>
        <w:tcBorders>
          <w:top w:val="double" w:sz="6" w:space="0" w:color="8FB08C"/>
          <w:left w:val="single" w:sz="8" w:space="0" w:color="8FB08C"/>
          <w:bottom w:val="single" w:sz="8" w:space="0" w:color="8FB08C"/>
          <w:right w:val="single" w:sz="8" w:space="0" w:color="8FB08C"/>
        </w:tcBorders>
      </w:tcPr>
    </w:tblStylePr>
    <w:tblStylePr w:type="firstCol">
      <w:rPr>
        <w:b/>
        <w:bCs/>
      </w:rPr>
    </w:tblStylePr>
    <w:tblStylePr w:type="lastCol">
      <w:rPr>
        <w:b/>
        <w:bCs/>
      </w:rPr>
    </w:tblStylePr>
    <w:tblStylePr w:type="band1Vert">
      <w:tblPr/>
      <w:tcPr>
        <w:tcBorders>
          <w:top w:val="single" w:sz="8" w:space="0" w:color="8FB08C"/>
          <w:left w:val="single" w:sz="8" w:space="0" w:color="8FB08C"/>
          <w:bottom w:val="single" w:sz="8" w:space="0" w:color="8FB08C"/>
          <w:right w:val="single" w:sz="8" w:space="0" w:color="8FB08C"/>
        </w:tcBorders>
      </w:tcPr>
    </w:tblStylePr>
    <w:tblStylePr w:type="band1Horz">
      <w:tblPr/>
      <w:tcPr>
        <w:tcBorders>
          <w:top w:val="single" w:sz="8" w:space="0" w:color="8FB08C"/>
          <w:left w:val="single" w:sz="8" w:space="0" w:color="8FB08C"/>
          <w:bottom w:val="single" w:sz="8" w:space="0" w:color="8FB08C"/>
          <w:right w:val="single" w:sz="8" w:space="0" w:color="8FB08C"/>
        </w:tcBorders>
      </w:tcPr>
    </w:tblStylePr>
  </w:style>
  <w:style w:type="table" w:customStyle="1" w:styleId="LightGrid-Accent5132">
    <w:name w:val="Light Grid - Accent 5132"/>
    <w:basedOn w:val="TableNormal"/>
    <w:next w:val="LightGrid-Accent5"/>
    <w:uiPriority w:val="62"/>
    <w:rsid w:val="00797049"/>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omic Sans MS" w:eastAsia="Times New Roman" w:hAnsi="Comic Sans MS"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omic Sans MS" w:eastAsia="Times New Roman" w:hAnsi="Comic Sans MS"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omic Sans MS" w:eastAsia="Times New Roman" w:hAnsi="Comic Sans MS" w:cs="Times New Roman"/>
        <w:b/>
        <w:bCs/>
      </w:rPr>
    </w:tblStylePr>
    <w:tblStylePr w:type="lastCol">
      <w:rPr>
        <w:rFonts w:ascii="Comic Sans MS" w:eastAsia="Times New Roman" w:hAnsi="Comic Sans MS"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1131">
    <w:name w:val="Светло сенчење – наглашавање 1131"/>
    <w:basedOn w:val="TableNormal"/>
    <w:uiPriority w:val="60"/>
    <w:rsid w:val="00797049"/>
    <w:pPr>
      <w:spacing w:after="0" w:line="240" w:lineRule="auto"/>
    </w:pPr>
    <w:rPr>
      <w:rFonts w:ascii="Calibri" w:eastAsia="Calibri" w:hAnsi="Calibri" w:cs="Times New Roman"/>
      <w:color w:val="365F91"/>
      <w:sz w:val="20"/>
      <w:szCs w:val="20"/>
      <w:lang w:val="sr-Latn-CS" w:eastAsia="en-GB"/>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Grid-Accent542">
    <w:name w:val="Light Grid - Accent 542"/>
    <w:basedOn w:val="TableNormal"/>
    <w:next w:val="LightGrid-Accent5"/>
    <w:uiPriority w:val="62"/>
    <w:rsid w:val="00797049"/>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Comic Sans MS" w:eastAsia="Times New Roman" w:hAnsi="Comic Sans MS"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Comic Sans MS" w:eastAsia="Times New Roman" w:hAnsi="Comic Sans MS"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Comic Sans MS" w:eastAsia="Times New Roman" w:hAnsi="Comic Sans MS" w:cs="Times New Roman"/>
        <w:b/>
        <w:bCs/>
      </w:rPr>
    </w:tblStylePr>
    <w:tblStylePr w:type="lastCol">
      <w:rPr>
        <w:rFonts w:ascii="Comic Sans MS" w:eastAsia="Times New Roman" w:hAnsi="Comic Sans MS"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Shading-Accent1231">
    <w:name w:val="Light Shading - Accent 1231"/>
    <w:basedOn w:val="TableNormal"/>
    <w:uiPriority w:val="60"/>
    <w:rsid w:val="00797049"/>
    <w:pPr>
      <w:spacing w:after="0" w:line="240" w:lineRule="auto"/>
    </w:pPr>
    <w:rPr>
      <w:rFonts w:ascii="Cambria" w:eastAsia="Calibri" w:hAnsi="Cambria" w:cs="Times New Roman"/>
      <w:color w:val="A8422A"/>
      <w:sz w:val="20"/>
      <w:szCs w:val="20"/>
      <w:lang w:val="en-GB" w:eastAsia="sr-Cyrl-CS"/>
    </w:rPr>
    <w:tblPr>
      <w:tblStyleRowBandSize w:val="1"/>
      <w:tblStyleColBandSize w:val="1"/>
      <w:tblBorders>
        <w:top w:val="single" w:sz="8" w:space="0" w:color="D16349"/>
        <w:bottom w:val="single" w:sz="8" w:space="0" w:color="D16349"/>
      </w:tblBorders>
    </w:tblPr>
    <w:tblStylePr w:type="fir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la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D8D2"/>
      </w:tcPr>
    </w:tblStylePr>
    <w:tblStylePr w:type="band1Horz">
      <w:tblPr/>
      <w:tcPr>
        <w:tcBorders>
          <w:left w:val="nil"/>
          <w:right w:val="nil"/>
          <w:insideH w:val="nil"/>
          <w:insideV w:val="nil"/>
        </w:tcBorders>
        <w:shd w:val="clear" w:color="auto" w:fill="F3D8D2"/>
      </w:tcPr>
    </w:tblStylePr>
  </w:style>
  <w:style w:type="table" w:customStyle="1" w:styleId="LightList-Accent3231">
    <w:name w:val="Light List - Accent 3231"/>
    <w:basedOn w:val="TableNormal"/>
    <w:next w:val="LightList-Accent3"/>
    <w:uiPriority w:val="61"/>
    <w:rsid w:val="00797049"/>
    <w:pPr>
      <w:spacing w:after="0" w:line="240" w:lineRule="auto"/>
    </w:pPr>
    <w:rPr>
      <w:rFonts w:ascii="Calibri" w:eastAsia="Calibri" w:hAnsi="Calibri" w:cs="Times New Roman"/>
      <w:sz w:val="20"/>
      <w:szCs w:val="20"/>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31131">
    <w:name w:val="Light List - Accent 31131"/>
    <w:basedOn w:val="TableNormal"/>
    <w:next w:val="LightList-Accent3"/>
    <w:uiPriority w:val="61"/>
    <w:rsid w:val="00797049"/>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Shading-Accent13141">
    <w:name w:val="Light Shading - Accent 13141"/>
    <w:basedOn w:val="TableNormal"/>
    <w:uiPriority w:val="60"/>
    <w:rsid w:val="00797049"/>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51">
    <w:name w:val="Light Shading - Accent 13151"/>
    <w:basedOn w:val="TableNormal"/>
    <w:uiPriority w:val="60"/>
    <w:rsid w:val="00797049"/>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231">
    <w:name w:val="Light Shading - Accent 13231"/>
    <w:basedOn w:val="TableNormal"/>
    <w:uiPriority w:val="60"/>
    <w:rsid w:val="00797049"/>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61">
    <w:name w:val="Light Shading - Accent 13161"/>
    <w:basedOn w:val="TableNormal"/>
    <w:uiPriority w:val="60"/>
    <w:rsid w:val="00797049"/>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811">
    <w:name w:val="Light Shading - Accent 13811"/>
    <w:basedOn w:val="TableNormal"/>
    <w:uiPriority w:val="60"/>
    <w:rsid w:val="00797049"/>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81">
    <w:name w:val="Light Shading - Accent 1181"/>
    <w:basedOn w:val="TableNormal"/>
    <w:uiPriority w:val="60"/>
    <w:rsid w:val="00797049"/>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911">
    <w:name w:val="Light Shading - Accent 13911"/>
    <w:basedOn w:val="TableNormal"/>
    <w:uiPriority w:val="60"/>
    <w:rsid w:val="00797049"/>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611">
    <w:name w:val="Light Shading - Accent 11611"/>
    <w:basedOn w:val="TableNormal"/>
    <w:uiPriority w:val="60"/>
    <w:rsid w:val="00797049"/>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011">
    <w:name w:val="Light Shading - Accent 131011"/>
    <w:basedOn w:val="TableNormal"/>
    <w:uiPriority w:val="60"/>
    <w:rsid w:val="00797049"/>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611">
    <w:name w:val="Light Shading - Accent 13611"/>
    <w:basedOn w:val="TableNormal"/>
    <w:uiPriority w:val="60"/>
    <w:rsid w:val="00797049"/>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91">
    <w:name w:val="Light Shading - Accent 1191"/>
    <w:basedOn w:val="TableNormal"/>
    <w:uiPriority w:val="60"/>
    <w:rsid w:val="00797049"/>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3311">
    <w:name w:val="Light Shading - Accent 3311"/>
    <w:basedOn w:val="TableNormal"/>
    <w:next w:val="LightShading-Accent3"/>
    <w:uiPriority w:val="60"/>
    <w:rsid w:val="00797049"/>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Shading-Accent3321">
    <w:name w:val="Light Shading - Accent 3321"/>
    <w:basedOn w:val="TableNormal"/>
    <w:next w:val="LightShading-Accent3"/>
    <w:uiPriority w:val="60"/>
    <w:rsid w:val="00797049"/>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Shading-Accent3331">
    <w:name w:val="Light Shading - Accent 3331"/>
    <w:basedOn w:val="TableNormal"/>
    <w:next w:val="LightShading-Accent3"/>
    <w:uiPriority w:val="60"/>
    <w:rsid w:val="00797049"/>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Shading-Accent3411">
    <w:name w:val="Light Shading - Accent 3411"/>
    <w:basedOn w:val="TableNormal"/>
    <w:next w:val="LightShading-Accent3"/>
    <w:uiPriority w:val="60"/>
    <w:rsid w:val="00797049"/>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Shading-Accent3421">
    <w:name w:val="Light Shading - Accent 3421"/>
    <w:basedOn w:val="TableNormal"/>
    <w:next w:val="LightShading-Accent3"/>
    <w:uiPriority w:val="60"/>
    <w:rsid w:val="00797049"/>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Grid-Accent5141">
    <w:name w:val="Light Grid - Accent 5141"/>
    <w:basedOn w:val="TableNormal"/>
    <w:next w:val="LightGrid-Accent5"/>
    <w:uiPriority w:val="62"/>
    <w:rsid w:val="00797049"/>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551">
    <w:name w:val="Light Grid - Accent 551"/>
    <w:basedOn w:val="TableNormal"/>
    <w:next w:val="LightGrid-Accent5"/>
    <w:uiPriority w:val="62"/>
    <w:rsid w:val="00797049"/>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Grid-Accent51111">
    <w:name w:val="Light Grid - Accent 51111"/>
    <w:basedOn w:val="TableNormal"/>
    <w:next w:val="LightGrid-Accent5"/>
    <w:uiPriority w:val="62"/>
    <w:rsid w:val="00797049"/>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5211">
    <w:name w:val="Light Grid - Accent 5211"/>
    <w:basedOn w:val="TableNormal"/>
    <w:next w:val="LightGrid-Accent5"/>
    <w:uiPriority w:val="62"/>
    <w:rsid w:val="00797049"/>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Grid-Accent51211">
    <w:name w:val="Light Grid - Accent 51211"/>
    <w:basedOn w:val="TableNormal"/>
    <w:next w:val="LightGrid-Accent5"/>
    <w:uiPriority w:val="62"/>
    <w:rsid w:val="00797049"/>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5311">
    <w:name w:val="Light Grid - Accent 5311"/>
    <w:basedOn w:val="TableNormal"/>
    <w:next w:val="LightGrid-Accent5"/>
    <w:uiPriority w:val="62"/>
    <w:rsid w:val="00797049"/>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Grid-Accent51311">
    <w:name w:val="Light Grid - Accent 51311"/>
    <w:basedOn w:val="TableNormal"/>
    <w:next w:val="LightGrid-Accent5"/>
    <w:uiPriority w:val="62"/>
    <w:rsid w:val="00797049"/>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5411">
    <w:name w:val="Light Grid - Accent 5411"/>
    <w:basedOn w:val="TableNormal"/>
    <w:next w:val="LightGrid-Accent5"/>
    <w:uiPriority w:val="62"/>
    <w:rsid w:val="00797049"/>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Shading-Accent62">
    <w:name w:val="Light Shading - Accent 62"/>
    <w:basedOn w:val="TableNormal"/>
    <w:next w:val="LightShading-Accent6"/>
    <w:uiPriority w:val="60"/>
    <w:rsid w:val="00797049"/>
    <w:pPr>
      <w:spacing w:after="0" w:line="240" w:lineRule="auto"/>
    </w:pPr>
    <w:rPr>
      <w:rFonts w:ascii="Calibri" w:eastAsia="Calibri" w:hAnsi="Calibri" w:cs="Times New Roman"/>
      <w:color w:val="393939"/>
      <w:sz w:val="20"/>
      <w:szCs w:val="20"/>
    </w:rPr>
    <w:tblPr>
      <w:tblStyleRowBandSize w:val="1"/>
      <w:tblStyleColBandSize w:val="1"/>
      <w:tblBorders>
        <w:top w:val="single" w:sz="8" w:space="0" w:color="4D4D4D"/>
        <w:bottom w:val="single" w:sz="8" w:space="0" w:color="4D4D4D"/>
      </w:tblBorders>
    </w:tblPr>
    <w:tblStylePr w:type="firstRow">
      <w:pPr>
        <w:spacing w:beforeLines="0" w:before="0" w:beforeAutospacing="0" w:afterLines="0" w:after="0" w:afterAutospacing="0" w:line="240" w:lineRule="auto"/>
      </w:pPr>
      <w:rPr>
        <w:b/>
        <w:bCs/>
      </w:rPr>
      <w:tblPr/>
      <w:tcPr>
        <w:tcBorders>
          <w:top w:val="single" w:sz="8" w:space="0" w:color="4D4D4D"/>
          <w:left w:val="nil"/>
          <w:bottom w:val="single" w:sz="8" w:space="0" w:color="4D4D4D"/>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4D4D4D"/>
          <w:left w:val="nil"/>
          <w:bottom w:val="single" w:sz="8" w:space="0" w:color="4D4D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3D3"/>
      </w:tcPr>
    </w:tblStylePr>
    <w:tblStylePr w:type="band1Horz">
      <w:tblPr/>
      <w:tcPr>
        <w:tcBorders>
          <w:left w:val="nil"/>
          <w:right w:val="nil"/>
          <w:insideH w:val="nil"/>
          <w:insideV w:val="nil"/>
        </w:tcBorders>
        <w:shd w:val="clear" w:color="auto" w:fill="D3D3D3"/>
      </w:tcPr>
    </w:tblStylePr>
  </w:style>
  <w:style w:type="table" w:customStyle="1" w:styleId="GridTable6Colorful-Accent42">
    <w:name w:val="Grid Table 6 Colorful - Accent 42"/>
    <w:basedOn w:val="TableNormal"/>
    <w:next w:val="GridTable6Colorful-Accent43"/>
    <w:uiPriority w:val="51"/>
    <w:rsid w:val="00797049"/>
    <w:pPr>
      <w:spacing w:after="0" w:line="240" w:lineRule="auto"/>
    </w:pPr>
    <w:rPr>
      <w:color w:val="5F5F5F"/>
    </w:rPr>
    <w:tblPr>
      <w:tblStyleRowBandSize w:val="1"/>
      <w:tblStyleColBandSize w:val="1"/>
      <w:tblBorders>
        <w:top w:val="single" w:sz="4" w:space="0" w:color="B2B2B2"/>
        <w:left w:val="single" w:sz="4" w:space="0" w:color="B2B2B2"/>
        <w:bottom w:val="single" w:sz="4" w:space="0" w:color="B2B2B2"/>
        <w:right w:val="single" w:sz="4" w:space="0" w:color="B2B2B2"/>
        <w:insideH w:val="single" w:sz="4" w:space="0" w:color="B2B2B2"/>
        <w:insideV w:val="single" w:sz="4" w:space="0" w:color="B2B2B2"/>
      </w:tblBorders>
    </w:tblPr>
    <w:tblStylePr w:type="firstRow">
      <w:rPr>
        <w:b/>
        <w:bCs/>
      </w:rPr>
      <w:tblPr/>
      <w:tcPr>
        <w:tcBorders>
          <w:bottom w:val="single" w:sz="12" w:space="0" w:color="B2B2B2"/>
        </w:tcBorders>
      </w:tcPr>
    </w:tblStylePr>
    <w:tblStylePr w:type="lastRow">
      <w:rPr>
        <w:b/>
        <w:bCs/>
      </w:rPr>
      <w:tblPr/>
      <w:tcPr>
        <w:tcBorders>
          <w:top w:val="double" w:sz="4" w:space="0" w:color="B2B2B2"/>
        </w:tcBorders>
      </w:tcPr>
    </w:tblStylePr>
    <w:tblStylePr w:type="firstCol">
      <w:rPr>
        <w:b/>
        <w:bCs/>
      </w:rPr>
    </w:tblStylePr>
    <w:tblStylePr w:type="lastCol">
      <w:rPr>
        <w:b/>
        <w:bCs/>
      </w:rPr>
    </w:tblStylePr>
    <w:tblStylePr w:type="band1Vert">
      <w:tblPr/>
      <w:tcPr>
        <w:shd w:val="clear" w:color="auto" w:fill="E5E5E5"/>
      </w:tcPr>
    </w:tblStylePr>
    <w:tblStylePr w:type="band1Horz">
      <w:tblPr/>
      <w:tcPr>
        <w:shd w:val="clear" w:color="auto" w:fill="E5E5E5"/>
      </w:tcPr>
    </w:tblStylePr>
  </w:style>
  <w:style w:type="table" w:customStyle="1" w:styleId="GridTable6Colorful-Accent32">
    <w:name w:val="Grid Table 6 Colorful - Accent 32"/>
    <w:basedOn w:val="TableNormal"/>
    <w:next w:val="GridTable6Colorful-Accent33"/>
    <w:uiPriority w:val="51"/>
    <w:rsid w:val="00797049"/>
    <w:pPr>
      <w:spacing w:after="0" w:line="240" w:lineRule="auto"/>
    </w:pPr>
    <w:rPr>
      <w:rFonts w:ascii="Calibri" w:eastAsia="Calibri" w:hAnsi="Calibri" w:cs="Times New Roman"/>
      <w:color w:val="707070"/>
      <w:sz w:val="20"/>
      <w:szCs w:val="20"/>
    </w:rPr>
    <w:tblPr>
      <w:tblStyleRowBandSize w:val="1"/>
      <w:tblStyleColBandSize w:val="1"/>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Pr>
    <w:tblStylePr w:type="firstRow">
      <w:rPr>
        <w:b/>
        <w:bCs/>
      </w:rPr>
      <w:tblPr/>
      <w:tcPr>
        <w:tcBorders>
          <w:bottom w:val="single" w:sz="12" w:space="0" w:color="C0C0C0"/>
        </w:tcBorders>
      </w:tcPr>
    </w:tblStylePr>
    <w:tblStylePr w:type="lastRow">
      <w:rPr>
        <w:b/>
        <w:bCs/>
      </w:rPr>
      <w:tblPr/>
      <w:tcPr>
        <w:tcBorders>
          <w:top w:val="double" w:sz="4" w:space="0" w:color="C0C0C0"/>
        </w:tcBorders>
      </w:tcPr>
    </w:tblStylePr>
    <w:tblStylePr w:type="firstCol">
      <w:rPr>
        <w:b/>
        <w:bCs/>
      </w:rPr>
    </w:tblStylePr>
    <w:tblStylePr w:type="lastCol">
      <w:rPr>
        <w:b/>
        <w:bCs/>
      </w:rPr>
    </w:tblStylePr>
    <w:tblStylePr w:type="band1Vert">
      <w:tblPr/>
      <w:tcPr>
        <w:shd w:val="clear" w:color="auto" w:fill="EAEAEA"/>
      </w:tcPr>
    </w:tblStylePr>
    <w:tblStylePr w:type="band1Horz">
      <w:tblPr/>
      <w:tcPr>
        <w:shd w:val="clear" w:color="auto" w:fill="EAEAEA"/>
      </w:tcPr>
    </w:tblStylePr>
  </w:style>
  <w:style w:type="table" w:customStyle="1" w:styleId="GridTable4-Accent52">
    <w:name w:val="Grid Table 4 - Accent 52"/>
    <w:basedOn w:val="TableNormal"/>
    <w:next w:val="GridTable4-Accent53"/>
    <w:uiPriority w:val="49"/>
    <w:rsid w:val="00797049"/>
    <w:pPr>
      <w:spacing w:after="0" w:line="240" w:lineRule="auto"/>
    </w:pPr>
    <w:rPr>
      <w:rFonts w:ascii="Calibri" w:eastAsia="Calibri" w:hAnsi="Calibri" w:cs="Times New Roman"/>
      <w:sz w:val="20"/>
      <w:szCs w:val="20"/>
    </w:rPr>
    <w:tblPr>
      <w:tblStyleRowBandSize w:val="1"/>
      <w:tblStyleColBandSize w:val="1"/>
      <w:tblBorders>
        <w:top w:val="single" w:sz="4" w:space="0" w:color="9F9F9F"/>
        <w:left w:val="single" w:sz="4" w:space="0" w:color="9F9F9F"/>
        <w:bottom w:val="single" w:sz="4" w:space="0" w:color="9F9F9F"/>
        <w:right w:val="single" w:sz="4" w:space="0" w:color="9F9F9F"/>
        <w:insideH w:val="single" w:sz="4" w:space="0" w:color="9F9F9F"/>
        <w:insideV w:val="single" w:sz="4" w:space="0" w:color="9F9F9F"/>
      </w:tblBorders>
    </w:tblPr>
    <w:tblStylePr w:type="firstRow">
      <w:rPr>
        <w:b/>
        <w:bCs/>
        <w:color w:val="FFFFFF"/>
      </w:rPr>
      <w:tblPr/>
      <w:tcPr>
        <w:tcBorders>
          <w:top w:val="single" w:sz="4" w:space="0" w:color="5F5F5F"/>
          <w:left w:val="single" w:sz="4" w:space="0" w:color="5F5F5F"/>
          <w:bottom w:val="single" w:sz="4" w:space="0" w:color="5F5F5F"/>
          <w:right w:val="single" w:sz="4" w:space="0" w:color="5F5F5F"/>
          <w:insideH w:val="nil"/>
          <w:insideV w:val="nil"/>
        </w:tcBorders>
        <w:shd w:val="clear" w:color="auto" w:fill="5F5F5F"/>
      </w:tcPr>
    </w:tblStylePr>
    <w:tblStylePr w:type="lastRow">
      <w:rPr>
        <w:b/>
        <w:bCs/>
      </w:rPr>
      <w:tblPr/>
      <w:tcPr>
        <w:tcBorders>
          <w:top w:val="double" w:sz="4" w:space="0" w:color="5F5F5F"/>
        </w:tcBorders>
      </w:tcPr>
    </w:tblStylePr>
    <w:tblStylePr w:type="firstCol">
      <w:rPr>
        <w:b/>
        <w:bCs/>
      </w:rPr>
    </w:tblStylePr>
    <w:tblStylePr w:type="lastCol">
      <w:rPr>
        <w:b/>
        <w:bCs/>
      </w:rPr>
    </w:tblStylePr>
    <w:tblStylePr w:type="band1Vert">
      <w:tblPr/>
      <w:tcPr>
        <w:shd w:val="clear" w:color="auto" w:fill="DFDFDF"/>
      </w:tcPr>
    </w:tblStylePr>
    <w:tblStylePr w:type="band1Horz">
      <w:tblPr/>
      <w:tcPr>
        <w:shd w:val="clear" w:color="auto" w:fill="DFDFDF"/>
      </w:tcPr>
    </w:tblStylePr>
  </w:style>
  <w:style w:type="table" w:customStyle="1" w:styleId="GridTable5Dark-Accent52">
    <w:name w:val="Grid Table 5 Dark - Accent 52"/>
    <w:basedOn w:val="TableNormal"/>
    <w:next w:val="GridTable5Dark-Accent53"/>
    <w:uiPriority w:val="50"/>
    <w:rsid w:val="00797049"/>
    <w:pPr>
      <w:spacing w:after="0" w:line="240" w:lineRule="auto"/>
    </w:pPr>
    <w:rPr>
      <w:rFonts w:ascii="Calibri" w:eastAsia="Calibri" w:hAnsi="Calibri" w:cs="Times New Roman"/>
      <w:sz w:val="20"/>
      <w:szCs w:val="20"/>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DFDFDF"/>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5F5F5F"/>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5F5F5F"/>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5F5F5F"/>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5F5F5F"/>
      </w:tcPr>
    </w:tblStylePr>
    <w:tblStylePr w:type="band1Vert">
      <w:tblPr/>
      <w:tcPr>
        <w:shd w:val="clear" w:color="auto" w:fill="BFBFBF"/>
      </w:tcPr>
    </w:tblStylePr>
    <w:tblStylePr w:type="band1Horz">
      <w:tblPr/>
      <w:tcPr>
        <w:shd w:val="clear" w:color="auto" w:fill="BFBFBF"/>
      </w:tcPr>
    </w:tblStylePr>
  </w:style>
  <w:style w:type="table" w:customStyle="1" w:styleId="1">
    <w:name w:val="ФС1"/>
    <w:basedOn w:val="TableNormal"/>
    <w:uiPriority w:val="99"/>
    <w:rsid w:val="00797049"/>
    <w:pPr>
      <w:spacing w:after="0" w:line="240" w:lineRule="auto"/>
    </w:pPr>
    <w:rPr>
      <w:rFonts w:ascii="Calibri" w:eastAsia="Calibri" w:hAnsi="Calibri" w:cs="Times New Roman"/>
      <w:sz w:val="20"/>
      <w:szCs w:val="20"/>
    </w:rPr>
    <w:tblPr/>
  </w:style>
  <w:style w:type="table" w:customStyle="1" w:styleId="ListTable6Colorful-Accent32">
    <w:name w:val="List Table 6 Colorful - Accent 32"/>
    <w:basedOn w:val="TableNormal"/>
    <w:next w:val="ListTable6Colorful-Accent33"/>
    <w:uiPriority w:val="51"/>
    <w:rsid w:val="00797049"/>
    <w:pPr>
      <w:spacing w:after="0" w:line="240" w:lineRule="auto"/>
    </w:pPr>
    <w:rPr>
      <w:rFonts w:ascii="Calibri" w:eastAsia="Calibri" w:hAnsi="Calibri" w:cs="Times New Roman"/>
      <w:color w:val="707070"/>
      <w:sz w:val="20"/>
      <w:szCs w:val="20"/>
    </w:rPr>
    <w:tblPr>
      <w:tblStyleRowBandSize w:val="1"/>
      <w:tblStyleColBandSize w:val="1"/>
      <w:tblBorders>
        <w:top w:val="single" w:sz="4" w:space="0" w:color="969696"/>
        <w:bottom w:val="single" w:sz="4" w:space="0" w:color="969696"/>
      </w:tblBorders>
    </w:tblPr>
    <w:tblStylePr w:type="firstRow">
      <w:rPr>
        <w:b/>
        <w:bCs/>
      </w:rPr>
      <w:tblPr/>
      <w:tcPr>
        <w:tcBorders>
          <w:bottom w:val="single" w:sz="4" w:space="0" w:color="969696"/>
        </w:tcBorders>
      </w:tcPr>
    </w:tblStylePr>
    <w:tblStylePr w:type="lastRow">
      <w:rPr>
        <w:b/>
        <w:bCs/>
      </w:rPr>
      <w:tblPr/>
      <w:tcPr>
        <w:tcBorders>
          <w:top w:val="double" w:sz="4" w:space="0" w:color="969696"/>
        </w:tcBorders>
      </w:tcPr>
    </w:tblStylePr>
    <w:tblStylePr w:type="firstCol">
      <w:rPr>
        <w:b/>
        <w:bCs/>
      </w:rPr>
    </w:tblStylePr>
    <w:tblStylePr w:type="lastCol">
      <w:rPr>
        <w:b/>
        <w:bCs/>
      </w:rPr>
    </w:tblStylePr>
    <w:tblStylePr w:type="band1Vert">
      <w:tblPr/>
      <w:tcPr>
        <w:shd w:val="clear" w:color="auto" w:fill="EAEAEA"/>
      </w:tcPr>
    </w:tblStylePr>
    <w:tblStylePr w:type="band1Horz">
      <w:tblPr/>
      <w:tcPr>
        <w:shd w:val="clear" w:color="auto" w:fill="EAEAEA"/>
      </w:tcPr>
    </w:tblStylePr>
  </w:style>
  <w:style w:type="table" w:customStyle="1" w:styleId="GridTable1Light-Accent12">
    <w:name w:val="Grid Table 1 Light - Accent 12"/>
    <w:basedOn w:val="TableNormal"/>
    <w:next w:val="GridTable1Light-Accent13"/>
    <w:uiPriority w:val="46"/>
    <w:rsid w:val="00797049"/>
    <w:pPr>
      <w:spacing w:after="0" w:line="240" w:lineRule="auto"/>
    </w:pPr>
    <w:tblPr>
      <w:tblStyleRowBandSize w:val="1"/>
      <w:tblStyleColBandSize w:val="1"/>
      <w:tblBorders>
        <w:top w:val="single" w:sz="4" w:space="0" w:color="F8B4A6"/>
        <w:left w:val="single" w:sz="4" w:space="0" w:color="F8B4A6"/>
        <w:bottom w:val="single" w:sz="4" w:space="0" w:color="F8B4A6"/>
        <w:right w:val="single" w:sz="4" w:space="0" w:color="F8B4A6"/>
        <w:insideH w:val="single" w:sz="4" w:space="0" w:color="F8B4A6"/>
        <w:insideV w:val="single" w:sz="4" w:space="0" w:color="F8B4A6"/>
      </w:tblBorders>
    </w:tblPr>
    <w:tblStylePr w:type="firstRow">
      <w:rPr>
        <w:b/>
        <w:bCs/>
      </w:rPr>
      <w:tblPr/>
      <w:tcPr>
        <w:tcBorders>
          <w:bottom w:val="single" w:sz="12" w:space="0" w:color="F58F7A"/>
        </w:tcBorders>
      </w:tcPr>
    </w:tblStylePr>
    <w:tblStylePr w:type="lastRow">
      <w:rPr>
        <w:b/>
        <w:bCs/>
      </w:rPr>
      <w:tblPr/>
      <w:tcPr>
        <w:tcBorders>
          <w:top w:val="double" w:sz="2" w:space="0" w:color="F58F7A"/>
        </w:tcBorders>
      </w:tcPr>
    </w:tblStylePr>
    <w:tblStylePr w:type="firstCol">
      <w:rPr>
        <w:b/>
        <w:bCs/>
      </w:rPr>
    </w:tblStylePr>
    <w:tblStylePr w:type="lastCol">
      <w:rPr>
        <w:b/>
        <w:bCs/>
      </w:rPr>
    </w:tblStylePr>
  </w:style>
  <w:style w:type="table" w:customStyle="1" w:styleId="ListTable1Light-Accent12">
    <w:name w:val="List Table 1 Light - Accent 12"/>
    <w:basedOn w:val="TableNormal"/>
    <w:next w:val="ListTable1Light-Accent13"/>
    <w:uiPriority w:val="46"/>
    <w:rsid w:val="00797049"/>
    <w:pPr>
      <w:spacing w:after="0" w:line="240" w:lineRule="auto"/>
    </w:pPr>
    <w:tblPr>
      <w:tblStyleRowBandSize w:val="1"/>
      <w:tblStyleColBandSize w:val="1"/>
    </w:tblPr>
    <w:tblStylePr w:type="firstRow">
      <w:rPr>
        <w:b/>
        <w:bCs/>
      </w:rPr>
      <w:tblPr/>
      <w:tcPr>
        <w:tcBorders>
          <w:bottom w:val="single" w:sz="4" w:space="0" w:color="F58F7A"/>
        </w:tcBorders>
      </w:tcPr>
    </w:tblStylePr>
    <w:tblStylePr w:type="lastRow">
      <w:rPr>
        <w:b/>
        <w:bCs/>
      </w:rPr>
      <w:tblPr/>
      <w:tcPr>
        <w:tcBorders>
          <w:top w:val="single" w:sz="4" w:space="0" w:color="F58F7A"/>
        </w:tcBorders>
      </w:tcPr>
    </w:tblStylePr>
    <w:tblStylePr w:type="firstCol">
      <w:rPr>
        <w:b/>
        <w:bCs/>
      </w:rPr>
    </w:tblStylePr>
    <w:tblStylePr w:type="lastCol">
      <w:rPr>
        <w:b/>
        <w:bCs/>
      </w:rPr>
    </w:tblStylePr>
    <w:tblStylePr w:type="band1Vert">
      <w:tblPr/>
      <w:tcPr>
        <w:shd w:val="clear" w:color="auto" w:fill="FBD9D2"/>
      </w:tcPr>
    </w:tblStylePr>
    <w:tblStylePr w:type="band1Horz">
      <w:tblPr/>
      <w:tcPr>
        <w:shd w:val="clear" w:color="auto" w:fill="FBD9D2"/>
      </w:tcPr>
    </w:tblStylePr>
  </w:style>
  <w:style w:type="table" w:customStyle="1" w:styleId="ListTable2-Accent12">
    <w:name w:val="List Table 2 - Accent 12"/>
    <w:basedOn w:val="TableNormal"/>
    <w:next w:val="ListTable2-Accent13"/>
    <w:uiPriority w:val="47"/>
    <w:rsid w:val="00797049"/>
    <w:pPr>
      <w:spacing w:after="0" w:line="240" w:lineRule="auto"/>
    </w:pPr>
    <w:tblPr>
      <w:tblStyleRowBandSize w:val="1"/>
      <w:tblStyleColBandSize w:val="1"/>
      <w:tblBorders>
        <w:top w:val="single" w:sz="4" w:space="0" w:color="F58F7A"/>
        <w:bottom w:val="single" w:sz="4" w:space="0" w:color="F58F7A"/>
        <w:insideH w:val="single" w:sz="4" w:space="0" w:color="F58F7A"/>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BD9D2"/>
      </w:tcPr>
    </w:tblStylePr>
    <w:tblStylePr w:type="band1Horz">
      <w:tblPr/>
      <w:tcPr>
        <w:shd w:val="clear" w:color="auto" w:fill="FBD9D2"/>
      </w:tcPr>
    </w:tblStylePr>
  </w:style>
  <w:style w:type="table" w:customStyle="1" w:styleId="ListTable2-Accent52">
    <w:name w:val="List Table 2 - Accent 52"/>
    <w:basedOn w:val="TableNormal"/>
    <w:next w:val="ListTable2-Accent53"/>
    <w:uiPriority w:val="47"/>
    <w:rsid w:val="00797049"/>
    <w:pPr>
      <w:spacing w:after="0" w:line="240" w:lineRule="auto"/>
    </w:pPr>
    <w:tblPr>
      <w:tblStyleRowBandSize w:val="1"/>
      <w:tblStyleColBandSize w:val="1"/>
      <w:tblBorders>
        <w:top w:val="single" w:sz="4" w:space="0" w:color="9F9F9F"/>
        <w:bottom w:val="single" w:sz="4" w:space="0" w:color="9F9F9F"/>
        <w:insideH w:val="single" w:sz="4" w:space="0" w:color="9F9F9F"/>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FDFDF"/>
      </w:tcPr>
    </w:tblStylePr>
    <w:tblStylePr w:type="band1Horz">
      <w:tblPr/>
      <w:tcPr>
        <w:shd w:val="clear" w:color="auto" w:fill="DFDFDF"/>
      </w:tcPr>
    </w:tblStylePr>
  </w:style>
  <w:style w:type="table" w:customStyle="1" w:styleId="GridTable2-Accent52">
    <w:name w:val="Grid Table 2 - Accent 52"/>
    <w:basedOn w:val="TableNormal"/>
    <w:next w:val="GridTable2-Accent53"/>
    <w:uiPriority w:val="47"/>
    <w:rsid w:val="00797049"/>
    <w:pPr>
      <w:spacing w:after="0" w:line="240" w:lineRule="auto"/>
    </w:pPr>
    <w:tblPr>
      <w:tblStyleRowBandSize w:val="1"/>
      <w:tblStyleColBandSize w:val="1"/>
      <w:tblBorders>
        <w:top w:val="single" w:sz="2" w:space="0" w:color="9F9F9F"/>
        <w:bottom w:val="single" w:sz="2" w:space="0" w:color="9F9F9F"/>
        <w:insideH w:val="single" w:sz="2" w:space="0" w:color="9F9F9F"/>
        <w:insideV w:val="single" w:sz="2" w:space="0" w:color="9F9F9F"/>
      </w:tblBorders>
    </w:tblPr>
    <w:tblStylePr w:type="firstRow">
      <w:rPr>
        <w:b/>
        <w:bCs/>
      </w:rPr>
      <w:tblPr/>
      <w:tcPr>
        <w:tcBorders>
          <w:top w:val="nil"/>
          <w:bottom w:val="single" w:sz="12" w:space="0" w:color="9F9F9F"/>
          <w:insideH w:val="nil"/>
          <w:insideV w:val="nil"/>
        </w:tcBorders>
        <w:shd w:val="clear" w:color="auto" w:fill="FFFFFF"/>
      </w:tcPr>
    </w:tblStylePr>
    <w:tblStylePr w:type="lastRow">
      <w:rPr>
        <w:b/>
        <w:bCs/>
      </w:rPr>
      <w:tblPr/>
      <w:tcPr>
        <w:tcBorders>
          <w:top w:val="double" w:sz="2" w:space="0" w:color="9F9F9F"/>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FDFDF"/>
      </w:tcPr>
    </w:tblStylePr>
    <w:tblStylePr w:type="band1Horz">
      <w:tblPr/>
      <w:tcPr>
        <w:shd w:val="clear" w:color="auto" w:fill="DFDFDF"/>
      </w:tcPr>
    </w:tblStylePr>
  </w:style>
  <w:style w:type="table" w:customStyle="1" w:styleId="GridTable6Colorful-Accent411">
    <w:name w:val="Grid Table 6 Colorful - Accent 411"/>
    <w:basedOn w:val="TableNormal"/>
    <w:uiPriority w:val="51"/>
    <w:rsid w:val="00797049"/>
    <w:pPr>
      <w:spacing w:after="0" w:line="240" w:lineRule="auto"/>
    </w:pPr>
    <w:rPr>
      <w:color w:val="5F5F5F"/>
    </w:rPr>
    <w:tblPr>
      <w:tblStyleRowBandSize w:val="1"/>
      <w:tblStyleColBandSize w:val="1"/>
      <w:tblBorders>
        <w:top w:val="single" w:sz="4" w:space="0" w:color="B2B2B2"/>
        <w:left w:val="single" w:sz="4" w:space="0" w:color="B2B2B2"/>
        <w:bottom w:val="single" w:sz="4" w:space="0" w:color="B2B2B2"/>
        <w:right w:val="single" w:sz="4" w:space="0" w:color="B2B2B2"/>
        <w:insideH w:val="single" w:sz="4" w:space="0" w:color="B2B2B2"/>
        <w:insideV w:val="single" w:sz="4" w:space="0" w:color="B2B2B2"/>
      </w:tblBorders>
    </w:tblPr>
    <w:tblStylePr w:type="firstRow">
      <w:rPr>
        <w:b/>
        <w:bCs/>
      </w:rPr>
      <w:tblPr/>
      <w:tcPr>
        <w:tcBorders>
          <w:bottom w:val="single" w:sz="12" w:space="0" w:color="B2B2B2"/>
        </w:tcBorders>
      </w:tcPr>
    </w:tblStylePr>
    <w:tblStylePr w:type="lastRow">
      <w:rPr>
        <w:b/>
        <w:bCs/>
      </w:rPr>
      <w:tblPr/>
      <w:tcPr>
        <w:tcBorders>
          <w:top w:val="double" w:sz="4" w:space="0" w:color="B2B2B2"/>
        </w:tcBorders>
      </w:tcPr>
    </w:tblStylePr>
    <w:tblStylePr w:type="firstCol">
      <w:rPr>
        <w:b/>
        <w:bCs/>
      </w:rPr>
    </w:tblStylePr>
    <w:tblStylePr w:type="lastCol">
      <w:rPr>
        <w:b/>
        <w:bCs/>
      </w:rPr>
    </w:tblStylePr>
    <w:tblStylePr w:type="band1Vert">
      <w:tblPr/>
      <w:tcPr>
        <w:shd w:val="clear" w:color="auto" w:fill="E5E5E5"/>
      </w:tcPr>
    </w:tblStylePr>
    <w:tblStylePr w:type="band1Horz">
      <w:tblPr/>
      <w:tcPr>
        <w:shd w:val="clear" w:color="auto" w:fill="E5E5E5"/>
      </w:tcPr>
    </w:tblStylePr>
  </w:style>
  <w:style w:type="table" w:customStyle="1" w:styleId="GridTable6Colorful-Accent311">
    <w:name w:val="Grid Table 6 Colorful - Accent 311"/>
    <w:basedOn w:val="TableNormal"/>
    <w:uiPriority w:val="51"/>
    <w:rsid w:val="00797049"/>
    <w:pPr>
      <w:spacing w:after="0" w:line="240" w:lineRule="auto"/>
    </w:pPr>
    <w:rPr>
      <w:rFonts w:ascii="Calibri" w:eastAsia="Calibri" w:hAnsi="Calibri" w:cs="Times New Roman"/>
      <w:color w:val="707070"/>
      <w:sz w:val="20"/>
      <w:szCs w:val="20"/>
    </w:rPr>
    <w:tblPr>
      <w:tblStyleRowBandSize w:val="1"/>
      <w:tblStyleColBandSize w:val="1"/>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Pr>
    <w:tblStylePr w:type="firstRow">
      <w:rPr>
        <w:b/>
        <w:bCs/>
      </w:rPr>
      <w:tblPr/>
      <w:tcPr>
        <w:tcBorders>
          <w:bottom w:val="single" w:sz="12" w:space="0" w:color="C0C0C0"/>
        </w:tcBorders>
      </w:tcPr>
    </w:tblStylePr>
    <w:tblStylePr w:type="lastRow">
      <w:rPr>
        <w:b/>
        <w:bCs/>
      </w:rPr>
      <w:tblPr/>
      <w:tcPr>
        <w:tcBorders>
          <w:top w:val="double" w:sz="4" w:space="0" w:color="C0C0C0"/>
        </w:tcBorders>
      </w:tcPr>
    </w:tblStylePr>
    <w:tblStylePr w:type="firstCol">
      <w:rPr>
        <w:b/>
        <w:bCs/>
      </w:rPr>
    </w:tblStylePr>
    <w:tblStylePr w:type="lastCol">
      <w:rPr>
        <w:b/>
        <w:bCs/>
      </w:rPr>
    </w:tblStylePr>
    <w:tblStylePr w:type="band1Vert">
      <w:tblPr/>
      <w:tcPr>
        <w:shd w:val="clear" w:color="auto" w:fill="EAEAEA"/>
      </w:tcPr>
    </w:tblStylePr>
    <w:tblStylePr w:type="band1Horz">
      <w:tblPr/>
      <w:tcPr>
        <w:shd w:val="clear" w:color="auto" w:fill="EAEAEA"/>
      </w:tcPr>
    </w:tblStylePr>
  </w:style>
  <w:style w:type="table" w:customStyle="1" w:styleId="TableGrid21">
    <w:name w:val="Table Grid21"/>
    <w:basedOn w:val="TableNormal"/>
    <w:next w:val="TableGrid"/>
    <w:uiPriority w:val="39"/>
    <w:rsid w:val="00797049"/>
    <w:pPr>
      <w:spacing w:before="120" w:after="120" w:line="264" w:lineRule="auto"/>
      <w:ind w:left="115" w:right="115"/>
    </w:pPr>
    <w:rPr>
      <w:rFonts w:eastAsia="MS PGothic"/>
      <w:sz w:val="20"/>
      <w:szCs w:val="20"/>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
    <w:tcPr>
      <w:vAlign w:val="center"/>
    </w:tcPr>
    <w:tblStylePr w:type="firstRow">
      <w:pPr>
        <w:wordWrap/>
        <w:jc w:val="center"/>
      </w:pPr>
      <w:rPr>
        <w:b/>
        <w:i w:val="0"/>
        <w:sz w:val="22"/>
      </w:rPr>
    </w:tblStylePr>
    <w:tblStylePr w:type="lastRow">
      <w:rPr>
        <w:b/>
        <w:i w:val="0"/>
        <w:sz w:val="22"/>
      </w:rPr>
      <w:tblPr/>
      <w:tcPr>
        <w:tcBorders>
          <w:top w:val="double" w:sz="4" w:space="0" w:color="auto"/>
          <w:left w:val="single" w:sz="4" w:space="0" w:color="auto"/>
          <w:bottom w:val="single" w:sz="18" w:space="0" w:color="auto"/>
          <w:right w:val="single" w:sz="4" w:space="0" w:color="auto"/>
          <w:insideH w:val="nil"/>
          <w:insideV w:val="single" w:sz="4" w:space="0" w:color="auto"/>
          <w:tl2br w:val="nil"/>
          <w:tr2bl w:val="nil"/>
        </w:tcBorders>
      </w:tcPr>
    </w:tblStylePr>
  </w:style>
  <w:style w:type="table" w:customStyle="1" w:styleId="LightShading-Accent1241">
    <w:name w:val="Light Shading - Accent 1241"/>
    <w:basedOn w:val="TableNormal"/>
    <w:uiPriority w:val="60"/>
    <w:rsid w:val="00797049"/>
    <w:pPr>
      <w:spacing w:after="0" w:line="264" w:lineRule="auto"/>
    </w:pPr>
    <w:rPr>
      <w:rFonts w:ascii="Cambria" w:eastAsia="Calibri" w:hAnsi="Cambria" w:cs="Times New Roman"/>
      <w:color w:val="A8422A"/>
      <w:sz w:val="20"/>
      <w:szCs w:val="20"/>
      <w:lang w:val="en-GB" w:eastAsia="sr-Cyrl-CS"/>
    </w:rPr>
    <w:tblPr>
      <w:tblStyleRowBandSize w:val="1"/>
      <w:tblStyleColBandSize w:val="1"/>
      <w:tblBorders>
        <w:top w:val="single" w:sz="8" w:space="0" w:color="D16349"/>
        <w:bottom w:val="single" w:sz="8" w:space="0" w:color="D16349"/>
      </w:tblBorders>
    </w:tblPr>
    <w:tblStylePr w:type="fir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la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D8D2"/>
      </w:tcPr>
    </w:tblStylePr>
    <w:tblStylePr w:type="band1Horz">
      <w:tblPr/>
      <w:tcPr>
        <w:tcBorders>
          <w:left w:val="nil"/>
          <w:right w:val="nil"/>
          <w:insideH w:val="nil"/>
          <w:insideV w:val="nil"/>
        </w:tcBorders>
        <w:shd w:val="clear" w:color="auto" w:fill="F3D8D2"/>
      </w:tcPr>
    </w:tblStylePr>
  </w:style>
  <w:style w:type="table" w:customStyle="1" w:styleId="LightShading-Accent1251">
    <w:name w:val="Light Shading - Accent 1251"/>
    <w:basedOn w:val="TableNormal"/>
    <w:uiPriority w:val="60"/>
    <w:rsid w:val="00797049"/>
    <w:pPr>
      <w:spacing w:after="0" w:line="240" w:lineRule="auto"/>
    </w:pPr>
    <w:rPr>
      <w:rFonts w:ascii="Cambria" w:eastAsia="Calibri" w:hAnsi="Cambria" w:cs="Times New Roman"/>
      <w:color w:val="A8422A"/>
      <w:sz w:val="20"/>
      <w:szCs w:val="20"/>
      <w:lang w:val="en-GB" w:eastAsia="sr-Cyrl-CS"/>
    </w:rPr>
    <w:tblPr>
      <w:tblStyleRowBandSize w:val="1"/>
      <w:tblStyleColBandSize w:val="1"/>
      <w:tblBorders>
        <w:top w:val="single" w:sz="8" w:space="0" w:color="D16349"/>
        <w:bottom w:val="single" w:sz="8" w:space="0" w:color="D16349"/>
      </w:tblBorders>
    </w:tblPr>
    <w:tblStylePr w:type="fir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la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D8D2"/>
      </w:tcPr>
    </w:tblStylePr>
    <w:tblStylePr w:type="band1Horz">
      <w:tblPr/>
      <w:tcPr>
        <w:tcBorders>
          <w:left w:val="nil"/>
          <w:right w:val="nil"/>
          <w:insideH w:val="nil"/>
          <w:insideV w:val="nil"/>
        </w:tcBorders>
        <w:shd w:val="clear" w:color="auto" w:fill="F3D8D2"/>
      </w:tcPr>
    </w:tblStylePr>
  </w:style>
  <w:style w:type="paragraph" w:styleId="Footer">
    <w:name w:val="footer"/>
    <w:basedOn w:val="Normal"/>
    <w:link w:val="FooterChar1"/>
    <w:uiPriority w:val="99"/>
    <w:unhideWhenUsed/>
    <w:rsid w:val="00797049"/>
    <w:pPr>
      <w:tabs>
        <w:tab w:val="center" w:pos="4680"/>
        <w:tab w:val="right" w:pos="9360"/>
      </w:tabs>
      <w:spacing w:after="0"/>
    </w:pPr>
  </w:style>
  <w:style w:type="character" w:customStyle="1" w:styleId="FooterChar1">
    <w:name w:val="Footer Char1"/>
    <w:basedOn w:val="DefaultParagraphFont"/>
    <w:link w:val="Footer"/>
    <w:uiPriority w:val="99"/>
    <w:rsid w:val="00797049"/>
  </w:style>
  <w:style w:type="paragraph" w:styleId="Title">
    <w:name w:val="Title"/>
    <w:basedOn w:val="Normal"/>
    <w:next w:val="Normal"/>
    <w:link w:val="TitleChar"/>
    <w:qFormat/>
    <w:rsid w:val="00797049"/>
    <w:pPr>
      <w:spacing w:after="0"/>
      <w:contextualSpacing/>
    </w:pPr>
    <w:rPr>
      <w:rFonts w:ascii="Arial" w:eastAsia="MS PGothic" w:hAnsi="Arial" w:cs="Arial"/>
      <w:color w:val="EF4623"/>
      <w:spacing w:val="-10"/>
      <w:sz w:val="56"/>
      <w:szCs w:val="56"/>
    </w:rPr>
  </w:style>
  <w:style w:type="character" w:customStyle="1" w:styleId="TitleChar2">
    <w:name w:val="Title Char2"/>
    <w:basedOn w:val="DefaultParagraphFont"/>
    <w:uiPriority w:val="10"/>
    <w:rsid w:val="0079704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qFormat/>
    <w:rsid w:val="00797049"/>
    <w:pPr>
      <w:numPr>
        <w:ilvl w:val="1"/>
      </w:numPr>
    </w:pPr>
    <w:rPr>
      <w:rFonts w:ascii="Arial" w:eastAsia="MS PGothic" w:hAnsi="Arial" w:cs="Arial"/>
      <w:szCs w:val="24"/>
    </w:rPr>
  </w:style>
  <w:style w:type="character" w:customStyle="1" w:styleId="SubtitleChar1">
    <w:name w:val="Subtitle Char1"/>
    <w:basedOn w:val="DefaultParagraphFont"/>
    <w:uiPriority w:val="11"/>
    <w:rsid w:val="00797049"/>
    <w:rPr>
      <w:rFonts w:eastAsiaTheme="minorEastAsia"/>
      <w:color w:val="5A5A5A" w:themeColor="text1" w:themeTint="A5"/>
      <w:spacing w:val="15"/>
    </w:rPr>
  </w:style>
  <w:style w:type="character" w:styleId="Hyperlink">
    <w:name w:val="Hyperlink"/>
    <w:basedOn w:val="DefaultParagraphFont"/>
    <w:uiPriority w:val="99"/>
    <w:unhideWhenUsed/>
    <w:rsid w:val="00797049"/>
    <w:rPr>
      <w:color w:val="0563C1" w:themeColor="hyperlink"/>
      <w:u w:val="single"/>
    </w:rPr>
  </w:style>
  <w:style w:type="character" w:customStyle="1" w:styleId="Heading2Char1">
    <w:name w:val="Heading 2 Char1"/>
    <w:basedOn w:val="DefaultParagraphFont"/>
    <w:uiPriority w:val="9"/>
    <w:semiHidden/>
    <w:rsid w:val="00797049"/>
    <w:rPr>
      <w:rFonts w:asciiTheme="majorHAnsi" w:eastAsiaTheme="majorEastAsia" w:hAnsiTheme="majorHAnsi" w:cstheme="majorBidi"/>
      <w:color w:val="2E74B5" w:themeColor="accent1" w:themeShade="BF"/>
      <w:sz w:val="26"/>
      <w:szCs w:val="26"/>
    </w:rPr>
  </w:style>
  <w:style w:type="paragraph" w:styleId="Quote">
    <w:name w:val="Quote"/>
    <w:basedOn w:val="Normal"/>
    <w:next w:val="Normal"/>
    <w:link w:val="QuoteChar"/>
    <w:uiPriority w:val="29"/>
    <w:qFormat/>
    <w:rsid w:val="00797049"/>
    <w:pPr>
      <w:spacing w:before="200"/>
      <w:ind w:left="864" w:right="864"/>
      <w:jc w:val="center"/>
    </w:pPr>
    <w:rPr>
      <w:i/>
      <w:iCs/>
      <w:color w:val="404040"/>
    </w:rPr>
  </w:style>
  <w:style w:type="character" w:customStyle="1" w:styleId="QuoteChar1">
    <w:name w:val="Quote Char1"/>
    <w:basedOn w:val="DefaultParagraphFont"/>
    <w:uiPriority w:val="29"/>
    <w:rsid w:val="00797049"/>
    <w:rPr>
      <w:i/>
      <w:iCs/>
      <w:color w:val="404040" w:themeColor="text1" w:themeTint="BF"/>
    </w:rPr>
  </w:style>
  <w:style w:type="paragraph" w:styleId="Signature">
    <w:name w:val="Signature"/>
    <w:basedOn w:val="Normal"/>
    <w:link w:val="SignatureChar1"/>
    <w:uiPriority w:val="99"/>
    <w:unhideWhenUsed/>
    <w:rsid w:val="00797049"/>
    <w:pPr>
      <w:spacing w:after="0"/>
      <w:ind w:left="4252"/>
    </w:pPr>
  </w:style>
  <w:style w:type="character" w:customStyle="1" w:styleId="SignatureChar1">
    <w:name w:val="Signature Char1"/>
    <w:basedOn w:val="DefaultParagraphFont"/>
    <w:link w:val="Signature"/>
    <w:uiPriority w:val="99"/>
    <w:rsid w:val="00797049"/>
  </w:style>
  <w:style w:type="paragraph" w:styleId="ListBullet">
    <w:name w:val="List Bullet"/>
    <w:basedOn w:val="Normal"/>
    <w:uiPriority w:val="99"/>
    <w:unhideWhenUsed/>
    <w:qFormat/>
    <w:rsid w:val="00797049"/>
    <w:pPr>
      <w:ind w:left="576" w:hanging="288"/>
      <w:contextualSpacing/>
    </w:pPr>
  </w:style>
  <w:style w:type="paragraph" w:styleId="ListNumber">
    <w:name w:val="List Number"/>
    <w:basedOn w:val="Normal"/>
    <w:uiPriority w:val="99"/>
    <w:unhideWhenUsed/>
    <w:rsid w:val="00797049"/>
    <w:pPr>
      <w:ind w:left="360" w:hanging="360"/>
      <w:contextualSpacing/>
    </w:pPr>
  </w:style>
  <w:style w:type="paragraph" w:styleId="ListNumber2">
    <w:name w:val="List Number 2"/>
    <w:basedOn w:val="Normal"/>
    <w:uiPriority w:val="99"/>
    <w:unhideWhenUsed/>
    <w:rsid w:val="00797049"/>
    <w:pPr>
      <w:numPr>
        <w:numId w:val="3"/>
      </w:numPr>
      <w:contextualSpacing/>
    </w:pPr>
  </w:style>
  <w:style w:type="paragraph" w:styleId="ListNumber3">
    <w:name w:val="List Number 3"/>
    <w:basedOn w:val="Normal"/>
    <w:uiPriority w:val="99"/>
    <w:unhideWhenUsed/>
    <w:rsid w:val="00797049"/>
    <w:pPr>
      <w:ind w:left="630" w:hanging="360"/>
      <w:contextualSpacing/>
    </w:pPr>
  </w:style>
  <w:style w:type="paragraph" w:styleId="ListNumber4">
    <w:name w:val="List Number 4"/>
    <w:basedOn w:val="Normal"/>
    <w:uiPriority w:val="99"/>
    <w:unhideWhenUsed/>
    <w:rsid w:val="00797049"/>
    <w:pPr>
      <w:numPr>
        <w:numId w:val="5"/>
      </w:numPr>
      <w:contextualSpacing/>
    </w:pPr>
  </w:style>
  <w:style w:type="paragraph" w:styleId="ListNumber5">
    <w:name w:val="List Number 5"/>
    <w:basedOn w:val="Normal"/>
    <w:uiPriority w:val="99"/>
    <w:unhideWhenUsed/>
    <w:rsid w:val="00797049"/>
    <w:pPr>
      <w:numPr>
        <w:numId w:val="6"/>
      </w:numPr>
      <w:contextualSpacing/>
    </w:pPr>
  </w:style>
  <w:style w:type="table" w:styleId="LightShading">
    <w:name w:val="Light Shading"/>
    <w:basedOn w:val="TableNormal"/>
    <w:uiPriority w:val="60"/>
    <w:unhideWhenUsed/>
    <w:rsid w:val="00797049"/>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GridTable6Colorful-Accent54">
    <w:name w:val="Grid Table 6 Colorful - Accent 54"/>
    <w:basedOn w:val="TableNormal"/>
    <w:uiPriority w:val="51"/>
    <w:rsid w:val="00797049"/>
    <w:pPr>
      <w:spacing w:after="0" w:line="240" w:lineRule="auto"/>
    </w:pPr>
    <w:rPr>
      <w:color w:val="2F5496" w:themeColor="accent5" w:themeShade="BF"/>
    </w:r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4" w:space="0" w:color="8EAADB" w:themeColor="accent5" w:themeTint="99"/>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character" w:customStyle="1" w:styleId="Heading3Char1">
    <w:name w:val="Heading 3 Char1"/>
    <w:basedOn w:val="DefaultParagraphFont"/>
    <w:uiPriority w:val="9"/>
    <w:semiHidden/>
    <w:rsid w:val="00797049"/>
    <w:rPr>
      <w:rFonts w:asciiTheme="majorHAnsi" w:eastAsiaTheme="majorEastAsia" w:hAnsiTheme="majorHAnsi" w:cstheme="majorBidi"/>
      <w:color w:val="1F4D78" w:themeColor="accent1" w:themeShade="7F"/>
      <w:sz w:val="24"/>
      <w:szCs w:val="24"/>
    </w:rPr>
  </w:style>
  <w:style w:type="table" w:customStyle="1" w:styleId="GridTable6Colorful-Accent13">
    <w:name w:val="Grid Table 6 Colorful - Accent 13"/>
    <w:basedOn w:val="TableNormal"/>
    <w:uiPriority w:val="51"/>
    <w:rsid w:val="00797049"/>
    <w:pPr>
      <w:spacing w:after="0" w:line="240" w:lineRule="auto"/>
    </w:pPr>
    <w:rPr>
      <w:color w:val="2E74B5" w:themeColor="accent1" w:themeShade="BF"/>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character" w:customStyle="1" w:styleId="Heading4Char2">
    <w:name w:val="Heading 4 Char2"/>
    <w:basedOn w:val="DefaultParagraphFont"/>
    <w:uiPriority w:val="9"/>
    <w:semiHidden/>
    <w:rsid w:val="00797049"/>
    <w:rPr>
      <w:rFonts w:asciiTheme="majorHAnsi" w:eastAsiaTheme="majorEastAsia" w:hAnsiTheme="majorHAnsi" w:cstheme="majorBidi"/>
      <w:i/>
      <w:iCs/>
      <w:color w:val="2E74B5" w:themeColor="accent1" w:themeShade="BF"/>
    </w:rPr>
  </w:style>
  <w:style w:type="character" w:customStyle="1" w:styleId="Heading5Char1">
    <w:name w:val="Heading 5 Char1"/>
    <w:basedOn w:val="DefaultParagraphFont"/>
    <w:uiPriority w:val="9"/>
    <w:semiHidden/>
    <w:rsid w:val="00797049"/>
    <w:rPr>
      <w:rFonts w:asciiTheme="majorHAnsi" w:eastAsiaTheme="majorEastAsia" w:hAnsiTheme="majorHAnsi" w:cstheme="majorBidi"/>
      <w:color w:val="2E74B5" w:themeColor="accent1" w:themeShade="BF"/>
    </w:rPr>
  </w:style>
  <w:style w:type="character" w:customStyle="1" w:styleId="Heading6Char1">
    <w:name w:val="Heading 6 Char1"/>
    <w:basedOn w:val="DefaultParagraphFont"/>
    <w:uiPriority w:val="9"/>
    <w:semiHidden/>
    <w:rsid w:val="00797049"/>
    <w:rPr>
      <w:rFonts w:asciiTheme="majorHAnsi" w:eastAsiaTheme="majorEastAsia" w:hAnsiTheme="majorHAnsi" w:cstheme="majorBidi"/>
      <w:color w:val="1F4D78" w:themeColor="accent1" w:themeShade="7F"/>
    </w:rPr>
  </w:style>
  <w:style w:type="character" w:customStyle="1" w:styleId="Heading7Char1">
    <w:name w:val="Heading 7 Char1"/>
    <w:basedOn w:val="DefaultParagraphFont"/>
    <w:uiPriority w:val="9"/>
    <w:semiHidden/>
    <w:rsid w:val="00797049"/>
    <w:rPr>
      <w:rFonts w:asciiTheme="majorHAnsi" w:eastAsiaTheme="majorEastAsia" w:hAnsiTheme="majorHAnsi" w:cstheme="majorBidi"/>
      <w:i/>
      <w:iCs/>
      <w:color w:val="1F4D78" w:themeColor="accent1" w:themeShade="7F"/>
    </w:rPr>
  </w:style>
  <w:style w:type="character" w:customStyle="1" w:styleId="Heading8Char1">
    <w:name w:val="Heading 8 Char1"/>
    <w:basedOn w:val="DefaultParagraphFont"/>
    <w:uiPriority w:val="9"/>
    <w:semiHidden/>
    <w:rsid w:val="00797049"/>
    <w:rPr>
      <w:rFonts w:asciiTheme="majorHAnsi" w:eastAsiaTheme="majorEastAsia" w:hAnsiTheme="majorHAnsi" w:cstheme="majorBidi"/>
      <w:color w:val="272727" w:themeColor="text1" w:themeTint="D8"/>
      <w:sz w:val="21"/>
      <w:szCs w:val="21"/>
    </w:rPr>
  </w:style>
  <w:style w:type="character" w:customStyle="1" w:styleId="Heading9Char1">
    <w:name w:val="Heading 9 Char1"/>
    <w:basedOn w:val="DefaultParagraphFont"/>
    <w:uiPriority w:val="9"/>
    <w:semiHidden/>
    <w:rsid w:val="00797049"/>
    <w:rPr>
      <w:rFonts w:asciiTheme="majorHAnsi" w:eastAsiaTheme="majorEastAsia" w:hAnsiTheme="majorHAnsi" w:cstheme="majorBidi"/>
      <w:i/>
      <w:iCs/>
      <w:color w:val="272727" w:themeColor="text1" w:themeTint="D8"/>
      <w:sz w:val="21"/>
      <w:szCs w:val="21"/>
    </w:rPr>
  </w:style>
  <w:style w:type="paragraph" w:styleId="IntenseQuote">
    <w:name w:val="Intense Quote"/>
    <w:basedOn w:val="Normal"/>
    <w:next w:val="Normal"/>
    <w:link w:val="IntenseQuoteChar"/>
    <w:uiPriority w:val="30"/>
    <w:qFormat/>
    <w:rsid w:val="00797049"/>
    <w:pPr>
      <w:pBdr>
        <w:top w:val="single" w:sz="4" w:space="10" w:color="5B9BD5" w:themeColor="accent1"/>
        <w:bottom w:val="single" w:sz="4" w:space="10" w:color="5B9BD5" w:themeColor="accent1"/>
      </w:pBdr>
      <w:spacing w:before="360" w:after="360"/>
      <w:ind w:left="864" w:right="864"/>
      <w:jc w:val="center"/>
    </w:pPr>
    <w:rPr>
      <w:rFonts w:ascii="Arial" w:eastAsia="MS PGothic" w:hAnsi="Arial" w:cs="Arial"/>
      <w:color w:val="EF4623"/>
      <w:sz w:val="28"/>
      <w:szCs w:val="28"/>
    </w:rPr>
  </w:style>
  <w:style w:type="character" w:customStyle="1" w:styleId="IntenseQuoteChar1">
    <w:name w:val="Intense Quote Char1"/>
    <w:basedOn w:val="DefaultParagraphFont"/>
    <w:uiPriority w:val="30"/>
    <w:rsid w:val="00797049"/>
    <w:rPr>
      <w:i/>
      <w:iCs/>
      <w:color w:val="5B9BD5" w:themeColor="accent1"/>
    </w:rPr>
  </w:style>
  <w:style w:type="character" w:styleId="SubtleEmphasis">
    <w:name w:val="Subtle Emphasis"/>
    <w:basedOn w:val="DefaultParagraphFont"/>
    <w:uiPriority w:val="19"/>
    <w:qFormat/>
    <w:rsid w:val="00797049"/>
    <w:rPr>
      <w:i/>
      <w:iCs/>
      <w:color w:val="404040" w:themeColor="text1" w:themeTint="BF"/>
    </w:rPr>
  </w:style>
  <w:style w:type="character" w:styleId="SubtleReference">
    <w:name w:val="Subtle Reference"/>
    <w:basedOn w:val="DefaultParagraphFont"/>
    <w:uiPriority w:val="31"/>
    <w:qFormat/>
    <w:rsid w:val="00797049"/>
    <w:rPr>
      <w:smallCaps/>
      <w:color w:val="5A5A5A" w:themeColor="text1" w:themeTint="A5"/>
    </w:rPr>
  </w:style>
  <w:style w:type="character" w:styleId="FollowedHyperlink">
    <w:name w:val="FollowedHyperlink"/>
    <w:basedOn w:val="DefaultParagraphFont"/>
    <w:uiPriority w:val="99"/>
    <w:semiHidden/>
    <w:unhideWhenUsed/>
    <w:rsid w:val="00797049"/>
    <w:rPr>
      <w:color w:val="954F72" w:themeColor="followedHyperlink"/>
      <w:u w:val="single"/>
    </w:rPr>
  </w:style>
  <w:style w:type="table" w:styleId="LightShading-Accent1">
    <w:name w:val="Light Shading Accent 1"/>
    <w:basedOn w:val="TableNormal"/>
    <w:uiPriority w:val="60"/>
    <w:unhideWhenUsed/>
    <w:rsid w:val="00797049"/>
    <w:pPr>
      <w:spacing w:after="0" w:line="240" w:lineRule="auto"/>
    </w:pPr>
    <w:rPr>
      <w:color w:val="2E74B5" w:themeColor="accent1" w:themeShade="BF"/>
    </w:rPr>
    <w:tblPr>
      <w:tblStyleRowBandSize w:val="1"/>
      <w:tblStyleColBandSize w:val="1"/>
      <w:tblBorders>
        <w:top w:val="single" w:sz="8" w:space="0" w:color="5B9BD5" w:themeColor="accent1"/>
        <w:bottom w:val="single" w:sz="8" w:space="0" w:color="5B9BD5" w:themeColor="accent1"/>
      </w:tblBorders>
    </w:tblPr>
    <w:tblStylePr w:type="firstRow">
      <w:pPr>
        <w:spacing w:before="0" w:after="0" w:line="240" w:lineRule="auto"/>
      </w:pPr>
      <w:rPr>
        <w:b/>
        <w:bCs/>
      </w:rPr>
      <w:tblPr/>
      <w:tcPr>
        <w:tcBorders>
          <w:top w:val="single" w:sz="8" w:space="0" w:color="5B9BD5" w:themeColor="accent1"/>
          <w:left w:val="nil"/>
          <w:bottom w:val="single" w:sz="8" w:space="0" w:color="5B9BD5" w:themeColor="accent1"/>
          <w:right w:val="nil"/>
          <w:insideH w:val="nil"/>
          <w:insideV w:val="nil"/>
        </w:tcBorders>
      </w:tcPr>
    </w:tblStylePr>
    <w:tblStylePr w:type="lastRow">
      <w:pPr>
        <w:spacing w:before="0" w:after="0" w:line="240" w:lineRule="auto"/>
      </w:pPr>
      <w:rPr>
        <w:b/>
        <w:bCs/>
      </w:rPr>
      <w:tblPr/>
      <w:tcPr>
        <w:tcBorders>
          <w:top w:val="single" w:sz="8" w:space="0" w:color="5B9BD5" w:themeColor="accent1"/>
          <w:left w:val="nil"/>
          <w:bottom w:val="single" w:sz="8" w:space="0" w:color="5B9BD5"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6F4" w:themeFill="accent1" w:themeFillTint="3F"/>
      </w:tcPr>
    </w:tblStylePr>
    <w:tblStylePr w:type="band1Horz">
      <w:tblPr/>
      <w:tcPr>
        <w:tcBorders>
          <w:left w:val="nil"/>
          <w:right w:val="nil"/>
          <w:insideH w:val="nil"/>
          <w:insideV w:val="nil"/>
        </w:tcBorders>
        <w:shd w:val="clear" w:color="auto" w:fill="D6E6F4" w:themeFill="accent1" w:themeFillTint="3F"/>
      </w:tcPr>
    </w:tblStylePr>
  </w:style>
  <w:style w:type="table" w:styleId="LightShading-Accent6">
    <w:name w:val="Light Shading Accent 6"/>
    <w:basedOn w:val="TableNormal"/>
    <w:uiPriority w:val="60"/>
    <w:unhideWhenUsed/>
    <w:rsid w:val="00797049"/>
    <w:pPr>
      <w:spacing w:after="0" w:line="240" w:lineRule="auto"/>
    </w:pPr>
    <w:rPr>
      <w:color w:val="538135" w:themeColor="accent6" w:themeShade="BF"/>
    </w:rPr>
    <w:tblPr>
      <w:tblStyleRowBandSize w:val="1"/>
      <w:tblStyleColBandSize w:val="1"/>
      <w:tblBorders>
        <w:top w:val="single" w:sz="8" w:space="0" w:color="70AD47" w:themeColor="accent6"/>
        <w:bottom w:val="single" w:sz="8" w:space="0" w:color="70AD47" w:themeColor="accent6"/>
      </w:tblBorders>
    </w:tblPr>
    <w:tblStylePr w:type="firstRow">
      <w:pPr>
        <w:spacing w:before="0" w:after="0" w:line="240" w:lineRule="auto"/>
      </w:pPr>
      <w:rPr>
        <w:b/>
        <w:bCs/>
      </w:rPr>
      <w:tblPr/>
      <w:tcPr>
        <w:tcBorders>
          <w:top w:val="single" w:sz="8" w:space="0" w:color="70AD47" w:themeColor="accent6"/>
          <w:left w:val="nil"/>
          <w:bottom w:val="single" w:sz="8" w:space="0" w:color="70AD47" w:themeColor="accent6"/>
          <w:right w:val="nil"/>
          <w:insideH w:val="nil"/>
          <w:insideV w:val="nil"/>
        </w:tcBorders>
      </w:tcPr>
    </w:tblStylePr>
    <w:tblStylePr w:type="lastRow">
      <w:pPr>
        <w:spacing w:before="0" w:after="0" w:line="240" w:lineRule="auto"/>
      </w:pPr>
      <w:rPr>
        <w:b/>
        <w:bCs/>
      </w:rPr>
      <w:tblPr/>
      <w:tcPr>
        <w:tcBorders>
          <w:top w:val="single" w:sz="8" w:space="0" w:color="70AD47" w:themeColor="accent6"/>
          <w:left w:val="nil"/>
          <w:bottom w:val="single" w:sz="8" w:space="0" w:color="70AD47"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BEBD0" w:themeFill="accent6" w:themeFillTint="3F"/>
      </w:tcPr>
    </w:tblStylePr>
    <w:tblStylePr w:type="band1Horz">
      <w:tblPr/>
      <w:tcPr>
        <w:tcBorders>
          <w:left w:val="nil"/>
          <w:right w:val="nil"/>
          <w:insideH w:val="nil"/>
          <w:insideV w:val="nil"/>
        </w:tcBorders>
        <w:shd w:val="clear" w:color="auto" w:fill="DBEBD0" w:themeFill="accent6" w:themeFillTint="3F"/>
      </w:tcPr>
    </w:tblStylePr>
  </w:style>
  <w:style w:type="table" w:customStyle="1" w:styleId="GridTable6Colorful-Accent43">
    <w:name w:val="Grid Table 6 Colorful - Accent 43"/>
    <w:basedOn w:val="TableNormal"/>
    <w:uiPriority w:val="51"/>
    <w:rsid w:val="00797049"/>
    <w:pPr>
      <w:spacing w:after="0" w:line="240" w:lineRule="auto"/>
    </w:pPr>
    <w:rPr>
      <w:color w:val="BF8F00" w:themeColor="accent4" w:themeShade="BF"/>
    </w:rPr>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insideV w:val="single" w:sz="4" w:space="0" w:color="FFD966" w:themeColor="accent4" w:themeTint="99"/>
      </w:tblBorders>
    </w:tblPr>
    <w:tblStylePr w:type="firstRow">
      <w:rPr>
        <w:b/>
        <w:bCs/>
      </w:rPr>
      <w:tblPr/>
      <w:tcPr>
        <w:tcBorders>
          <w:bottom w:val="single" w:sz="12" w:space="0" w:color="FFD966" w:themeColor="accent4" w:themeTint="99"/>
        </w:tcBorders>
      </w:tcPr>
    </w:tblStylePr>
    <w:tblStylePr w:type="lastRow">
      <w:rPr>
        <w:b/>
        <w:bCs/>
      </w:rPr>
      <w:tblPr/>
      <w:tcPr>
        <w:tcBorders>
          <w:top w:val="double" w:sz="4" w:space="0" w:color="FFD966" w:themeColor="accent4" w:themeTint="99"/>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customStyle="1" w:styleId="GridTable6Colorful-Accent33">
    <w:name w:val="Grid Table 6 Colorful - Accent 33"/>
    <w:basedOn w:val="TableNormal"/>
    <w:uiPriority w:val="51"/>
    <w:rsid w:val="00797049"/>
    <w:pPr>
      <w:spacing w:after="0" w:line="240" w:lineRule="auto"/>
    </w:pPr>
    <w:rPr>
      <w:color w:val="7B7B7B" w:themeColor="accent3" w:themeShade="BF"/>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customStyle="1" w:styleId="GridTable4-Accent53">
    <w:name w:val="Grid Table 4 - Accent 53"/>
    <w:basedOn w:val="TableNormal"/>
    <w:uiPriority w:val="49"/>
    <w:rsid w:val="00797049"/>
    <w:pPr>
      <w:spacing w:after="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customStyle="1" w:styleId="GridTable5Dark-Accent53">
    <w:name w:val="Grid Table 5 Dark - Accent 53"/>
    <w:basedOn w:val="TableNormal"/>
    <w:uiPriority w:val="50"/>
    <w:rsid w:val="00797049"/>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9E2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472C4"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472C4"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472C4"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472C4" w:themeFill="accent5"/>
      </w:tcPr>
    </w:tblStylePr>
    <w:tblStylePr w:type="band1Vert">
      <w:tblPr/>
      <w:tcPr>
        <w:shd w:val="clear" w:color="auto" w:fill="B4C6E7" w:themeFill="accent5" w:themeFillTint="66"/>
      </w:tcPr>
    </w:tblStylePr>
    <w:tblStylePr w:type="band1Horz">
      <w:tblPr/>
      <w:tcPr>
        <w:shd w:val="clear" w:color="auto" w:fill="B4C6E7" w:themeFill="accent5" w:themeFillTint="66"/>
      </w:tcPr>
    </w:tblStylePr>
  </w:style>
  <w:style w:type="table" w:customStyle="1" w:styleId="ListTable6Colorful-Accent33">
    <w:name w:val="List Table 6 Colorful - Accent 33"/>
    <w:basedOn w:val="TableNormal"/>
    <w:uiPriority w:val="51"/>
    <w:rsid w:val="00797049"/>
    <w:pPr>
      <w:spacing w:after="0" w:line="240" w:lineRule="auto"/>
    </w:pPr>
    <w:rPr>
      <w:color w:val="7B7B7B" w:themeColor="accent3" w:themeShade="BF"/>
    </w:rPr>
    <w:tblPr>
      <w:tblStyleRowBandSize w:val="1"/>
      <w:tblStyleColBandSize w:val="1"/>
      <w:tblBorders>
        <w:top w:val="single" w:sz="4" w:space="0" w:color="A5A5A5" w:themeColor="accent3"/>
        <w:bottom w:val="single" w:sz="4" w:space="0" w:color="A5A5A5" w:themeColor="accent3"/>
      </w:tblBorders>
    </w:tblPr>
    <w:tblStylePr w:type="firstRow">
      <w:rPr>
        <w:b/>
        <w:bCs/>
      </w:rPr>
      <w:tblPr/>
      <w:tcPr>
        <w:tcBorders>
          <w:bottom w:val="single" w:sz="4" w:space="0" w:color="A5A5A5" w:themeColor="accent3"/>
        </w:tcBorders>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customStyle="1" w:styleId="GridTable1Light-Accent13">
    <w:name w:val="Grid Table 1 Light - Accent 13"/>
    <w:basedOn w:val="TableNormal"/>
    <w:uiPriority w:val="46"/>
    <w:rsid w:val="00797049"/>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customStyle="1" w:styleId="ListTable1Light-Accent13">
    <w:name w:val="List Table 1 Light - Accent 13"/>
    <w:basedOn w:val="TableNormal"/>
    <w:uiPriority w:val="46"/>
    <w:rsid w:val="00797049"/>
    <w:pPr>
      <w:spacing w:after="0" w:line="240" w:lineRule="auto"/>
    </w:pPr>
    <w:tblPr>
      <w:tblStyleRowBandSize w:val="1"/>
      <w:tblStyleColBandSize w:val="1"/>
    </w:tblPr>
    <w:tblStylePr w:type="firstRow">
      <w:rPr>
        <w:b/>
        <w:bCs/>
      </w:rPr>
      <w:tblPr/>
      <w:tcPr>
        <w:tcBorders>
          <w:bottom w:val="single" w:sz="4" w:space="0" w:color="9CC2E5" w:themeColor="accent1" w:themeTint="99"/>
        </w:tcBorders>
      </w:tcPr>
    </w:tblStylePr>
    <w:tblStylePr w:type="lastRow">
      <w:rPr>
        <w:b/>
        <w:bCs/>
      </w:rPr>
      <w:tblPr/>
      <w:tcPr>
        <w:tcBorders>
          <w:top w:val="sing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customStyle="1" w:styleId="ListTable2-Accent13">
    <w:name w:val="List Table 2 - Accent 13"/>
    <w:basedOn w:val="TableNormal"/>
    <w:uiPriority w:val="47"/>
    <w:rsid w:val="00797049"/>
    <w:pPr>
      <w:spacing w:after="0" w:line="240" w:lineRule="auto"/>
    </w:pPr>
    <w:tblPr>
      <w:tblStyleRowBandSize w:val="1"/>
      <w:tblStyleColBandSize w:val="1"/>
      <w:tblBorders>
        <w:top w:val="single" w:sz="4" w:space="0" w:color="9CC2E5" w:themeColor="accent1" w:themeTint="99"/>
        <w:bottom w:val="single" w:sz="4" w:space="0" w:color="9CC2E5" w:themeColor="accent1" w:themeTint="99"/>
        <w:insideH w:val="single" w:sz="4" w:space="0" w:color="9CC2E5"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customStyle="1" w:styleId="ListTable2-Accent53">
    <w:name w:val="List Table 2 - Accent 53"/>
    <w:basedOn w:val="TableNormal"/>
    <w:uiPriority w:val="47"/>
    <w:rsid w:val="00797049"/>
    <w:pPr>
      <w:spacing w:after="0" w:line="240" w:lineRule="auto"/>
    </w:pPr>
    <w:tblPr>
      <w:tblStyleRowBandSize w:val="1"/>
      <w:tblStyleColBandSize w:val="1"/>
      <w:tblBorders>
        <w:top w:val="single" w:sz="4" w:space="0" w:color="8EAADB" w:themeColor="accent5" w:themeTint="99"/>
        <w:bottom w:val="single" w:sz="4" w:space="0" w:color="8EAADB" w:themeColor="accent5" w:themeTint="99"/>
        <w:insideH w:val="single" w:sz="4" w:space="0" w:color="8EAADB"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customStyle="1" w:styleId="GridTable2-Accent53">
    <w:name w:val="Grid Table 2 - Accent 53"/>
    <w:basedOn w:val="TableNormal"/>
    <w:uiPriority w:val="47"/>
    <w:rsid w:val="00797049"/>
    <w:pPr>
      <w:spacing w:after="0" w:line="240" w:lineRule="auto"/>
    </w:pPr>
    <w:tblPr>
      <w:tblStyleRowBandSize w:val="1"/>
      <w:tblStyleColBandSize w:val="1"/>
      <w:tblBorders>
        <w:top w:val="single" w:sz="2" w:space="0" w:color="8EAADB" w:themeColor="accent5" w:themeTint="99"/>
        <w:bottom w:val="single" w:sz="2" w:space="0" w:color="8EAADB" w:themeColor="accent5" w:themeTint="99"/>
        <w:insideH w:val="single" w:sz="2" w:space="0" w:color="8EAADB" w:themeColor="accent5" w:themeTint="99"/>
        <w:insideV w:val="single" w:sz="2" w:space="0" w:color="8EAADB" w:themeColor="accent5" w:themeTint="99"/>
      </w:tblBorders>
    </w:tblPr>
    <w:tblStylePr w:type="firstRow">
      <w:rPr>
        <w:b/>
        <w:bCs/>
      </w:rPr>
      <w:tblPr/>
      <w:tcPr>
        <w:tcBorders>
          <w:top w:val="nil"/>
          <w:bottom w:val="single" w:sz="12" w:space="0" w:color="8EAADB" w:themeColor="accent5" w:themeTint="99"/>
          <w:insideH w:val="nil"/>
          <w:insideV w:val="nil"/>
        </w:tcBorders>
        <w:shd w:val="clear" w:color="auto" w:fill="FFFFFF" w:themeFill="background1"/>
      </w:tcPr>
    </w:tblStylePr>
    <w:tblStylePr w:type="lastRow">
      <w:rPr>
        <w:b/>
        <w:bCs/>
      </w:rPr>
      <w:tblPr/>
      <w:tcPr>
        <w:tcBorders>
          <w:top w:val="double" w:sz="2" w:space="0" w:color="8EAADB"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character" w:styleId="LineNumber">
    <w:name w:val="line number"/>
    <w:basedOn w:val="DefaultParagraphFont"/>
    <w:uiPriority w:val="99"/>
    <w:semiHidden/>
    <w:unhideWhenUsed/>
    <w:rsid w:val="00E27F39"/>
  </w:style>
  <w:style w:type="table" w:customStyle="1" w:styleId="TableGrid22">
    <w:name w:val="Table Grid22"/>
    <w:basedOn w:val="TableNormal"/>
    <w:next w:val="TableGrid"/>
    <w:uiPriority w:val="39"/>
    <w:rsid w:val="00AE44EB"/>
    <w:pPr>
      <w:spacing w:before="120" w:after="120" w:line="264" w:lineRule="auto"/>
      <w:ind w:left="115" w:right="115"/>
    </w:pPr>
    <w:rPr>
      <w:rFonts w:eastAsiaTheme="minorEastAsia"/>
      <w:sz w:val="20"/>
      <w:szCs w:val="20"/>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
    <w:tcPr>
      <w:vAlign w:val="center"/>
    </w:tcPr>
    <w:tblStylePr w:type="firstRow">
      <w:pPr>
        <w:wordWrap/>
        <w:jc w:val="center"/>
      </w:pPr>
      <w:rPr>
        <w:b/>
        <w:i w:val="0"/>
        <w:sz w:val="22"/>
      </w:rPr>
    </w:tblStylePr>
    <w:tblStylePr w:type="lastRow">
      <w:rPr>
        <w:b/>
        <w:i w:val="0"/>
        <w:sz w:val="22"/>
      </w:rPr>
      <w:tblPr/>
      <w:tcPr>
        <w:tcBorders>
          <w:top w:val="double" w:sz="4" w:space="0" w:color="auto"/>
          <w:left w:val="single" w:sz="4" w:space="0" w:color="auto"/>
          <w:bottom w:val="single" w:sz="18" w:space="0" w:color="auto"/>
          <w:right w:val="single" w:sz="4" w:space="0" w:color="auto"/>
          <w:insideH w:val="nil"/>
          <w:insideV w:val="single" w:sz="4" w:space="0" w:color="auto"/>
          <w:tl2br w:val="nil"/>
          <w:tr2bl w:val="nil"/>
        </w:tcBorders>
      </w:tcPr>
    </w:tblStylePr>
  </w:style>
  <w:style w:type="paragraph" w:styleId="Caption">
    <w:name w:val="caption"/>
    <w:basedOn w:val="Normal"/>
    <w:next w:val="Normal"/>
    <w:uiPriority w:val="35"/>
    <w:unhideWhenUsed/>
    <w:qFormat/>
    <w:rsid w:val="002C0AD2"/>
    <w:rPr>
      <w:rFonts w:eastAsiaTheme="minorEastAsia"/>
      <w:b/>
      <w:bCs/>
      <w:smallCaps/>
      <w:color w:val="595959" w:themeColor="text1" w:themeTint="A6"/>
      <w:spacing w:val="6"/>
      <w:sz w:val="20"/>
      <w:szCs w:val="20"/>
      <w:lang w:eastAsia="ja-JP"/>
    </w:rPr>
  </w:style>
  <w:style w:type="numbering" w:customStyle="1" w:styleId="NoList4">
    <w:name w:val="No List4"/>
    <w:next w:val="NoList"/>
    <w:uiPriority w:val="99"/>
    <w:semiHidden/>
    <w:unhideWhenUsed/>
    <w:rsid w:val="00C1281D"/>
  </w:style>
  <w:style w:type="numbering" w:customStyle="1" w:styleId="NoList12">
    <w:name w:val="No List12"/>
    <w:next w:val="NoList"/>
    <w:uiPriority w:val="99"/>
    <w:semiHidden/>
    <w:unhideWhenUsed/>
    <w:rsid w:val="00C1281D"/>
  </w:style>
  <w:style w:type="table" w:customStyle="1" w:styleId="TableGrid4">
    <w:name w:val="Table Grid4"/>
    <w:basedOn w:val="TableNormal"/>
    <w:next w:val="TableGrid"/>
    <w:uiPriority w:val="39"/>
    <w:rsid w:val="00C1281D"/>
    <w:pPr>
      <w:spacing w:before="120" w:after="120" w:line="264" w:lineRule="auto"/>
      <w:ind w:left="115" w:right="115"/>
    </w:pPr>
    <w:rPr>
      <w:rFonts w:eastAsia="MS PGothic"/>
      <w:sz w:val="20"/>
      <w:szCs w:val="20"/>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
    <w:tcPr>
      <w:vAlign w:val="center"/>
    </w:tcPr>
    <w:tblStylePr w:type="firstRow">
      <w:pPr>
        <w:wordWrap/>
        <w:jc w:val="center"/>
      </w:pPr>
      <w:rPr>
        <w:b/>
        <w:i w:val="0"/>
        <w:sz w:val="22"/>
      </w:rPr>
    </w:tblStylePr>
    <w:tblStylePr w:type="lastRow">
      <w:rPr>
        <w:b/>
        <w:i w:val="0"/>
        <w:sz w:val="22"/>
      </w:rPr>
      <w:tblPr/>
      <w:tcPr>
        <w:tcBorders>
          <w:top w:val="double" w:sz="4" w:space="0" w:color="auto"/>
          <w:left w:val="single" w:sz="4" w:space="0" w:color="auto"/>
          <w:bottom w:val="single" w:sz="18" w:space="0" w:color="auto"/>
          <w:right w:val="single" w:sz="4" w:space="0" w:color="auto"/>
          <w:insideH w:val="nil"/>
          <w:insideV w:val="single" w:sz="4" w:space="0" w:color="auto"/>
          <w:tl2br w:val="nil"/>
          <w:tr2bl w:val="nil"/>
        </w:tcBorders>
      </w:tcPr>
    </w:tblStylePr>
  </w:style>
  <w:style w:type="table" w:customStyle="1" w:styleId="FinancialTable2">
    <w:name w:val="Financial Table2"/>
    <w:basedOn w:val="TableNormal"/>
    <w:uiPriority w:val="99"/>
    <w:rsid w:val="00C1281D"/>
    <w:pPr>
      <w:spacing w:before="60" w:after="60" w:line="264" w:lineRule="auto"/>
    </w:pPr>
    <w:rPr>
      <w:rFonts w:eastAsia="MS PGothic"/>
      <w:sz w:val="20"/>
      <w:szCs w:val="20"/>
      <w:lang w:eastAsia="ja-JP"/>
    </w:rPr>
    <w:tblPr>
      <w:tblBorders>
        <w:top w:val="single" w:sz="8" w:space="0" w:color="000000"/>
        <w:left w:val="single" w:sz="8" w:space="0" w:color="000000"/>
        <w:bottom w:val="single" w:sz="24" w:space="0" w:color="000000"/>
        <w:right w:val="single" w:sz="8" w:space="0" w:color="000000"/>
        <w:insideH w:val="single" w:sz="8" w:space="0" w:color="000000"/>
        <w:insideV w:val="single" w:sz="8" w:space="0" w:color="000000"/>
      </w:tblBorders>
      <w:tblCellMar>
        <w:left w:w="72" w:type="dxa"/>
        <w:right w:w="72" w:type="dxa"/>
      </w:tblCellMar>
    </w:tblPr>
    <w:tblStylePr w:type="firstRow">
      <w:pPr>
        <w:wordWrap/>
        <w:spacing w:beforeLines="0" w:before="40" w:beforeAutospacing="0" w:afterLines="0" w:after="40" w:afterAutospacing="0"/>
        <w:jc w:val="left"/>
      </w:pPr>
      <w:rPr>
        <w:rFonts w:ascii="Arial" w:hAnsi="Arial"/>
        <w:b/>
        <w:i w:val="0"/>
        <w:caps w:val="0"/>
        <w:smallCaps w:val="0"/>
        <w:color w:val="000000"/>
        <w:sz w:val="22"/>
      </w:rPr>
    </w:tblStylePr>
    <w:tblStylePr w:type="firstCol">
      <w:rPr>
        <w:b/>
        <w:color w:val="000000"/>
      </w:rPr>
    </w:tblStylePr>
  </w:style>
  <w:style w:type="table" w:customStyle="1" w:styleId="LightShading11">
    <w:name w:val="Light Shading11"/>
    <w:basedOn w:val="TableNormal"/>
    <w:next w:val="LightShading"/>
    <w:uiPriority w:val="60"/>
    <w:rsid w:val="00C1281D"/>
    <w:pPr>
      <w:spacing w:after="0" w:line="264" w:lineRule="auto"/>
    </w:pPr>
    <w:rPr>
      <w:rFonts w:eastAsia="MS PGothic"/>
      <w:color w:val="000000"/>
      <w:sz w:val="20"/>
      <w:szCs w:val="20"/>
      <w:lang w:eastAsia="ja-JP"/>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GridTable6Colorful-Accent515">
    <w:name w:val="Grid Table 6 Colorful - Accent 515"/>
    <w:basedOn w:val="TableNormal"/>
    <w:next w:val="GridTable6Colorful-Accent54"/>
    <w:uiPriority w:val="51"/>
    <w:rsid w:val="00C1281D"/>
    <w:pPr>
      <w:spacing w:after="0" w:line="264" w:lineRule="auto"/>
    </w:pPr>
    <w:rPr>
      <w:rFonts w:ascii="Calibri" w:eastAsia="Calibri" w:hAnsi="Calibri" w:cs="Times New Roman"/>
      <w:color w:val="474747"/>
      <w:sz w:val="20"/>
      <w:szCs w:val="20"/>
    </w:rPr>
    <w:tblPr>
      <w:tblStyleRowBandSize w:val="1"/>
      <w:tblStyleColBandSize w:val="1"/>
      <w:tblBorders>
        <w:top w:val="single" w:sz="4" w:space="0" w:color="9F9F9F"/>
        <w:left w:val="single" w:sz="4" w:space="0" w:color="9F9F9F"/>
        <w:bottom w:val="single" w:sz="4" w:space="0" w:color="9F9F9F"/>
        <w:right w:val="single" w:sz="4" w:space="0" w:color="9F9F9F"/>
        <w:insideH w:val="single" w:sz="4" w:space="0" w:color="9F9F9F"/>
        <w:insideV w:val="single" w:sz="4" w:space="0" w:color="9F9F9F"/>
      </w:tblBorders>
    </w:tblPr>
    <w:tblStylePr w:type="firstRow">
      <w:rPr>
        <w:b/>
        <w:bCs/>
      </w:rPr>
      <w:tblPr/>
      <w:tcPr>
        <w:tcBorders>
          <w:bottom w:val="single" w:sz="12" w:space="0" w:color="9F9F9F"/>
        </w:tcBorders>
      </w:tcPr>
    </w:tblStylePr>
    <w:tblStylePr w:type="lastRow">
      <w:rPr>
        <w:b/>
        <w:bCs/>
      </w:rPr>
      <w:tblPr/>
      <w:tcPr>
        <w:tcBorders>
          <w:top w:val="double" w:sz="4" w:space="0" w:color="9F9F9F"/>
        </w:tcBorders>
      </w:tcPr>
    </w:tblStylePr>
    <w:tblStylePr w:type="firstCol">
      <w:rPr>
        <w:b/>
        <w:bCs/>
      </w:rPr>
    </w:tblStylePr>
    <w:tblStylePr w:type="lastCol">
      <w:rPr>
        <w:b/>
        <w:bCs/>
      </w:rPr>
    </w:tblStylePr>
    <w:tblStylePr w:type="band1Vert">
      <w:tblPr/>
      <w:tcPr>
        <w:shd w:val="clear" w:color="auto" w:fill="DFDFDF"/>
      </w:tcPr>
    </w:tblStylePr>
    <w:tblStylePr w:type="band1Horz">
      <w:tblPr/>
      <w:tcPr>
        <w:shd w:val="clear" w:color="auto" w:fill="DFDFDF"/>
      </w:tcPr>
    </w:tblStylePr>
  </w:style>
  <w:style w:type="table" w:customStyle="1" w:styleId="LightShading-Accent126">
    <w:name w:val="Light Shading - Accent 126"/>
    <w:basedOn w:val="TableNormal"/>
    <w:uiPriority w:val="60"/>
    <w:rsid w:val="00C1281D"/>
    <w:pPr>
      <w:spacing w:after="0" w:line="264" w:lineRule="auto"/>
    </w:pPr>
    <w:rPr>
      <w:rFonts w:ascii="Cambria" w:eastAsia="Calibri" w:hAnsi="Cambria" w:cs="Times New Roman"/>
      <w:color w:val="A8422A"/>
      <w:sz w:val="20"/>
      <w:szCs w:val="20"/>
      <w:lang w:val="en-GB" w:eastAsia="sr-Cyrl-CS"/>
    </w:rPr>
    <w:tblPr>
      <w:tblStyleRowBandSize w:val="1"/>
      <w:tblStyleColBandSize w:val="1"/>
      <w:tblBorders>
        <w:top w:val="single" w:sz="8" w:space="0" w:color="D16349"/>
        <w:bottom w:val="single" w:sz="8" w:space="0" w:color="D16349"/>
      </w:tblBorders>
    </w:tblPr>
    <w:tblStylePr w:type="fir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la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D8D2"/>
      </w:tcPr>
    </w:tblStylePr>
    <w:tblStylePr w:type="band1Horz">
      <w:tblPr/>
      <w:tcPr>
        <w:tcBorders>
          <w:left w:val="nil"/>
          <w:right w:val="nil"/>
          <w:insideH w:val="nil"/>
          <w:insideV w:val="nil"/>
        </w:tcBorders>
        <w:shd w:val="clear" w:color="auto" w:fill="F3D8D2"/>
      </w:tcPr>
    </w:tblStylePr>
  </w:style>
  <w:style w:type="table" w:customStyle="1" w:styleId="GridTable6Colorful-Accent5112">
    <w:name w:val="Grid Table 6 Colorful - Accent 5112"/>
    <w:basedOn w:val="TableNormal"/>
    <w:uiPriority w:val="51"/>
    <w:rsid w:val="00C1281D"/>
    <w:pPr>
      <w:spacing w:after="0" w:line="264" w:lineRule="auto"/>
    </w:pPr>
    <w:rPr>
      <w:rFonts w:ascii="Calibri" w:eastAsia="Calibri" w:hAnsi="Calibri" w:cs="Times New Roman"/>
      <w:color w:val="387AAA"/>
      <w:sz w:val="20"/>
      <w:szCs w:val="20"/>
    </w:rPr>
    <w:tblPr>
      <w:tblStyleRowBandSize w:val="1"/>
      <w:tblStyleColBandSize w:val="1"/>
      <w:tblBorders>
        <w:top w:val="single" w:sz="4" w:space="0" w:color="A1C5E0"/>
        <w:left w:val="single" w:sz="4" w:space="0" w:color="A1C5E0"/>
        <w:bottom w:val="single" w:sz="4" w:space="0" w:color="A1C5E0"/>
        <w:right w:val="single" w:sz="4" w:space="0" w:color="A1C5E0"/>
        <w:insideH w:val="single" w:sz="4" w:space="0" w:color="A1C5E0"/>
        <w:insideV w:val="single" w:sz="4" w:space="0" w:color="A1C5E0"/>
      </w:tblBorders>
    </w:tblPr>
    <w:tblStylePr w:type="firstRow">
      <w:rPr>
        <w:b/>
        <w:bCs/>
      </w:rPr>
      <w:tblPr/>
      <w:tcPr>
        <w:tcBorders>
          <w:bottom w:val="single" w:sz="12" w:space="0" w:color="A1C5E0"/>
        </w:tcBorders>
      </w:tcPr>
    </w:tblStylePr>
    <w:tblStylePr w:type="lastRow">
      <w:rPr>
        <w:b/>
        <w:bCs/>
      </w:rPr>
      <w:tblPr/>
      <w:tcPr>
        <w:tcBorders>
          <w:top w:val="double" w:sz="4" w:space="0" w:color="A1C5E0"/>
        </w:tcBorders>
      </w:tcPr>
    </w:tblStylePr>
    <w:tblStylePr w:type="firstCol">
      <w:rPr>
        <w:b/>
        <w:bCs/>
      </w:rPr>
    </w:tblStylePr>
    <w:tblStylePr w:type="lastCol">
      <w:rPr>
        <w:b/>
        <w:bCs/>
      </w:rPr>
    </w:tblStylePr>
    <w:tblStylePr w:type="band1Vert">
      <w:tblPr/>
      <w:tcPr>
        <w:shd w:val="clear" w:color="auto" w:fill="DFEBF4"/>
      </w:tcPr>
    </w:tblStylePr>
    <w:tblStylePr w:type="band1Horz">
      <w:tblPr/>
      <w:tcPr>
        <w:shd w:val="clear" w:color="auto" w:fill="DFEBF4"/>
      </w:tcPr>
    </w:tblStylePr>
  </w:style>
  <w:style w:type="table" w:customStyle="1" w:styleId="LightShading-Accent1212">
    <w:name w:val="Light Shading - Accent 1212"/>
    <w:basedOn w:val="TableNormal"/>
    <w:uiPriority w:val="60"/>
    <w:rsid w:val="00C1281D"/>
    <w:pPr>
      <w:spacing w:after="0" w:line="264" w:lineRule="auto"/>
    </w:pPr>
    <w:rPr>
      <w:rFonts w:ascii="Cambria" w:eastAsia="Calibri" w:hAnsi="Cambria" w:cs="Times New Roman"/>
      <w:color w:val="A8422A"/>
      <w:sz w:val="20"/>
      <w:szCs w:val="20"/>
      <w:lang w:val="en-GB" w:eastAsia="sr-Cyrl-CS"/>
    </w:rPr>
    <w:tblPr>
      <w:tblStyleRowBandSize w:val="1"/>
      <w:tblStyleColBandSize w:val="1"/>
      <w:tblBorders>
        <w:top w:val="single" w:sz="8" w:space="0" w:color="D16349"/>
        <w:bottom w:val="single" w:sz="8" w:space="0" w:color="D16349"/>
      </w:tblBorders>
    </w:tblPr>
    <w:tblStylePr w:type="fir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la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D8D2"/>
      </w:tcPr>
    </w:tblStylePr>
    <w:tblStylePr w:type="band1Horz">
      <w:tblPr/>
      <w:tcPr>
        <w:tcBorders>
          <w:left w:val="nil"/>
          <w:right w:val="nil"/>
          <w:insideH w:val="nil"/>
          <w:insideV w:val="nil"/>
        </w:tcBorders>
        <w:shd w:val="clear" w:color="auto" w:fill="F3D8D2"/>
      </w:tcPr>
    </w:tblStylePr>
  </w:style>
  <w:style w:type="table" w:customStyle="1" w:styleId="GridTable6Colorful-Accent111">
    <w:name w:val="Grid Table 6 Colorful - Accent 111"/>
    <w:basedOn w:val="TableNormal"/>
    <w:next w:val="GridTable6Colorful-Accent13"/>
    <w:uiPriority w:val="51"/>
    <w:rsid w:val="00C1281D"/>
    <w:pPr>
      <w:spacing w:after="0" w:line="264" w:lineRule="auto"/>
    </w:pPr>
    <w:rPr>
      <w:rFonts w:eastAsia="MS PGothic"/>
      <w:color w:val="BF2B0E"/>
      <w:sz w:val="20"/>
      <w:szCs w:val="20"/>
      <w:lang w:eastAsia="ja-JP"/>
    </w:rPr>
    <w:tblPr>
      <w:tblStyleRowBandSize w:val="1"/>
      <w:tblStyleColBandSize w:val="1"/>
      <w:tblBorders>
        <w:top w:val="single" w:sz="4" w:space="0" w:color="F58F7A"/>
        <w:left w:val="single" w:sz="4" w:space="0" w:color="F58F7A"/>
        <w:bottom w:val="single" w:sz="4" w:space="0" w:color="F58F7A"/>
        <w:right w:val="single" w:sz="4" w:space="0" w:color="F58F7A"/>
        <w:insideH w:val="single" w:sz="4" w:space="0" w:color="F58F7A"/>
        <w:insideV w:val="single" w:sz="4" w:space="0" w:color="F58F7A"/>
      </w:tblBorders>
    </w:tblPr>
    <w:tblStylePr w:type="firstRow">
      <w:rPr>
        <w:b/>
        <w:bCs/>
      </w:rPr>
      <w:tblPr/>
      <w:tcPr>
        <w:tcBorders>
          <w:bottom w:val="single" w:sz="12" w:space="0" w:color="F58F7A"/>
        </w:tcBorders>
      </w:tcPr>
    </w:tblStylePr>
    <w:tblStylePr w:type="lastRow">
      <w:rPr>
        <w:b/>
        <w:bCs/>
      </w:rPr>
      <w:tblPr/>
      <w:tcPr>
        <w:tcBorders>
          <w:top w:val="double" w:sz="4" w:space="0" w:color="F58F7A"/>
        </w:tcBorders>
      </w:tcPr>
    </w:tblStylePr>
    <w:tblStylePr w:type="firstCol">
      <w:rPr>
        <w:b/>
        <w:bCs/>
      </w:rPr>
    </w:tblStylePr>
    <w:tblStylePr w:type="lastCol">
      <w:rPr>
        <w:b/>
        <w:bCs/>
      </w:rPr>
    </w:tblStylePr>
    <w:tblStylePr w:type="band1Vert">
      <w:tblPr/>
      <w:tcPr>
        <w:shd w:val="clear" w:color="auto" w:fill="FBD9D2"/>
      </w:tcPr>
    </w:tblStylePr>
    <w:tblStylePr w:type="band1Horz">
      <w:tblPr/>
      <w:tcPr>
        <w:shd w:val="clear" w:color="auto" w:fill="FBD9D2"/>
      </w:tcPr>
    </w:tblStylePr>
  </w:style>
  <w:style w:type="table" w:customStyle="1" w:styleId="LightShading-Accent1222">
    <w:name w:val="Light Shading - Accent 1222"/>
    <w:basedOn w:val="TableNormal"/>
    <w:uiPriority w:val="60"/>
    <w:rsid w:val="00C1281D"/>
    <w:pPr>
      <w:spacing w:after="0" w:line="240" w:lineRule="auto"/>
    </w:pPr>
    <w:rPr>
      <w:rFonts w:ascii="Cambria" w:eastAsia="Calibri" w:hAnsi="Cambria" w:cs="Times New Roman"/>
      <w:color w:val="A8422A"/>
      <w:sz w:val="20"/>
      <w:szCs w:val="20"/>
      <w:lang w:val="en-GB" w:eastAsia="sr-Cyrl-CS"/>
    </w:rPr>
    <w:tblPr>
      <w:tblStyleRowBandSize w:val="1"/>
      <w:tblStyleColBandSize w:val="1"/>
      <w:tblBorders>
        <w:top w:val="single" w:sz="8" w:space="0" w:color="D16349"/>
        <w:bottom w:val="single" w:sz="8" w:space="0" w:color="D16349"/>
      </w:tblBorders>
    </w:tblPr>
    <w:tblStylePr w:type="fir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la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D8D2"/>
      </w:tcPr>
    </w:tblStylePr>
    <w:tblStylePr w:type="band1Horz">
      <w:tblPr/>
      <w:tcPr>
        <w:tcBorders>
          <w:left w:val="nil"/>
          <w:right w:val="nil"/>
          <w:insideH w:val="nil"/>
          <w:insideV w:val="nil"/>
        </w:tcBorders>
        <w:shd w:val="clear" w:color="auto" w:fill="F3D8D2"/>
      </w:tcPr>
    </w:tblStylePr>
  </w:style>
  <w:style w:type="table" w:customStyle="1" w:styleId="GridTable6Colorful-Accent522">
    <w:name w:val="Grid Table 6 Colorful - Accent 522"/>
    <w:basedOn w:val="TableNormal"/>
    <w:next w:val="GridTable6Colorful-Accent54"/>
    <w:uiPriority w:val="51"/>
    <w:rsid w:val="00C1281D"/>
    <w:pPr>
      <w:spacing w:after="0" w:line="240" w:lineRule="auto"/>
    </w:pPr>
    <w:rPr>
      <w:rFonts w:ascii="Calibri" w:eastAsia="Calibri" w:hAnsi="Calibri" w:cs="Times New Roman"/>
      <w:color w:val="C19300"/>
      <w:sz w:val="20"/>
      <w:szCs w:val="20"/>
    </w:rPr>
    <w:tblPr>
      <w:tblStyleRowBandSize w:val="1"/>
      <w:tblStyleColBandSize w:val="1"/>
      <w:tblBorders>
        <w:top w:val="single" w:sz="4" w:space="0" w:color="FEDA69"/>
        <w:left w:val="single" w:sz="4" w:space="0" w:color="FEDA69"/>
        <w:bottom w:val="single" w:sz="4" w:space="0" w:color="FEDA69"/>
        <w:right w:val="single" w:sz="4" w:space="0" w:color="FEDA69"/>
        <w:insideH w:val="single" w:sz="4" w:space="0" w:color="FEDA69"/>
        <w:insideV w:val="single" w:sz="4" w:space="0" w:color="FEDA69"/>
      </w:tblBorders>
    </w:tblPr>
    <w:tblStylePr w:type="firstRow">
      <w:rPr>
        <w:b/>
        <w:bCs/>
      </w:rPr>
      <w:tblPr/>
      <w:tcPr>
        <w:tcBorders>
          <w:bottom w:val="single" w:sz="12" w:space="0" w:color="FEDA69"/>
        </w:tcBorders>
      </w:tcPr>
    </w:tblStylePr>
    <w:tblStylePr w:type="lastRow">
      <w:rPr>
        <w:b/>
        <w:bCs/>
      </w:rPr>
      <w:tblPr/>
      <w:tcPr>
        <w:tcBorders>
          <w:top w:val="double" w:sz="4" w:space="0" w:color="FEDA69"/>
        </w:tcBorders>
      </w:tcPr>
    </w:tblStylePr>
    <w:tblStylePr w:type="firstCol">
      <w:rPr>
        <w:b/>
        <w:bCs/>
      </w:rPr>
    </w:tblStylePr>
    <w:tblStylePr w:type="lastCol">
      <w:rPr>
        <w:b/>
        <w:bCs/>
      </w:rPr>
    </w:tblStylePr>
    <w:tblStylePr w:type="band1Vert">
      <w:tblPr/>
      <w:tcPr>
        <w:shd w:val="clear" w:color="auto" w:fill="FEF2CD"/>
      </w:tcPr>
    </w:tblStylePr>
    <w:tblStylePr w:type="band1Horz">
      <w:tblPr/>
      <w:tcPr>
        <w:shd w:val="clear" w:color="auto" w:fill="FEF2CD"/>
      </w:tcPr>
    </w:tblStylePr>
  </w:style>
  <w:style w:type="table" w:customStyle="1" w:styleId="tabele35">
    <w:name w:val="tabele 35"/>
    <w:basedOn w:val="TableNormal"/>
    <w:next w:val="LightList-Accent3"/>
    <w:uiPriority w:val="61"/>
    <w:rsid w:val="00C1281D"/>
    <w:pPr>
      <w:spacing w:after="0" w:line="240" w:lineRule="auto"/>
    </w:pPr>
    <w:rPr>
      <w:rFonts w:ascii="Cambria Math" w:eastAsia="Calibri" w:hAnsi="Cambria Math" w:cs="Times New Roman"/>
      <w:sz w:val="18"/>
      <w:lang w:val="sr-Cyrl-CS"/>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LightShading-Accent1112">
    <w:name w:val="Light Shading - Accent 1112"/>
    <w:basedOn w:val="TableNormal"/>
    <w:uiPriority w:val="60"/>
    <w:rsid w:val="00C1281D"/>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36">
    <w:name w:val="Light Shading - Accent 36"/>
    <w:basedOn w:val="TableNormal"/>
    <w:next w:val="LightShading-Accent3"/>
    <w:uiPriority w:val="60"/>
    <w:rsid w:val="00C1281D"/>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List-Accent56">
    <w:name w:val="Light List - Accent 56"/>
    <w:basedOn w:val="TableNormal"/>
    <w:next w:val="LightList-Accent5"/>
    <w:uiPriority w:val="61"/>
    <w:rsid w:val="00C1281D"/>
    <w:pPr>
      <w:spacing w:after="0" w:line="240" w:lineRule="auto"/>
    </w:pPr>
    <w:rPr>
      <w:rFonts w:ascii="Calibri" w:eastAsia="Calibri" w:hAnsi="Calibri" w:cs="Times New Roman"/>
      <w:sz w:val="20"/>
      <w:szCs w:val="20"/>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Shading-Accent315">
    <w:name w:val="Light Shading - Accent 315"/>
    <w:basedOn w:val="TableNormal"/>
    <w:next w:val="LightShading-Accent3"/>
    <w:uiPriority w:val="60"/>
    <w:rsid w:val="00C1281D"/>
    <w:pPr>
      <w:spacing w:after="0" w:line="240" w:lineRule="auto"/>
    </w:pPr>
    <w:rPr>
      <w:rFonts w:ascii="Constantia" w:eastAsia="Constantia" w:hAnsi="Constantia" w:cs="Times New Roman"/>
      <w:color w:val="8CADAE"/>
      <w:lang w:val="sr-Cyrl-CS"/>
    </w:rPr>
    <w:tblPr>
      <w:tblStyleRowBandSize w:val="1"/>
      <w:tblStyleColBandSize w:val="1"/>
      <w:tblBorders>
        <w:top w:val="single" w:sz="8" w:space="0" w:color="8CADAE"/>
        <w:bottom w:val="single" w:sz="8" w:space="0" w:color="8CADAE"/>
      </w:tblBorders>
    </w:tblPr>
    <w:tblStylePr w:type="fir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la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2EAEB"/>
      </w:tcPr>
    </w:tblStylePr>
    <w:tblStylePr w:type="band1Horz">
      <w:tblPr/>
      <w:tcPr>
        <w:tcBorders>
          <w:left w:val="nil"/>
          <w:right w:val="nil"/>
          <w:insideH w:val="nil"/>
          <w:insideV w:val="nil"/>
        </w:tcBorders>
        <w:shd w:val="clear" w:color="auto" w:fill="E2EAEB"/>
      </w:tcPr>
    </w:tblStylePr>
  </w:style>
  <w:style w:type="table" w:customStyle="1" w:styleId="LightList-Accent316">
    <w:name w:val="Light List - Accent 316"/>
    <w:basedOn w:val="TableNormal"/>
    <w:next w:val="LightList-Accent3"/>
    <w:uiPriority w:val="61"/>
    <w:rsid w:val="00C1281D"/>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TableGrid12">
    <w:name w:val="Table Grid12"/>
    <w:basedOn w:val="TableNormal"/>
    <w:next w:val="TableGrid"/>
    <w:uiPriority w:val="59"/>
    <w:rsid w:val="00C1281D"/>
    <w:pPr>
      <w:spacing w:after="0" w:line="240" w:lineRule="auto"/>
    </w:pPr>
    <w:rPr>
      <w:rFonts w:ascii="Constantia" w:eastAsia="Constantia" w:hAnsi="Constantia" w:cs="Times New Roman"/>
      <w:lang w:val="sr-Cyrl-C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ghtList-Accent515">
    <w:name w:val="Light List - Accent 515"/>
    <w:basedOn w:val="TableNormal"/>
    <w:next w:val="LightList-Accent5"/>
    <w:uiPriority w:val="61"/>
    <w:rsid w:val="00C1281D"/>
    <w:pPr>
      <w:spacing w:after="0" w:line="240" w:lineRule="auto"/>
    </w:pPr>
    <w:rPr>
      <w:rFonts w:ascii="Times New Roman" w:eastAsia="Constantia" w:hAnsi="Times New Roman" w:cs="Times New Roman"/>
      <w:lang w:val="sr-Cyrl-CS"/>
    </w:rPr>
    <w:tblPr>
      <w:tblStyleRowBandSize w:val="1"/>
      <w:tblStyleColBandSize w:val="1"/>
      <w:tblBorders>
        <w:top w:val="single" w:sz="8" w:space="0" w:color="8FB08C"/>
        <w:left w:val="single" w:sz="8" w:space="0" w:color="8FB08C"/>
        <w:bottom w:val="single" w:sz="8" w:space="0" w:color="8FB08C"/>
        <w:right w:val="single" w:sz="8" w:space="0" w:color="8FB08C"/>
      </w:tblBorders>
    </w:tblPr>
    <w:tblStylePr w:type="firstRow">
      <w:pPr>
        <w:spacing w:before="0" w:after="0" w:line="240" w:lineRule="auto"/>
      </w:pPr>
      <w:rPr>
        <w:b/>
        <w:bCs/>
        <w:color w:val="FFFFFF"/>
      </w:rPr>
      <w:tblPr/>
      <w:tcPr>
        <w:shd w:val="clear" w:color="auto" w:fill="8FB08C"/>
      </w:tcPr>
    </w:tblStylePr>
    <w:tblStylePr w:type="lastRow">
      <w:pPr>
        <w:spacing w:before="0" w:after="0" w:line="240" w:lineRule="auto"/>
      </w:pPr>
      <w:rPr>
        <w:b/>
        <w:bCs/>
      </w:rPr>
      <w:tblPr/>
      <w:tcPr>
        <w:tcBorders>
          <w:top w:val="double" w:sz="6" w:space="0" w:color="8FB08C"/>
          <w:left w:val="single" w:sz="8" w:space="0" w:color="8FB08C"/>
          <w:bottom w:val="single" w:sz="8" w:space="0" w:color="8FB08C"/>
          <w:right w:val="single" w:sz="8" w:space="0" w:color="8FB08C"/>
        </w:tcBorders>
      </w:tcPr>
    </w:tblStylePr>
    <w:tblStylePr w:type="firstCol">
      <w:rPr>
        <w:b/>
        <w:bCs/>
      </w:rPr>
    </w:tblStylePr>
    <w:tblStylePr w:type="lastCol">
      <w:rPr>
        <w:b/>
        <w:bCs/>
      </w:rPr>
    </w:tblStylePr>
    <w:tblStylePr w:type="band1Vert">
      <w:tblPr/>
      <w:tcPr>
        <w:tcBorders>
          <w:top w:val="single" w:sz="8" w:space="0" w:color="8FB08C"/>
          <w:left w:val="single" w:sz="8" w:space="0" w:color="8FB08C"/>
          <w:bottom w:val="single" w:sz="8" w:space="0" w:color="8FB08C"/>
          <w:right w:val="single" w:sz="8" w:space="0" w:color="8FB08C"/>
        </w:tcBorders>
      </w:tcPr>
    </w:tblStylePr>
    <w:tblStylePr w:type="band1Horz">
      <w:tblPr/>
      <w:tcPr>
        <w:tcBorders>
          <w:top w:val="single" w:sz="8" w:space="0" w:color="8FB08C"/>
          <w:left w:val="single" w:sz="8" w:space="0" w:color="8FB08C"/>
          <w:bottom w:val="single" w:sz="8" w:space="0" w:color="8FB08C"/>
          <w:right w:val="single" w:sz="8" w:space="0" w:color="8FB08C"/>
        </w:tcBorders>
      </w:tcPr>
    </w:tblStylePr>
  </w:style>
  <w:style w:type="table" w:customStyle="1" w:styleId="MediumList1-Accent512">
    <w:name w:val="Medium List 1 - Accent 512"/>
    <w:basedOn w:val="TableNormal"/>
    <w:next w:val="MediumList1-Accent5"/>
    <w:uiPriority w:val="65"/>
    <w:rsid w:val="00C1281D"/>
    <w:pPr>
      <w:spacing w:after="0" w:line="240" w:lineRule="auto"/>
    </w:pPr>
    <w:rPr>
      <w:rFonts w:ascii="Constantia" w:eastAsia="Constantia" w:hAnsi="Constantia" w:cs="Times New Roman"/>
      <w:color w:val="000000"/>
      <w:lang w:val="sr-Cyrl-CS"/>
    </w:rPr>
    <w:tblPr>
      <w:tblStyleRowBandSize w:val="1"/>
      <w:tblStyleColBandSize w:val="1"/>
      <w:tblBorders>
        <w:top w:val="single" w:sz="8" w:space="0" w:color="8FB08C"/>
        <w:bottom w:val="single" w:sz="8" w:space="0" w:color="8FB08C"/>
      </w:tblBorders>
    </w:tblPr>
    <w:tblStylePr w:type="firstRow">
      <w:rPr>
        <w:rFonts w:ascii="Consolas" w:eastAsia="Times New Roman" w:hAnsi="Consolas" w:cs="Times New Roman"/>
      </w:rPr>
      <w:tblPr/>
      <w:tcPr>
        <w:tcBorders>
          <w:top w:val="nil"/>
          <w:bottom w:val="single" w:sz="8" w:space="0" w:color="8FB08C"/>
        </w:tcBorders>
      </w:tcPr>
    </w:tblStylePr>
    <w:tblStylePr w:type="lastRow">
      <w:rPr>
        <w:b/>
        <w:bCs/>
        <w:color w:val="646B86"/>
      </w:rPr>
      <w:tblPr/>
      <w:tcPr>
        <w:tcBorders>
          <w:top w:val="single" w:sz="8" w:space="0" w:color="8FB08C"/>
          <w:bottom w:val="single" w:sz="8" w:space="0" w:color="8FB08C"/>
        </w:tcBorders>
      </w:tcPr>
    </w:tblStylePr>
    <w:tblStylePr w:type="firstCol">
      <w:rPr>
        <w:b/>
        <w:bCs/>
      </w:rPr>
    </w:tblStylePr>
    <w:tblStylePr w:type="lastCol">
      <w:rPr>
        <w:b/>
        <w:bCs/>
      </w:rPr>
      <w:tblPr/>
      <w:tcPr>
        <w:tcBorders>
          <w:top w:val="single" w:sz="8" w:space="0" w:color="8FB08C"/>
          <w:bottom w:val="single" w:sz="8" w:space="0" w:color="8FB08C"/>
        </w:tcBorders>
      </w:tcPr>
    </w:tblStylePr>
    <w:tblStylePr w:type="band1Vert">
      <w:tblPr/>
      <w:tcPr>
        <w:shd w:val="clear" w:color="auto" w:fill="E3EBE2"/>
      </w:tcPr>
    </w:tblStylePr>
    <w:tblStylePr w:type="band1Horz">
      <w:tblPr/>
      <w:tcPr>
        <w:shd w:val="clear" w:color="auto" w:fill="E3EBE2"/>
      </w:tcPr>
    </w:tblStylePr>
  </w:style>
  <w:style w:type="table" w:customStyle="1" w:styleId="MediumList1-Accent53">
    <w:name w:val="Medium List 1 - Accent 53"/>
    <w:basedOn w:val="TableNormal"/>
    <w:next w:val="MediumList1-Accent5"/>
    <w:uiPriority w:val="65"/>
    <w:rsid w:val="00C1281D"/>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4BACC6"/>
        <w:bottom w:val="single" w:sz="8" w:space="0" w:color="4BACC6"/>
      </w:tblBorders>
    </w:tblPr>
    <w:tblStylePr w:type="firstRow">
      <w:rPr>
        <w:rFonts w:ascii="Times New Roman" w:eastAsia="Times New Roman" w:hAnsi="Times New Roman" w:cs="Times New Roman"/>
      </w:rPr>
      <w:tblPr/>
      <w:tcPr>
        <w:tcBorders>
          <w:top w:val="nil"/>
          <w:bottom w:val="single" w:sz="8" w:space="0" w:color="4BACC6"/>
        </w:tcBorders>
      </w:tcPr>
    </w:tblStylePr>
    <w:tblStylePr w:type="lastRow">
      <w:rPr>
        <w:b/>
        <w:bCs/>
        <w:color w:val="1F497D"/>
      </w:rPr>
      <w:tblPr/>
      <w:tcPr>
        <w:tcBorders>
          <w:top w:val="single" w:sz="8" w:space="0" w:color="4BACC6"/>
          <w:bottom w:val="single" w:sz="8" w:space="0" w:color="4BACC6"/>
        </w:tcBorders>
      </w:tcPr>
    </w:tblStylePr>
    <w:tblStylePr w:type="firstCol">
      <w:rPr>
        <w:b/>
        <w:bCs/>
      </w:rPr>
    </w:tblStylePr>
    <w:tblStylePr w:type="lastCol">
      <w:rPr>
        <w:b/>
        <w:bCs/>
      </w:rPr>
      <w:tblPr/>
      <w:tcPr>
        <w:tcBorders>
          <w:top w:val="single" w:sz="8" w:space="0" w:color="4BACC6"/>
          <w:bottom w:val="single" w:sz="8" w:space="0" w:color="4BACC6"/>
        </w:tcBorders>
      </w:tcPr>
    </w:tblStylePr>
    <w:tblStylePr w:type="band1Vert">
      <w:tblPr/>
      <w:tcPr>
        <w:shd w:val="clear" w:color="auto" w:fill="D2EAF1"/>
      </w:tcPr>
    </w:tblStylePr>
    <w:tblStylePr w:type="band1Horz">
      <w:tblPr/>
      <w:tcPr>
        <w:shd w:val="clear" w:color="auto" w:fill="D2EAF1"/>
      </w:tcPr>
    </w:tblStylePr>
  </w:style>
  <w:style w:type="numbering" w:customStyle="1" w:styleId="NoList112">
    <w:name w:val="No List112"/>
    <w:next w:val="NoList"/>
    <w:uiPriority w:val="99"/>
    <w:semiHidden/>
    <w:unhideWhenUsed/>
    <w:rsid w:val="00C1281D"/>
  </w:style>
  <w:style w:type="table" w:customStyle="1" w:styleId="LightGrid-Accent516">
    <w:name w:val="Light Grid - Accent 516"/>
    <w:basedOn w:val="TableNormal"/>
    <w:next w:val="LightGrid-Accent5"/>
    <w:uiPriority w:val="62"/>
    <w:rsid w:val="00C1281D"/>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Verdana" w:eastAsia="Times New Roman" w:hAnsi="Verdan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Verdana" w:eastAsia="Times New Roman" w:hAnsi="Verdan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Verdana" w:eastAsia="Times New Roman" w:hAnsi="Verdana" w:cs="Times New Roman"/>
        <w:b/>
        <w:bCs/>
      </w:rPr>
    </w:tblStylePr>
    <w:tblStylePr w:type="lastCol">
      <w:rPr>
        <w:rFonts w:ascii="Verdana" w:eastAsia="Times New Roman" w:hAnsi="Verdan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115">
    <w:name w:val="Светло сенчење – наглашавање 115"/>
    <w:basedOn w:val="TableNormal"/>
    <w:uiPriority w:val="60"/>
    <w:rsid w:val="00C1281D"/>
    <w:pPr>
      <w:spacing w:after="0" w:line="240" w:lineRule="auto"/>
    </w:pPr>
    <w:rPr>
      <w:rFonts w:ascii="Calibri" w:eastAsia="Calibri" w:hAnsi="Calibri" w:cs="Times New Roman"/>
      <w:color w:val="365F91"/>
      <w:sz w:val="20"/>
      <w:szCs w:val="20"/>
      <w:lang w:val="sr-Latn-CS" w:eastAsia="en-GB"/>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Grid-Accent57">
    <w:name w:val="Light Grid - Accent 57"/>
    <w:basedOn w:val="TableNormal"/>
    <w:next w:val="LightGrid-Accent5"/>
    <w:uiPriority w:val="62"/>
    <w:rsid w:val="00C1281D"/>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Verdana" w:eastAsia="Times New Roman" w:hAnsi="Verdana"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Verdana" w:eastAsia="Times New Roman" w:hAnsi="Verdana"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Verdana" w:eastAsia="Times New Roman" w:hAnsi="Verdana" w:cs="Times New Roman"/>
        <w:b/>
        <w:bCs/>
      </w:rPr>
    </w:tblStylePr>
    <w:tblStylePr w:type="lastCol">
      <w:rPr>
        <w:rFonts w:ascii="Verdana" w:eastAsia="Times New Roman" w:hAnsi="Verdana"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tabelezaifs2">
    <w:name w:val="tabele za ifs2"/>
    <w:basedOn w:val="TableNormal"/>
    <w:uiPriority w:val="99"/>
    <w:qFormat/>
    <w:rsid w:val="00C1281D"/>
    <w:pPr>
      <w:spacing w:after="0" w:line="240" w:lineRule="auto"/>
    </w:pPr>
    <w:rPr>
      <w:rFonts w:ascii="Cambria Math" w:eastAsia="Calibri" w:hAnsi="Cambria Math" w:cs="Times New Roman"/>
      <w:sz w:val="20"/>
      <w:szCs w:val="20"/>
      <w:lang w:val="en-GB" w:eastAsia="en-GB"/>
    </w:rPr>
    <w:tblPr/>
  </w:style>
  <w:style w:type="table" w:customStyle="1" w:styleId="tabelezaifs12">
    <w:name w:val="tabele za ifs 12"/>
    <w:basedOn w:val="TableNormal"/>
    <w:uiPriority w:val="66"/>
    <w:rsid w:val="00C1281D"/>
    <w:pPr>
      <w:spacing w:after="0" w:line="240" w:lineRule="auto"/>
    </w:pPr>
    <w:rPr>
      <w:rFonts w:ascii="Cambria Math" w:eastAsia="Times New Roman" w:hAnsi="Cambria Math" w:cs="Times New Roman"/>
      <w:color w:val="000000"/>
      <w:sz w:val="20"/>
      <w:szCs w:val="20"/>
      <w:lang w:val="en-GB" w:eastAsia="en-GB"/>
    </w:rPr>
    <w:tblPr>
      <w:tblStyleRowBandSize w:val="1"/>
      <w:tblStyleColBandSize w:val="1"/>
      <w:tblBorders>
        <w:top w:val="single" w:sz="8" w:space="0" w:color="8CADAE"/>
        <w:left w:val="single" w:sz="8" w:space="0" w:color="8CADAE"/>
        <w:bottom w:val="single" w:sz="8" w:space="0" w:color="8CADAE"/>
        <w:right w:val="single" w:sz="8" w:space="0" w:color="8CADAE"/>
      </w:tblBorders>
    </w:tblPr>
    <w:tcPr>
      <w:vAlign w:val="bottom"/>
    </w:tcPr>
    <w:tblStylePr w:type="firstRow">
      <w:rPr>
        <w:sz w:val="24"/>
        <w:szCs w:val="24"/>
      </w:rPr>
      <w:tblPr/>
      <w:tcPr>
        <w:tcBorders>
          <w:top w:val="nil"/>
          <w:left w:val="nil"/>
          <w:bottom w:val="single" w:sz="24" w:space="0" w:color="8CADAE"/>
          <w:right w:val="nil"/>
          <w:insideH w:val="nil"/>
          <w:insideV w:val="nil"/>
        </w:tcBorders>
        <w:shd w:val="clear" w:color="auto" w:fill="FFFFFF"/>
      </w:tcPr>
    </w:tblStylePr>
    <w:tblStylePr w:type="lastRow">
      <w:tblPr/>
      <w:tcPr>
        <w:tcBorders>
          <w:top w:val="single" w:sz="8" w:space="0" w:color="8CADAE"/>
          <w:left w:val="nil"/>
          <w:bottom w:val="nil"/>
          <w:right w:val="nil"/>
          <w:insideH w:val="nil"/>
          <w:insideV w:val="nil"/>
        </w:tcBorders>
        <w:shd w:val="clear" w:color="auto" w:fill="FFFFFF"/>
      </w:tcPr>
    </w:tblStylePr>
    <w:tblStylePr w:type="firstCol">
      <w:tblPr/>
      <w:tcPr>
        <w:tcBorders>
          <w:top w:val="nil"/>
          <w:left w:val="nil"/>
          <w:bottom w:val="nil"/>
          <w:right w:val="single" w:sz="8" w:space="0" w:color="8CADAE"/>
          <w:insideH w:val="nil"/>
          <w:insideV w:val="nil"/>
        </w:tcBorders>
        <w:shd w:val="clear" w:color="auto" w:fill="FFFFFF"/>
      </w:tcPr>
    </w:tblStylePr>
    <w:tblStylePr w:type="lastCol">
      <w:tblPr/>
      <w:tcPr>
        <w:tcBorders>
          <w:top w:val="nil"/>
          <w:left w:val="single" w:sz="8" w:space="0" w:color="8CADAE"/>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2EAEB"/>
      </w:tcPr>
    </w:tblStylePr>
    <w:tblStylePr w:type="band1Horz">
      <w:tblPr/>
      <w:tcPr>
        <w:tcBorders>
          <w:top w:val="nil"/>
          <w:bottom w:val="nil"/>
          <w:insideH w:val="nil"/>
          <w:insideV w:val="nil"/>
        </w:tcBorders>
        <w:shd w:val="clear" w:color="auto" w:fill="E2EAEB"/>
      </w:tcPr>
    </w:tblStylePr>
    <w:tblStylePr w:type="nwCell">
      <w:tblPr/>
      <w:tcPr>
        <w:shd w:val="clear" w:color="auto" w:fill="FFFFFF"/>
      </w:tcPr>
    </w:tblStylePr>
    <w:tblStylePr w:type="swCell">
      <w:tblPr/>
      <w:tcPr>
        <w:tcBorders>
          <w:top w:val="nil"/>
        </w:tcBorders>
      </w:tcPr>
    </w:tblStylePr>
  </w:style>
  <w:style w:type="table" w:customStyle="1" w:styleId="ColorfulList-Accent12">
    <w:name w:val="Colorful List - Accent 12"/>
    <w:basedOn w:val="TableNormal"/>
    <w:next w:val="ColorfulList-Accent1"/>
    <w:uiPriority w:val="72"/>
    <w:rsid w:val="00C1281D"/>
    <w:pPr>
      <w:spacing w:after="0" w:line="240" w:lineRule="auto"/>
    </w:pPr>
    <w:rPr>
      <w:rFonts w:ascii="Calibri" w:eastAsia="Calibri" w:hAnsi="Calibri" w:cs="Times New Roman"/>
      <w:color w:val="000000"/>
      <w:sz w:val="20"/>
      <w:szCs w:val="20"/>
      <w:lang w:val="en-GB" w:eastAsia="en-GB"/>
    </w:rPr>
    <w:tblPr>
      <w:tblStyleRowBandSize w:val="1"/>
      <w:tblStyleColBandSize w:val="1"/>
    </w:tblPr>
    <w:tcPr>
      <w:shd w:val="clear" w:color="auto" w:fill="FAEFEC"/>
    </w:tcPr>
    <w:tblStylePr w:type="firstRow">
      <w:rPr>
        <w:b/>
        <w:bCs/>
        <w:color w:val="FFFFFF"/>
      </w:rPr>
      <w:tblPr/>
      <w:tcPr>
        <w:tcBorders>
          <w:bottom w:val="single" w:sz="12" w:space="0" w:color="FFFFFF"/>
        </w:tcBorders>
        <w:shd w:val="clear" w:color="auto" w:fill="A38F00"/>
      </w:tcPr>
    </w:tblStylePr>
    <w:tblStylePr w:type="lastRow">
      <w:rPr>
        <w:b/>
        <w:bCs/>
        <w:color w:val="A38F00"/>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3D8D2"/>
      </w:tcPr>
    </w:tblStylePr>
    <w:tblStylePr w:type="band1Horz">
      <w:tblPr/>
      <w:tcPr>
        <w:shd w:val="clear" w:color="auto" w:fill="F5DFDA"/>
      </w:tcPr>
    </w:tblStylePr>
  </w:style>
  <w:style w:type="numbering" w:customStyle="1" w:styleId="NoList22">
    <w:name w:val="No List22"/>
    <w:next w:val="NoList"/>
    <w:uiPriority w:val="99"/>
    <w:semiHidden/>
    <w:unhideWhenUsed/>
    <w:rsid w:val="00C1281D"/>
  </w:style>
  <w:style w:type="table" w:customStyle="1" w:styleId="LightList-Accent325">
    <w:name w:val="Light List - Accent 325"/>
    <w:basedOn w:val="TableNormal"/>
    <w:next w:val="LightList-Accent3"/>
    <w:uiPriority w:val="61"/>
    <w:rsid w:val="00C1281D"/>
    <w:pPr>
      <w:spacing w:after="0" w:line="240" w:lineRule="auto"/>
    </w:pPr>
    <w:rPr>
      <w:rFonts w:ascii="Calibri" w:eastAsia="Calibri" w:hAnsi="Calibri" w:cs="Times New Roman"/>
      <w:sz w:val="20"/>
      <w:szCs w:val="20"/>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3115">
    <w:name w:val="Light List - Accent 3115"/>
    <w:basedOn w:val="TableNormal"/>
    <w:next w:val="LightList-Accent3"/>
    <w:uiPriority w:val="61"/>
    <w:rsid w:val="00C1281D"/>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Shading-Accent1319">
    <w:name w:val="Light Shading - Accent 1319"/>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10">
    <w:name w:val="Light Shading - Accent 13110"/>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25">
    <w:name w:val="Light Shading - Accent 1325"/>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tabele312">
    <w:name w:val="tabele 312"/>
    <w:basedOn w:val="TableNormal"/>
    <w:next w:val="LightList-Accent3"/>
    <w:uiPriority w:val="61"/>
    <w:rsid w:val="00C1281D"/>
    <w:pPr>
      <w:spacing w:after="0" w:line="240" w:lineRule="auto"/>
    </w:pPr>
    <w:rPr>
      <w:rFonts w:ascii="Cambria Math" w:eastAsia="Calibri" w:hAnsi="Cambria Math" w:cs="Times New Roman"/>
      <w:sz w:val="18"/>
      <w:lang w:val="sr-Cyrl-CS"/>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LightShading-Accent1113">
    <w:name w:val="Light Shading - Accent 1113"/>
    <w:basedOn w:val="TableNormal"/>
    <w:uiPriority w:val="60"/>
    <w:rsid w:val="00C1281D"/>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322">
    <w:name w:val="Light Shading - Accent 322"/>
    <w:basedOn w:val="TableNormal"/>
    <w:next w:val="LightShading-Accent3"/>
    <w:uiPriority w:val="60"/>
    <w:rsid w:val="00C1281D"/>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List-Accent522">
    <w:name w:val="Light List - Accent 522"/>
    <w:basedOn w:val="TableNormal"/>
    <w:next w:val="LightList-Accent5"/>
    <w:uiPriority w:val="61"/>
    <w:rsid w:val="00C1281D"/>
    <w:pPr>
      <w:spacing w:after="0" w:line="240" w:lineRule="auto"/>
    </w:pPr>
    <w:rPr>
      <w:rFonts w:ascii="Calibri" w:eastAsia="Calibri" w:hAnsi="Calibri" w:cs="Times New Roman"/>
      <w:sz w:val="20"/>
      <w:szCs w:val="20"/>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Shading-Accent3112">
    <w:name w:val="Light Shading - Accent 3112"/>
    <w:basedOn w:val="TableNormal"/>
    <w:next w:val="LightShading-Accent3"/>
    <w:uiPriority w:val="60"/>
    <w:rsid w:val="00C1281D"/>
    <w:pPr>
      <w:spacing w:after="0" w:line="240" w:lineRule="auto"/>
    </w:pPr>
    <w:rPr>
      <w:rFonts w:ascii="Constantia" w:eastAsia="Constantia" w:hAnsi="Constantia" w:cs="Times New Roman"/>
      <w:color w:val="8CADAE"/>
      <w:lang w:val="sr-Cyrl-CS"/>
    </w:rPr>
    <w:tblPr>
      <w:tblStyleRowBandSize w:val="1"/>
      <w:tblStyleColBandSize w:val="1"/>
      <w:tblBorders>
        <w:top w:val="single" w:sz="8" w:space="0" w:color="8CADAE"/>
        <w:bottom w:val="single" w:sz="8" w:space="0" w:color="8CADAE"/>
      </w:tblBorders>
    </w:tblPr>
    <w:tblStylePr w:type="fir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la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2EAEB"/>
      </w:tcPr>
    </w:tblStylePr>
    <w:tblStylePr w:type="band1Horz">
      <w:tblPr/>
      <w:tcPr>
        <w:tcBorders>
          <w:left w:val="nil"/>
          <w:right w:val="nil"/>
          <w:insideH w:val="nil"/>
          <w:insideV w:val="nil"/>
        </w:tcBorders>
        <w:shd w:val="clear" w:color="auto" w:fill="E2EAEB"/>
      </w:tcPr>
    </w:tblStylePr>
  </w:style>
  <w:style w:type="table" w:customStyle="1" w:styleId="LightList-Accent3122">
    <w:name w:val="Light List - Accent 3122"/>
    <w:basedOn w:val="TableNormal"/>
    <w:next w:val="LightList-Accent3"/>
    <w:uiPriority w:val="61"/>
    <w:rsid w:val="00C1281D"/>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5112">
    <w:name w:val="Light List - Accent 5112"/>
    <w:basedOn w:val="TableNormal"/>
    <w:next w:val="LightList-Accent5"/>
    <w:uiPriority w:val="61"/>
    <w:rsid w:val="00C1281D"/>
    <w:pPr>
      <w:spacing w:after="0" w:line="240" w:lineRule="auto"/>
    </w:pPr>
    <w:rPr>
      <w:rFonts w:ascii="Times New Roman" w:eastAsia="Constantia" w:hAnsi="Times New Roman" w:cs="Times New Roman"/>
      <w:lang w:val="sr-Cyrl-CS"/>
    </w:rPr>
    <w:tblPr>
      <w:tblStyleRowBandSize w:val="1"/>
      <w:tblStyleColBandSize w:val="1"/>
      <w:tblBorders>
        <w:top w:val="single" w:sz="8" w:space="0" w:color="8FB08C"/>
        <w:left w:val="single" w:sz="8" w:space="0" w:color="8FB08C"/>
        <w:bottom w:val="single" w:sz="8" w:space="0" w:color="8FB08C"/>
        <w:right w:val="single" w:sz="8" w:space="0" w:color="8FB08C"/>
      </w:tblBorders>
    </w:tblPr>
    <w:tblStylePr w:type="firstRow">
      <w:pPr>
        <w:spacing w:before="0" w:after="0" w:line="240" w:lineRule="auto"/>
      </w:pPr>
      <w:rPr>
        <w:b/>
        <w:bCs/>
        <w:color w:val="FFFFFF"/>
      </w:rPr>
      <w:tblPr/>
      <w:tcPr>
        <w:shd w:val="clear" w:color="auto" w:fill="8FB08C"/>
      </w:tcPr>
    </w:tblStylePr>
    <w:tblStylePr w:type="lastRow">
      <w:pPr>
        <w:spacing w:before="0" w:after="0" w:line="240" w:lineRule="auto"/>
      </w:pPr>
      <w:rPr>
        <w:b/>
        <w:bCs/>
      </w:rPr>
      <w:tblPr/>
      <w:tcPr>
        <w:tcBorders>
          <w:top w:val="double" w:sz="6" w:space="0" w:color="8FB08C"/>
          <w:left w:val="single" w:sz="8" w:space="0" w:color="8FB08C"/>
          <w:bottom w:val="single" w:sz="8" w:space="0" w:color="8FB08C"/>
          <w:right w:val="single" w:sz="8" w:space="0" w:color="8FB08C"/>
        </w:tcBorders>
      </w:tcPr>
    </w:tblStylePr>
    <w:tblStylePr w:type="firstCol">
      <w:rPr>
        <w:b/>
        <w:bCs/>
      </w:rPr>
    </w:tblStylePr>
    <w:tblStylePr w:type="lastCol">
      <w:rPr>
        <w:b/>
        <w:bCs/>
      </w:rPr>
    </w:tblStylePr>
    <w:tblStylePr w:type="band1Vert">
      <w:tblPr/>
      <w:tcPr>
        <w:tcBorders>
          <w:top w:val="single" w:sz="8" w:space="0" w:color="8FB08C"/>
          <w:left w:val="single" w:sz="8" w:space="0" w:color="8FB08C"/>
          <w:bottom w:val="single" w:sz="8" w:space="0" w:color="8FB08C"/>
          <w:right w:val="single" w:sz="8" w:space="0" w:color="8FB08C"/>
        </w:tcBorders>
      </w:tcPr>
    </w:tblStylePr>
    <w:tblStylePr w:type="band1Horz">
      <w:tblPr/>
      <w:tcPr>
        <w:tcBorders>
          <w:top w:val="single" w:sz="8" w:space="0" w:color="8FB08C"/>
          <w:left w:val="single" w:sz="8" w:space="0" w:color="8FB08C"/>
          <w:bottom w:val="single" w:sz="8" w:space="0" w:color="8FB08C"/>
          <w:right w:val="single" w:sz="8" w:space="0" w:color="8FB08C"/>
        </w:tcBorders>
      </w:tcPr>
    </w:tblStylePr>
  </w:style>
  <w:style w:type="table" w:customStyle="1" w:styleId="LightGrid-Accent5113">
    <w:name w:val="Light Grid - Accent 5113"/>
    <w:basedOn w:val="TableNormal"/>
    <w:next w:val="LightGrid-Accent5"/>
    <w:uiPriority w:val="62"/>
    <w:rsid w:val="00C1281D"/>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Verdana" w:eastAsia="Times New Roman" w:hAnsi="Verdan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Verdana" w:eastAsia="Times New Roman" w:hAnsi="Verdan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Verdana" w:eastAsia="Times New Roman" w:hAnsi="Verdana" w:cs="Times New Roman"/>
        <w:b/>
        <w:bCs/>
      </w:rPr>
    </w:tblStylePr>
    <w:tblStylePr w:type="lastCol">
      <w:rPr>
        <w:rFonts w:ascii="Verdana" w:eastAsia="Times New Roman" w:hAnsi="Verdan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1112">
    <w:name w:val="Светло сенчење – наглашавање 1112"/>
    <w:basedOn w:val="TableNormal"/>
    <w:uiPriority w:val="60"/>
    <w:rsid w:val="00C1281D"/>
    <w:pPr>
      <w:spacing w:after="0" w:line="240" w:lineRule="auto"/>
    </w:pPr>
    <w:rPr>
      <w:rFonts w:ascii="Calibri" w:eastAsia="Calibri" w:hAnsi="Calibri" w:cs="Times New Roman"/>
      <w:color w:val="365F91"/>
      <w:sz w:val="20"/>
      <w:szCs w:val="20"/>
      <w:lang w:val="sr-Latn-CS" w:eastAsia="en-GB"/>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Grid-Accent523">
    <w:name w:val="Light Grid - Accent 523"/>
    <w:basedOn w:val="TableNormal"/>
    <w:next w:val="LightGrid-Accent5"/>
    <w:uiPriority w:val="62"/>
    <w:rsid w:val="00C1281D"/>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Verdana" w:eastAsia="Times New Roman" w:hAnsi="Verdana"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Verdana" w:eastAsia="Times New Roman" w:hAnsi="Verdana"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Verdana" w:eastAsia="Times New Roman" w:hAnsi="Verdana" w:cs="Times New Roman"/>
        <w:b/>
        <w:bCs/>
      </w:rPr>
    </w:tblStylePr>
    <w:tblStylePr w:type="lastCol">
      <w:rPr>
        <w:rFonts w:ascii="Verdana" w:eastAsia="Times New Roman" w:hAnsi="Verdana"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List-Accent3212">
    <w:name w:val="Light List - Accent 3212"/>
    <w:basedOn w:val="TableNormal"/>
    <w:next w:val="LightList-Accent3"/>
    <w:uiPriority w:val="61"/>
    <w:rsid w:val="00C1281D"/>
    <w:pPr>
      <w:spacing w:after="0" w:line="240" w:lineRule="auto"/>
    </w:pPr>
    <w:rPr>
      <w:rFonts w:ascii="Calibri" w:eastAsia="Calibri" w:hAnsi="Calibri" w:cs="Times New Roman"/>
      <w:sz w:val="20"/>
      <w:szCs w:val="20"/>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31112">
    <w:name w:val="Light List - Accent 31112"/>
    <w:basedOn w:val="TableNormal"/>
    <w:next w:val="LightList-Accent3"/>
    <w:uiPriority w:val="61"/>
    <w:rsid w:val="00C1281D"/>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Shading-Accent1332">
    <w:name w:val="Light Shading - Accent 1332"/>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12">
    <w:name w:val="Light Shading - Accent 13112"/>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212">
    <w:name w:val="Light Shading - Accent 13212"/>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22">
    <w:name w:val="Light Shading - Accent 1122"/>
    <w:basedOn w:val="TableNormal"/>
    <w:uiPriority w:val="60"/>
    <w:rsid w:val="00C1281D"/>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42">
    <w:name w:val="Light Shading - Accent 1342"/>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32">
    <w:name w:val="Light Shading - Accent 1132"/>
    <w:basedOn w:val="TableNormal"/>
    <w:uiPriority w:val="60"/>
    <w:rsid w:val="00C1281D"/>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52">
    <w:name w:val="Light Shading - Accent 1352"/>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63">
    <w:name w:val="Light Shading - Accent 1363"/>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72">
    <w:name w:val="Light Shading - Accent 1372"/>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tabele322">
    <w:name w:val="tabele 322"/>
    <w:basedOn w:val="TableNormal"/>
    <w:next w:val="LightList-Accent3"/>
    <w:uiPriority w:val="61"/>
    <w:rsid w:val="00C1281D"/>
    <w:pPr>
      <w:spacing w:after="0" w:line="240" w:lineRule="auto"/>
    </w:pPr>
    <w:rPr>
      <w:rFonts w:ascii="Cambria Math" w:eastAsia="Calibri" w:hAnsi="Cambria Math" w:cs="Times New Roman"/>
      <w:sz w:val="18"/>
      <w:lang w:val="sr-Cyrl-CS"/>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LightShading-Accent1142">
    <w:name w:val="Light Shading - Accent 1142"/>
    <w:basedOn w:val="TableNormal"/>
    <w:uiPriority w:val="60"/>
    <w:rsid w:val="00C1281D"/>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335">
    <w:name w:val="Light Shading - Accent 335"/>
    <w:basedOn w:val="TableNormal"/>
    <w:next w:val="LightShading-Accent3"/>
    <w:uiPriority w:val="60"/>
    <w:rsid w:val="00C1281D"/>
    <w:pPr>
      <w:spacing w:after="0" w:line="240" w:lineRule="auto"/>
    </w:pPr>
    <w:rPr>
      <w:rFonts w:ascii="Arial" w:eastAsia="Calibri" w:hAnsi="Arial" w:cs="Times New Roman"/>
      <w:color w:val="474747"/>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List-Accent532">
    <w:name w:val="Light List - Accent 532"/>
    <w:basedOn w:val="TableNormal"/>
    <w:next w:val="LightList-Accent5"/>
    <w:uiPriority w:val="61"/>
    <w:rsid w:val="00C1281D"/>
    <w:pPr>
      <w:spacing w:after="0" w:line="240" w:lineRule="auto"/>
    </w:pPr>
    <w:rPr>
      <w:rFonts w:ascii="Calibri" w:eastAsia="Calibri" w:hAnsi="Calibri" w:cs="Times New Roman"/>
      <w:sz w:val="20"/>
      <w:szCs w:val="20"/>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Shading-Accent3122">
    <w:name w:val="Light Shading - Accent 3122"/>
    <w:basedOn w:val="TableNormal"/>
    <w:next w:val="LightShading-Accent3"/>
    <w:uiPriority w:val="60"/>
    <w:rsid w:val="00C1281D"/>
    <w:pPr>
      <w:spacing w:after="0" w:line="240" w:lineRule="auto"/>
    </w:pPr>
    <w:rPr>
      <w:rFonts w:ascii="Constantia" w:eastAsia="Constantia" w:hAnsi="Constantia" w:cs="Times New Roman"/>
      <w:color w:val="8CADAE"/>
      <w:lang w:val="sr-Cyrl-CS"/>
    </w:rPr>
    <w:tblPr>
      <w:tblStyleRowBandSize w:val="1"/>
      <w:tblStyleColBandSize w:val="1"/>
      <w:tblBorders>
        <w:top w:val="single" w:sz="8" w:space="0" w:color="8CADAE"/>
        <w:bottom w:val="single" w:sz="8" w:space="0" w:color="8CADAE"/>
      </w:tblBorders>
    </w:tblPr>
    <w:tblStylePr w:type="fir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la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2EAEB"/>
      </w:tcPr>
    </w:tblStylePr>
    <w:tblStylePr w:type="band1Horz">
      <w:tblPr/>
      <w:tcPr>
        <w:tcBorders>
          <w:left w:val="nil"/>
          <w:right w:val="nil"/>
          <w:insideH w:val="nil"/>
          <w:insideV w:val="nil"/>
        </w:tcBorders>
        <w:shd w:val="clear" w:color="auto" w:fill="E2EAEB"/>
      </w:tcPr>
    </w:tblStylePr>
  </w:style>
  <w:style w:type="table" w:customStyle="1" w:styleId="LightList-Accent3132">
    <w:name w:val="Light List - Accent 3132"/>
    <w:basedOn w:val="TableNormal"/>
    <w:next w:val="LightList-Accent3"/>
    <w:uiPriority w:val="61"/>
    <w:rsid w:val="00C1281D"/>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5122">
    <w:name w:val="Light List - Accent 5122"/>
    <w:basedOn w:val="TableNormal"/>
    <w:next w:val="LightList-Accent5"/>
    <w:uiPriority w:val="61"/>
    <w:rsid w:val="00C1281D"/>
    <w:pPr>
      <w:spacing w:after="0" w:line="240" w:lineRule="auto"/>
    </w:pPr>
    <w:rPr>
      <w:rFonts w:ascii="Times New Roman" w:eastAsia="Constantia" w:hAnsi="Times New Roman" w:cs="Times New Roman"/>
      <w:lang w:val="sr-Cyrl-CS"/>
    </w:rPr>
    <w:tblPr>
      <w:tblStyleRowBandSize w:val="1"/>
      <w:tblStyleColBandSize w:val="1"/>
      <w:tblBorders>
        <w:top w:val="single" w:sz="8" w:space="0" w:color="8FB08C"/>
        <w:left w:val="single" w:sz="8" w:space="0" w:color="8FB08C"/>
        <w:bottom w:val="single" w:sz="8" w:space="0" w:color="8FB08C"/>
        <w:right w:val="single" w:sz="8" w:space="0" w:color="8FB08C"/>
      </w:tblBorders>
    </w:tblPr>
    <w:tblStylePr w:type="firstRow">
      <w:pPr>
        <w:spacing w:before="0" w:after="0" w:line="240" w:lineRule="auto"/>
      </w:pPr>
      <w:rPr>
        <w:b/>
        <w:bCs/>
        <w:color w:val="FFFFFF"/>
      </w:rPr>
      <w:tblPr/>
      <w:tcPr>
        <w:shd w:val="clear" w:color="auto" w:fill="8FB08C"/>
      </w:tcPr>
    </w:tblStylePr>
    <w:tblStylePr w:type="lastRow">
      <w:pPr>
        <w:spacing w:before="0" w:after="0" w:line="240" w:lineRule="auto"/>
      </w:pPr>
      <w:rPr>
        <w:b/>
        <w:bCs/>
      </w:rPr>
      <w:tblPr/>
      <w:tcPr>
        <w:tcBorders>
          <w:top w:val="double" w:sz="6" w:space="0" w:color="8FB08C"/>
          <w:left w:val="single" w:sz="8" w:space="0" w:color="8FB08C"/>
          <w:bottom w:val="single" w:sz="8" w:space="0" w:color="8FB08C"/>
          <w:right w:val="single" w:sz="8" w:space="0" w:color="8FB08C"/>
        </w:tcBorders>
      </w:tcPr>
    </w:tblStylePr>
    <w:tblStylePr w:type="firstCol">
      <w:rPr>
        <w:b/>
        <w:bCs/>
      </w:rPr>
    </w:tblStylePr>
    <w:tblStylePr w:type="lastCol">
      <w:rPr>
        <w:b/>
        <w:bCs/>
      </w:rPr>
    </w:tblStylePr>
    <w:tblStylePr w:type="band1Vert">
      <w:tblPr/>
      <w:tcPr>
        <w:tcBorders>
          <w:top w:val="single" w:sz="8" w:space="0" w:color="8FB08C"/>
          <w:left w:val="single" w:sz="8" w:space="0" w:color="8FB08C"/>
          <w:bottom w:val="single" w:sz="8" w:space="0" w:color="8FB08C"/>
          <w:right w:val="single" w:sz="8" w:space="0" w:color="8FB08C"/>
        </w:tcBorders>
      </w:tcPr>
    </w:tblStylePr>
    <w:tblStylePr w:type="band1Horz">
      <w:tblPr/>
      <w:tcPr>
        <w:tcBorders>
          <w:top w:val="single" w:sz="8" w:space="0" w:color="8FB08C"/>
          <w:left w:val="single" w:sz="8" w:space="0" w:color="8FB08C"/>
          <w:bottom w:val="single" w:sz="8" w:space="0" w:color="8FB08C"/>
          <w:right w:val="single" w:sz="8" w:space="0" w:color="8FB08C"/>
        </w:tcBorders>
      </w:tcPr>
    </w:tblStylePr>
  </w:style>
  <w:style w:type="table" w:customStyle="1" w:styleId="LightGrid-Accent5123">
    <w:name w:val="Light Grid - Accent 5123"/>
    <w:basedOn w:val="TableNormal"/>
    <w:next w:val="LightGrid-Accent5"/>
    <w:uiPriority w:val="62"/>
    <w:rsid w:val="00C1281D"/>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Verdana" w:eastAsia="Times New Roman" w:hAnsi="Verdan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Verdana" w:eastAsia="Times New Roman" w:hAnsi="Verdan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Verdana" w:eastAsia="Times New Roman" w:hAnsi="Verdana" w:cs="Times New Roman"/>
        <w:b/>
        <w:bCs/>
      </w:rPr>
    </w:tblStylePr>
    <w:tblStylePr w:type="lastCol">
      <w:rPr>
        <w:rFonts w:ascii="Verdana" w:eastAsia="Times New Roman" w:hAnsi="Verdan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1122">
    <w:name w:val="Светло сенчење – наглашавање 1122"/>
    <w:basedOn w:val="TableNormal"/>
    <w:uiPriority w:val="60"/>
    <w:rsid w:val="00C1281D"/>
    <w:pPr>
      <w:spacing w:after="0" w:line="240" w:lineRule="auto"/>
    </w:pPr>
    <w:rPr>
      <w:rFonts w:ascii="Calibri" w:eastAsia="Calibri" w:hAnsi="Calibri" w:cs="Times New Roman"/>
      <w:color w:val="365F91"/>
      <w:sz w:val="20"/>
      <w:szCs w:val="20"/>
      <w:lang w:val="sr-Latn-CS" w:eastAsia="en-GB"/>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Grid-Accent533">
    <w:name w:val="Light Grid - Accent 533"/>
    <w:basedOn w:val="TableNormal"/>
    <w:next w:val="LightGrid-Accent5"/>
    <w:uiPriority w:val="62"/>
    <w:rsid w:val="00C1281D"/>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Verdana" w:eastAsia="Times New Roman" w:hAnsi="Verdana"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Verdana" w:eastAsia="Times New Roman" w:hAnsi="Verdana"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Verdana" w:eastAsia="Times New Roman" w:hAnsi="Verdana" w:cs="Times New Roman"/>
        <w:b/>
        <w:bCs/>
      </w:rPr>
    </w:tblStylePr>
    <w:tblStylePr w:type="lastCol">
      <w:rPr>
        <w:rFonts w:ascii="Verdana" w:eastAsia="Times New Roman" w:hAnsi="Verdana"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List-Accent3222">
    <w:name w:val="Light List - Accent 3222"/>
    <w:basedOn w:val="TableNormal"/>
    <w:next w:val="LightList-Accent3"/>
    <w:uiPriority w:val="61"/>
    <w:rsid w:val="00C1281D"/>
    <w:pPr>
      <w:spacing w:after="0" w:line="240" w:lineRule="auto"/>
    </w:pPr>
    <w:rPr>
      <w:rFonts w:ascii="Calibri" w:eastAsia="Calibri" w:hAnsi="Calibri" w:cs="Times New Roman"/>
      <w:sz w:val="20"/>
      <w:szCs w:val="20"/>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31122">
    <w:name w:val="Light List - Accent 31122"/>
    <w:basedOn w:val="TableNormal"/>
    <w:next w:val="LightList-Accent3"/>
    <w:uiPriority w:val="61"/>
    <w:rsid w:val="00C1281D"/>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Shading-Accent1383">
    <w:name w:val="Light Shading - Accent 1383"/>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22">
    <w:name w:val="Light Shading - Accent 13122"/>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222">
    <w:name w:val="Light Shading - Accent 13222"/>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52">
    <w:name w:val="Light Shading - Accent 1152"/>
    <w:basedOn w:val="TableNormal"/>
    <w:uiPriority w:val="60"/>
    <w:rsid w:val="00C1281D"/>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93">
    <w:name w:val="Light Shading - Accent 1393"/>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63">
    <w:name w:val="Light Shading - Accent 1163"/>
    <w:basedOn w:val="TableNormal"/>
    <w:uiPriority w:val="60"/>
    <w:rsid w:val="00C1281D"/>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03">
    <w:name w:val="Light Shading - Accent 13103"/>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32">
    <w:name w:val="Light Shading - Accent 13132"/>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tabele332">
    <w:name w:val="tabele 332"/>
    <w:basedOn w:val="TableNormal"/>
    <w:next w:val="LightList-Accent3"/>
    <w:uiPriority w:val="61"/>
    <w:rsid w:val="00C1281D"/>
    <w:pPr>
      <w:spacing w:after="0" w:line="240" w:lineRule="auto"/>
    </w:pPr>
    <w:rPr>
      <w:rFonts w:ascii="Cambria Math" w:eastAsia="Calibri" w:hAnsi="Cambria Math" w:cs="Times New Roman"/>
      <w:sz w:val="18"/>
      <w:lang w:val="sr-Cyrl-CS"/>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LightShading-Accent1172">
    <w:name w:val="Light Shading - Accent 1172"/>
    <w:basedOn w:val="TableNormal"/>
    <w:uiPriority w:val="60"/>
    <w:rsid w:val="00C1281D"/>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344">
    <w:name w:val="Light Shading - Accent 344"/>
    <w:basedOn w:val="TableNormal"/>
    <w:next w:val="LightShading-Accent3"/>
    <w:uiPriority w:val="60"/>
    <w:rsid w:val="00C1281D"/>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List-Accent542">
    <w:name w:val="Light List - Accent 542"/>
    <w:basedOn w:val="TableNormal"/>
    <w:next w:val="LightList-Accent5"/>
    <w:uiPriority w:val="61"/>
    <w:rsid w:val="00C1281D"/>
    <w:pPr>
      <w:spacing w:after="0" w:line="240" w:lineRule="auto"/>
    </w:pPr>
    <w:rPr>
      <w:rFonts w:ascii="Calibri" w:eastAsia="Calibri" w:hAnsi="Calibri" w:cs="Times New Roman"/>
      <w:sz w:val="20"/>
      <w:szCs w:val="20"/>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Shading-Accent3132">
    <w:name w:val="Light Shading - Accent 3132"/>
    <w:basedOn w:val="TableNormal"/>
    <w:next w:val="LightShading-Accent3"/>
    <w:uiPriority w:val="60"/>
    <w:rsid w:val="00C1281D"/>
    <w:pPr>
      <w:spacing w:after="0" w:line="240" w:lineRule="auto"/>
    </w:pPr>
    <w:rPr>
      <w:rFonts w:ascii="Constantia" w:eastAsia="Constantia" w:hAnsi="Constantia" w:cs="Times New Roman"/>
      <w:color w:val="8CADAE"/>
      <w:lang w:val="sr-Cyrl-CS"/>
    </w:rPr>
    <w:tblPr>
      <w:tblStyleRowBandSize w:val="1"/>
      <w:tblStyleColBandSize w:val="1"/>
      <w:tblBorders>
        <w:top w:val="single" w:sz="8" w:space="0" w:color="8CADAE"/>
        <w:bottom w:val="single" w:sz="8" w:space="0" w:color="8CADAE"/>
      </w:tblBorders>
    </w:tblPr>
    <w:tblStylePr w:type="fir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la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2EAEB"/>
      </w:tcPr>
    </w:tblStylePr>
    <w:tblStylePr w:type="band1Horz">
      <w:tblPr/>
      <w:tcPr>
        <w:tcBorders>
          <w:left w:val="nil"/>
          <w:right w:val="nil"/>
          <w:insideH w:val="nil"/>
          <w:insideV w:val="nil"/>
        </w:tcBorders>
        <w:shd w:val="clear" w:color="auto" w:fill="E2EAEB"/>
      </w:tcPr>
    </w:tblStylePr>
  </w:style>
  <w:style w:type="table" w:customStyle="1" w:styleId="LightList-Accent3142">
    <w:name w:val="Light List - Accent 3142"/>
    <w:basedOn w:val="TableNormal"/>
    <w:next w:val="LightList-Accent3"/>
    <w:uiPriority w:val="61"/>
    <w:rsid w:val="00C1281D"/>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5132">
    <w:name w:val="Light List - Accent 5132"/>
    <w:basedOn w:val="TableNormal"/>
    <w:next w:val="LightList-Accent5"/>
    <w:uiPriority w:val="61"/>
    <w:rsid w:val="00C1281D"/>
    <w:pPr>
      <w:spacing w:after="0" w:line="240" w:lineRule="auto"/>
    </w:pPr>
    <w:rPr>
      <w:rFonts w:ascii="Times New Roman" w:eastAsia="Constantia" w:hAnsi="Times New Roman" w:cs="Times New Roman"/>
      <w:lang w:val="sr-Cyrl-CS"/>
    </w:rPr>
    <w:tblPr>
      <w:tblStyleRowBandSize w:val="1"/>
      <w:tblStyleColBandSize w:val="1"/>
      <w:tblBorders>
        <w:top w:val="single" w:sz="8" w:space="0" w:color="8FB08C"/>
        <w:left w:val="single" w:sz="8" w:space="0" w:color="8FB08C"/>
        <w:bottom w:val="single" w:sz="8" w:space="0" w:color="8FB08C"/>
        <w:right w:val="single" w:sz="8" w:space="0" w:color="8FB08C"/>
      </w:tblBorders>
    </w:tblPr>
    <w:tblStylePr w:type="firstRow">
      <w:pPr>
        <w:spacing w:before="0" w:after="0" w:line="240" w:lineRule="auto"/>
      </w:pPr>
      <w:rPr>
        <w:b/>
        <w:bCs/>
        <w:color w:val="FFFFFF"/>
      </w:rPr>
      <w:tblPr/>
      <w:tcPr>
        <w:shd w:val="clear" w:color="auto" w:fill="8FB08C"/>
      </w:tcPr>
    </w:tblStylePr>
    <w:tblStylePr w:type="lastRow">
      <w:pPr>
        <w:spacing w:before="0" w:after="0" w:line="240" w:lineRule="auto"/>
      </w:pPr>
      <w:rPr>
        <w:b/>
        <w:bCs/>
      </w:rPr>
      <w:tblPr/>
      <w:tcPr>
        <w:tcBorders>
          <w:top w:val="double" w:sz="6" w:space="0" w:color="8FB08C"/>
          <w:left w:val="single" w:sz="8" w:space="0" w:color="8FB08C"/>
          <w:bottom w:val="single" w:sz="8" w:space="0" w:color="8FB08C"/>
          <w:right w:val="single" w:sz="8" w:space="0" w:color="8FB08C"/>
        </w:tcBorders>
      </w:tcPr>
    </w:tblStylePr>
    <w:tblStylePr w:type="firstCol">
      <w:rPr>
        <w:b/>
        <w:bCs/>
      </w:rPr>
    </w:tblStylePr>
    <w:tblStylePr w:type="lastCol">
      <w:rPr>
        <w:b/>
        <w:bCs/>
      </w:rPr>
    </w:tblStylePr>
    <w:tblStylePr w:type="band1Vert">
      <w:tblPr/>
      <w:tcPr>
        <w:tcBorders>
          <w:top w:val="single" w:sz="8" w:space="0" w:color="8FB08C"/>
          <w:left w:val="single" w:sz="8" w:space="0" w:color="8FB08C"/>
          <w:bottom w:val="single" w:sz="8" w:space="0" w:color="8FB08C"/>
          <w:right w:val="single" w:sz="8" w:space="0" w:color="8FB08C"/>
        </w:tcBorders>
      </w:tcPr>
    </w:tblStylePr>
    <w:tblStylePr w:type="band1Horz">
      <w:tblPr/>
      <w:tcPr>
        <w:tcBorders>
          <w:top w:val="single" w:sz="8" w:space="0" w:color="8FB08C"/>
          <w:left w:val="single" w:sz="8" w:space="0" w:color="8FB08C"/>
          <w:bottom w:val="single" w:sz="8" w:space="0" w:color="8FB08C"/>
          <w:right w:val="single" w:sz="8" w:space="0" w:color="8FB08C"/>
        </w:tcBorders>
      </w:tcPr>
    </w:tblStylePr>
  </w:style>
  <w:style w:type="table" w:customStyle="1" w:styleId="LightGrid-Accent5133">
    <w:name w:val="Light Grid - Accent 5133"/>
    <w:basedOn w:val="TableNormal"/>
    <w:next w:val="LightGrid-Accent5"/>
    <w:uiPriority w:val="62"/>
    <w:rsid w:val="00C1281D"/>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Verdana" w:eastAsia="Times New Roman" w:hAnsi="Verdan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Verdana" w:eastAsia="Times New Roman" w:hAnsi="Verdan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Verdana" w:eastAsia="Times New Roman" w:hAnsi="Verdana" w:cs="Times New Roman"/>
        <w:b/>
        <w:bCs/>
      </w:rPr>
    </w:tblStylePr>
    <w:tblStylePr w:type="lastCol">
      <w:rPr>
        <w:rFonts w:ascii="Verdana" w:eastAsia="Times New Roman" w:hAnsi="Verdan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1132">
    <w:name w:val="Светло сенчење – наглашавање 1132"/>
    <w:basedOn w:val="TableNormal"/>
    <w:uiPriority w:val="60"/>
    <w:rsid w:val="00C1281D"/>
    <w:pPr>
      <w:spacing w:after="0" w:line="240" w:lineRule="auto"/>
    </w:pPr>
    <w:rPr>
      <w:rFonts w:ascii="Calibri" w:eastAsia="Calibri" w:hAnsi="Calibri" w:cs="Times New Roman"/>
      <w:color w:val="365F91"/>
      <w:sz w:val="20"/>
      <w:szCs w:val="20"/>
      <w:lang w:val="sr-Latn-CS" w:eastAsia="en-GB"/>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Grid-Accent543">
    <w:name w:val="Light Grid - Accent 543"/>
    <w:basedOn w:val="TableNormal"/>
    <w:next w:val="LightGrid-Accent5"/>
    <w:uiPriority w:val="62"/>
    <w:rsid w:val="00C1281D"/>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Verdana" w:eastAsia="Times New Roman" w:hAnsi="Verdana"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Verdana" w:eastAsia="Times New Roman" w:hAnsi="Verdana"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Verdana" w:eastAsia="Times New Roman" w:hAnsi="Verdana" w:cs="Times New Roman"/>
        <w:b/>
        <w:bCs/>
      </w:rPr>
    </w:tblStylePr>
    <w:tblStylePr w:type="lastCol">
      <w:rPr>
        <w:rFonts w:ascii="Verdana" w:eastAsia="Times New Roman" w:hAnsi="Verdana"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Shading-Accent1232">
    <w:name w:val="Light Shading - Accent 1232"/>
    <w:basedOn w:val="TableNormal"/>
    <w:uiPriority w:val="60"/>
    <w:rsid w:val="00C1281D"/>
    <w:pPr>
      <w:spacing w:after="0" w:line="240" w:lineRule="auto"/>
    </w:pPr>
    <w:rPr>
      <w:rFonts w:ascii="Cambria" w:eastAsia="Calibri" w:hAnsi="Cambria" w:cs="Times New Roman"/>
      <w:color w:val="A8422A"/>
      <w:sz w:val="20"/>
      <w:szCs w:val="20"/>
      <w:lang w:val="en-GB" w:eastAsia="sr-Cyrl-CS"/>
    </w:rPr>
    <w:tblPr>
      <w:tblStyleRowBandSize w:val="1"/>
      <w:tblStyleColBandSize w:val="1"/>
      <w:tblBorders>
        <w:top w:val="single" w:sz="8" w:space="0" w:color="D16349"/>
        <w:bottom w:val="single" w:sz="8" w:space="0" w:color="D16349"/>
      </w:tblBorders>
    </w:tblPr>
    <w:tblStylePr w:type="fir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la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D8D2"/>
      </w:tcPr>
    </w:tblStylePr>
    <w:tblStylePr w:type="band1Horz">
      <w:tblPr/>
      <w:tcPr>
        <w:tcBorders>
          <w:left w:val="nil"/>
          <w:right w:val="nil"/>
          <w:insideH w:val="nil"/>
          <w:insideV w:val="nil"/>
        </w:tcBorders>
        <w:shd w:val="clear" w:color="auto" w:fill="F3D8D2"/>
      </w:tcPr>
    </w:tblStylePr>
  </w:style>
  <w:style w:type="table" w:customStyle="1" w:styleId="LightList-Accent3232">
    <w:name w:val="Light List - Accent 3232"/>
    <w:basedOn w:val="TableNormal"/>
    <w:next w:val="LightList-Accent3"/>
    <w:uiPriority w:val="61"/>
    <w:rsid w:val="00C1281D"/>
    <w:pPr>
      <w:spacing w:after="0" w:line="240" w:lineRule="auto"/>
    </w:pPr>
    <w:rPr>
      <w:rFonts w:ascii="Calibri" w:eastAsia="Calibri" w:hAnsi="Calibri" w:cs="Times New Roman"/>
      <w:sz w:val="20"/>
      <w:szCs w:val="20"/>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31132">
    <w:name w:val="Light List - Accent 31132"/>
    <w:basedOn w:val="TableNormal"/>
    <w:next w:val="LightList-Accent3"/>
    <w:uiPriority w:val="61"/>
    <w:rsid w:val="00C1281D"/>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Shading-Accent13142">
    <w:name w:val="Light Shading - Accent 13142"/>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52">
    <w:name w:val="Light Shading - Accent 13152"/>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232">
    <w:name w:val="Light Shading - Accent 13232"/>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62">
    <w:name w:val="Light Shading - Accent 13162"/>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812">
    <w:name w:val="Light Shading - Accent 13812"/>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82">
    <w:name w:val="Light Shading - Accent 1182"/>
    <w:basedOn w:val="TableNormal"/>
    <w:uiPriority w:val="60"/>
    <w:rsid w:val="00C1281D"/>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912">
    <w:name w:val="Light Shading - Accent 13912"/>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612">
    <w:name w:val="Light Shading - Accent 11612"/>
    <w:basedOn w:val="TableNormal"/>
    <w:uiPriority w:val="60"/>
    <w:rsid w:val="00C1281D"/>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012">
    <w:name w:val="Light Shading - Accent 131012"/>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612">
    <w:name w:val="Light Shading - Accent 13612"/>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92">
    <w:name w:val="Light Shading - Accent 1192"/>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41">
    <w:name w:val="Light Shading - Accent 141"/>
    <w:basedOn w:val="TableNormal"/>
    <w:next w:val="LightShading-Accent1"/>
    <w:uiPriority w:val="60"/>
    <w:rsid w:val="00C1281D"/>
    <w:pPr>
      <w:spacing w:after="0" w:line="240" w:lineRule="auto"/>
    </w:pPr>
    <w:rPr>
      <w:color w:val="BF2B0E"/>
    </w:rPr>
    <w:tblPr>
      <w:tblStyleRowBandSize w:val="1"/>
      <w:tblStyleColBandSize w:val="1"/>
      <w:tblBorders>
        <w:top w:val="single" w:sz="8" w:space="0" w:color="EF4623"/>
        <w:bottom w:val="single" w:sz="8" w:space="0" w:color="EF4623"/>
      </w:tblBorders>
    </w:tblPr>
    <w:tblStylePr w:type="firstRow">
      <w:pPr>
        <w:spacing w:before="0" w:after="0" w:line="240" w:lineRule="auto"/>
      </w:pPr>
      <w:rPr>
        <w:b/>
        <w:bCs/>
      </w:rPr>
      <w:tblPr/>
      <w:tcPr>
        <w:tcBorders>
          <w:top w:val="single" w:sz="8" w:space="0" w:color="EF4623"/>
          <w:left w:val="nil"/>
          <w:bottom w:val="single" w:sz="8" w:space="0" w:color="EF4623"/>
          <w:right w:val="nil"/>
          <w:insideH w:val="nil"/>
          <w:insideV w:val="nil"/>
        </w:tcBorders>
      </w:tcPr>
    </w:tblStylePr>
    <w:tblStylePr w:type="lastRow">
      <w:pPr>
        <w:spacing w:before="0" w:after="0" w:line="240" w:lineRule="auto"/>
      </w:pPr>
      <w:rPr>
        <w:b/>
        <w:bCs/>
      </w:rPr>
      <w:tblPr/>
      <w:tcPr>
        <w:tcBorders>
          <w:top w:val="single" w:sz="8" w:space="0" w:color="EF4623"/>
          <w:left w:val="nil"/>
          <w:bottom w:val="single" w:sz="8" w:space="0" w:color="EF462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BD1C8"/>
      </w:tcPr>
    </w:tblStylePr>
    <w:tblStylePr w:type="band1Horz">
      <w:tblPr/>
      <w:tcPr>
        <w:tcBorders>
          <w:left w:val="nil"/>
          <w:right w:val="nil"/>
          <w:insideH w:val="nil"/>
          <w:insideV w:val="nil"/>
        </w:tcBorders>
        <w:shd w:val="clear" w:color="auto" w:fill="FBD1C8"/>
      </w:tcPr>
    </w:tblStylePr>
  </w:style>
  <w:style w:type="table" w:customStyle="1" w:styleId="LightShading-Accent3312">
    <w:name w:val="Light Shading - Accent 3312"/>
    <w:basedOn w:val="TableNormal"/>
    <w:next w:val="LightShading-Accent3"/>
    <w:uiPriority w:val="60"/>
    <w:rsid w:val="00C1281D"/>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Shading-Accent3322">
    <w:name w:val="Light Shading - Accent 3322"/>
    <w:basedOn w:val="TableNormal"/>
    <w:next w:val="LightShading-Accent3"/>
    <w:uiPriority w:val="60"/>
    <w:rsid w:val="00C1281D"/>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Shading-Accent3332">
    <w:name w:val="Light Shading - Accent 3332"/>
    <w:basedOn w:val="TableNormal"/>
    <w:next w:val="LightShading-Accent3"/>
    <w:uiPriority w:val="60"/>
    <w:rsid w:val="00C1281D"/>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Shading-Accent3412">
    <w:name w:val="Light Shading - Accent 3412"/>
    <w:basedOn w:val="TableNormal"/>
    <w:next w:val="LightShading-Accent3"/>
    <w:uiPriority w:val="60"/>
    <w:rsid w:val="00C1281D"/>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Shading-Accent3422">
    <w:name w:val="Light Shading - Accent 3422"/>
    <w:basedOn w:val="TableNormal"/>
    <w:next w:val="LightShading-Accent3"/>
    <w:uiPriority w:val="60"/>
    <w:rsid w:val="00C1281D"/>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Grid-Accent5142">
    <w:name w:val="Light Grid - Accent 5142"/>
    <w:basedOn w:val="TableNormal"/>
    <w:next w:val="LightGrid-Accent5"/>
    <w:uiPriority w:val="62"/>
    <w:rsid w:val="00C1281D"/>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552">
    <w:name w:val="Light Grid - Accent 552"/>
    <w:basedOn w:val="TableNormal"/>
    <w:next w:val="LightGrid-Accent5"/>
    <w:uiPriority w:val="62"/>
    <w:rsid w:val="00C1281D"/>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Grid-Accent51112">
    <w:name w:val="Light Grid - Accent 51112"/>
    <w:basedOn w:val="TableNormal"/>
    <w:next w:val="LightGrid-Accent5"/>
    <w:uiPriority w:val="62"/>
    <w:rsid w:val="00C1281D"/>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5212">
    <w:name w:val="Light Grid - Accent 5212"/>
    <w:basedOn w:val="TableNormal"/>
    <w:next w:val="LightGrid-Accent5"/>
    <w:uiPriority w:val="62"/>
    <w:rsid w:val="00C1281D"/>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Grid-Accent51212">
    <w:name w:val="Light Grid - Accent 51212"/>
    <w:basedOn w:val="TableNormal"/>
    <w:next w:val="LightGrid-Accent5"/>
    <w:uiPriority w:val="62"/>
    <w:rsid w:val="00C1281D"/>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5312">
    <w:name w:val="Light Grid - Accent 5312"/>
    <w:basedOn w:val="TableNormal"/>
    <w:next w:val="LightGrid-Accent5"/>
    <w:uiPriority w:val="62"/>
    <w:rsid w:val="00C1281D"/>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Grid-Accent51312">
    <w:name w:val="Light Grid - Accent 51312"/>
    <w:basedOn w:val="TableNormal"/>
    <w:next w:val="LightGrid-Accent5"/>
    <w:uiPriority w:val="62"/>
    <w:rsid w:val="00C1281D"/>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5412">
    <w:name w:val="Light Grid - Accent 5412"/>
    <w:basedOn w:val="TableNormal"/>
    <w:next w:val="LightGrid-Accent5"/>
    <w:uiPriority w:val="62"/>
    <w:rsid w:val="00C1281D"/>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Shading-Accent612">
    <w:name w:val="Light Shading - Accent 612"/>
    <w:basedOn w:val="TableNormal"/>
    <w:next w:val="LightShading-Accent6"/>
    <w:uiPriority w:val="60"/>
    <w:rsid w:val="00C1281D"/>
    <w:pPr>
      <w:spacing w:after="0" w:line="240" w:lineRule="auto"/>
    </w:pPr>
    <w:rPr>
      <w:rFonts w:ascii="Calibri" w:eastAsia="Calibri" w:hAnsi="Calibri" w:cs="Times New Roman"/>
      <w:color w:val="393939"/>
      <w:sz w:val="20"/>
      <w:szCs w:val="20"/>
    </w:rPr>
    <w:tblPr>
      <w:tblStyleRowBandSize w:val="1"/>
      <w:tblStyleColBandSize w:val="1"/>
      <w:tblBorders>
        <w:top w:val="single" w:sz="8" w:space="0" w:color="4D4D4D"/>
        <w:bottom w:val="single" w:sz="8" w:space="0" w:color="4D4D4D"/>
      </w:tblBorders>
    </w:tblPr>
    <w:tblStylePr w:type="firstRow">
      <w:pPr>
        <w:spacing w:beforeLines="0" w:before="0" w:beforeAutospacing="0" w:afterLines="0" w:after="0" w:afterAutospacing="0" w:line="240" w:lineRule="auto"/>
      </w:pPr>
      <w:rPr>
        <w:b/>
        <w:bCs/>
      </w:rPr>
      <w:tblPr/>
      <w:tcPr>
        <w:tcBorders>
          <w:top w:val="single" w:sz="8" w:space="0" w:color="4D4D4D"/>
          <w:left w:val="nil"/>
          <w:bottom w:val="single" w:sz="8" w:space="0" w:color="4D4D4D"/>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4D4D4D"/>
          <w:left w:val="nil"/>
          <w:bottom w:val="single" w:sz="8" w:space="0" w:color="4D4D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3D3"/>
      </w:tcPr>
    </w:tblStylePr>
    <w:tblStylePr w:type="band1Horz">
      <w:tblPr/>
      <w:tcPr>
        <w:tcBorders>
          <w:left w:val="nil"/>
          <w:right w:val="nil"/>
          <w:insideH w:val="nil"/>
          <w:insideV w:val="nil"/>
        </w:tcBorders>
        <w:shd w:val="clear" w:color="auto" w:fill="D3D3D3"/>
      </w:tcPr>
    </w:tblStylePr>
  </w:style>
  <w:style w:type="table" w:customStyle="1" w:styleId="GridTable6Colorful-Accent412">
    <w:name w:val="Grid Table 6 Colorful - Accent 412"/>
    <w:basedOn w:val="TableNormal"/>
    <w:next w:val="GridTable6Colorful-Accent43"/>
    <w:uiPriority w:val="51"/>
    <w:rsid w:val="00C1281D"/>
    <w:pPr>
      <w:spacing w:after="0" w:line="240" w:lineRule="auto"/>
    </w:pPr>
    <w:rPr>
      <w:color w:val="5F5F5F"/>
    </w:rPr>
    <w:tblPr>
      <w:tblStyleRowBandSize w:val="1"/>
      <w:tblStyleColBandSize w:val="1"/>
      <w:tblBorders>
        <w:top w:val="single" w:sz="4" w:space="0" w:color="B2B2B2"/>
        <w:left w:val="single" w:sz="4" w:space="0" w:color="B2B2B2"/>
        <w:bottom w:val="single" w:sz="4" w:space="0" w:color="B2B2B2"/>
        <w:right w:val="single" w:sz="4" w:space="0" w:color="B2B2B2"/>
        <w:insideH w:val="single" w:sz="4" w:space="0" w:color="B2B2B2"/>
        <w:insideV w:val="single" w:sz="4" w:space="0" w:color="B2B2B2"/>
      </w:tblBorders>
    </w:tblPr>
    <w:tblStylePr w:type="firstRow">
      <w:rPr>
        <w:b/>
        <w:bCs/>
      </w:rPr>
      <w:tblPr/>
      <w:tcPr>
        <w:tcBorders>
          <w:bottom w:val="single" w:sz="12" w:space="0" w:color="B2B2B2"/>
        </w:tcBorders>
      </w:tcPr>
    </w:tblStylePr>
    <w:tblStylePr w:type="lastRow">
      <w:rPr>
        <w:b/>
        <w:bCs/>
      </w:rPr>
      <w:tblPr/>
      <w:tcPr>
        <w:tcBorders>
          <w:top w:val="double" w:sz="4" w:space="0" w:color="B2B2B2"/>
        </w:tcBorders>
      </w:tcPr>
    </w:tblStylePr>
    <w:tblStylePr w:type="firstCol">
      <w:rPr>
        <w:b/>
        <w:bCs/>
      </w:rPr>
    </w:tblStylePr>
    <w:tblStylePr w:type="lastCol">
      <w:rPr>
        <w:b/>
        <w:bCs/>
      </w:rPr>
    </w:tblStylePr>
    <w:tblStylePr w:type="band1Vert">
      <w:tblPr/>
      <w:tcPr>
        <w:shd w:val="clear" w:color="auto" w:fill="E5E5E5"/>
      </w:tcPr>
    </w:tblStylePr>
    <w:tblStylePr w:type="band1Horz">
      <w:tblPr/>
      <w:tcPr>
        <w:shd w:val="clear" w:color="auto" w:fill="E5E5E5"/>
      </w:tcPr>
    </w:tblStylePr>
  </w:style>
  <w:style w:type="table" w:customStyle="1" w:styleId="LightShading-Accent6111">
    <w:name w:val="Light Shading - Accent 6111"/>
    <w:basedOn w:val="TableNormal"/>
    <w:next w:val="LightShading-Accent6"/>
    <w:uiPriority w:val="60"/>
    <w:rsid w:val="00C1281D"/>
    <w:pPr>
      <w:spacing w:after="0" w:line="240" w:lineRule="auto"/>
    </w:pPr>
    <w:rPr>
      <w:rFonts w:ascii="Calibri" w:eastAsia="Calibri" w:hAnsi="Calibri" w:cs="Times New Roman"/>
      <w:color w:val="E36C0A"/>
      <w:sz w:val="20"/>
      <w:szCs w:val="20"/>
    </w:rPr>
    <w:tblPr>
      <w:tblStyleRowBandSize w:val="1"/>
      <w:tblStyleColBandSize w:val="1"/>
      <w:tblBorders>
        <w:top w:val="single" w:sz="8" w:space="0" w:color="F79646"/>
        <w:bottom w:val="single" w:sz="8" w:space="0" w:color="F79646"/>
      </w:tblBorders>
    </w:tblPr>
    <w:tblStylePr w:type="firstRow">
      <w:pPr>
        <w:spacing w:beforeLines="0" w:before="0" w:beforeAutospacing="0" w:afterLines="0" w:after="0" w:afterAutospacing="0" w:line="240" w:lineRule="auto"/>
      </w:pPr>
      <w:rPr>
        <w:b/>
        <w:bCs/>
      </w:rPr>
      <w:tblPr/>
      <w:tcPr>
        <w:tcBorders>
          <w:top w:val="single" w:sz="8" w:space="0" w:color="F79646"/>
          <w:left w:val="nil"/>
          <w:bottom w:val="single" w:sz="8" w:space="0" w:color="F79646"/>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F79646"/>
          <w:left w:val="nil"/>
          <w:bottom w:val="single" w:sz="8" w:space="0" w:color="F7964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cPr>
    </w:tblStylePr>
    <w:tblStylePr w:type="band1Horz">
      <w:tblPr/>
      <w:tcPr>
        <w:tcBorders>
          <w:left w:val="nil"/>
          <w:right w:val="nil"/>
          <w:insideH w:val="nil"/>
          <w:insideV w:val="nil"/>
        </w:tcBorders>
        <w:shd w:val="clear" w:color="auto" w:fill="FDE4D0"/>
      </w:tcPr>
    </w:tblStylePr>
  </w:style>
  <w:style w:type="table" w:customStyle="1" w:styleId="GridTable6Colorful-Accent312">
    <w:name w:val="Grid Table 6 Colorful - Accent 312"/>
    <w:basedOn w:val="TableNormal"/>
    <w:next w:val="GridTable6Colorful-Accent33"/>
    <w:uiPriority w:val="51"/>
    <w:rsid w:val="00C1281D"/>
    <w:pPr>
      <w:spacing w:after="0" w:line="240" w:lineRule="auto"/>
    </w:pPr>
    <w:rPr>
      <w:rFonts w:ascii="Calibri" w:eastAsia="Calibri" w:hAnsi="Calibri" w:cs="Times New Roman"/>
      <w:color w:val="707070"/>
      <w:sz w:val="20"/>
      <w:szCs w:val="20"/>
    </w:rPr>
    <w:tblPr>
      <w:tblStyleRowBandSize w:val="1"/>
      <w:tblStyleColBandSize w:val="1"/>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Pr>
    <w:tblStylePr w:type="firstRow">
      <w:rPr>
        <w:b/>
        <w:bCs/>
      </w:rPr>
      <w:tblPr/>
      <w:tcPr>
        <w:tcBorders>
          <w:bottom w:val="single" w:sz="12" w:space="0" w:color="C0C0C0"/>
        </w:tcBorders>
      </w:tcPr>
    </w:tblStylePr>
    <w:tblStylePr w:type="lastRow">
      <w:rPr>
        <w:b/>
        <w:bCs/>
      </w:rPr>
      <w:tblPr/>
      <w:tcPr>
        <w:tcBorders>
          <w:top w:val="double" w:sz="4" w:space="0" w:color="C0C0C0"/>
        </w:tcBorders>
      </w:tcPr>
    </w:tblStylePr>
    <w:tblStylePr w:type="firstCol">
      <w:rPr>
        <w:b/>
        <w:bCs/>
      </w:rPr>
    </w:tblStylePr>
    <w:tblStylePr w:type="lastCol">
      <w:rPr>
        <w:b/>
        <w:bCs/>
      </w:rPr>
    </w:tblStylePr>
    <w:tblStylePr w:type="band1Vert">
      <w:tblPr/>
      <w:tcPr>
        <w:shd w:val="clear" w:color="auto" w:fill="EAEAEA"/>
      </w:tcPr>
    </w:tblStylePr>
    <w:tblStylePr w:type="band1Horz">
      <w:tblPr/>
      <w:tcPr>
        <w:shd w:val="clear" w:color="auto" w:fill="EAEAEA"/>
      </w:tcPr>
    </w:tblStylePr>
  </w:style>
  <w:style w:type="table" w:customStyle="1" w:styleId="GridTable4-Accent511">
    <w:name w:val="Grid Table 4 - Accent 511"/>
    <w:basedOn w:val="TableNormal"/>
    <w:next w:val="GridTable4-Accent53"/>
    <w:uiPriority w:val="49"/>
    <w:rsid w:val="00C1281D"/>
    <w:pPr>
      <w:spacing w:after="0" w:line="240" w:lineRule="auto"/>
    </w:pPr>
    <w:rPr>
      <w:rFonts w:ascii="Calibri" w:eastAsia="Calibri" w:hAnsi="Calibri" w:cs="Times New Roman"/>
      <w:sz w:val="20"/>
      <w:szCs w:val="20"/>
    </w:rPr>
    <w:tblPr>
      <w:tblStyleRowBandSize w:val="1"/>
      <w:tblStyleColBandSize w:val="1"/>
      <w:tblBorders>
        <w:top w:val="single" w:sz="4" w:space="0" w:color="9F9F9F"/>
        <w:left w:val="single" w:sz="4" w:space="0" w:color="9F9F9F"/>
        <w:bottom w:val="single" w:sz="4" w:space="0" w:color="9F9F9F"/>
        <w:right w:val="single" w:sz="4" w:space="0" w:color="9F9F9F"/>
        <w:insideH w:val="single" w:sz="4" w:space="0" w:color="9F9F9F"/>
        <w:insideV w:val="single" w:sz="4" w:space="0" w:color="9F9F9F"/>
      </w:tblBorders>
    </w:tblPr>
    <w:tblStylePr w:type="firstRow">
      <w:rPr>
        <w:b/>
        <w:bCs/>
        <w:color w:val="FFFFFF"/>
      </w:rPr>
      <w:tblPr/>
      <w:tcPr>
        <w:tcBorders>
          <w:top w:val="single" w:sz="4" w:space="0" w:color="5F5F5F"/>
          <w:left w:val="single" w:sz="4" w:space="0" w:color="5F5F5F"/>
          <w:bottom w:val="single" w:sz="4" w:space="0" w:color="5F5F5F"/>
          <w:right w:val="single" w:sz="4" w:space="0" w:color="5F5F5F"/>
          <w:insideH w:val="nil"/>
          <w:insideV w:val="nil"/>
        </w:tcBorders>
        <w:shd w:val="clear" w:color="auto" w:fill="5F5F5F"/>
      </w:tcPr>
    </w:tblStylePr>
    <w:tblStylePr w:type="lastRow">
      <w:rPr>
        <w:b/>
        <w:bCs/>
      </w:rPr>
      <w:tblPr/>
      <w:tcPr>
        <w:tcBorders>
          <w:top w:val="double" w:sz="4" w:space="0" w:color="5F5F5F"/>
        </w:tcBorders>
      </w:tcPr>
    </w:tblStylePr>
    <w:tblStylePr w:type="firstCol">
      <w:rPr>
        <w:b/>
        <w:bCs/>
      </w:rPr>
    </w:tblStylePr>
    <w:tblStylePr w:type="lastCol">
      <w:rPr>
        <w:b/>
        <w:bCs/>
      </w:rPr>
    </w:tblStylePr>
    <w:tblStylePr w:type="band1Vert">
      <w:tblPr/>
      <w:tcPr>
        <w:shd w:val="clear" w:color="auto" w:fill="DFDFDF"/>
      </w:tcPr>
    </w:tblStylePr>
    <w:tblStylePr w:type="band1Horz">
      <w:tblPr/>
      <w:tcPr>
        <w:shd w:val="clear" w:color="auto" w:fill="DFDFDF"/>
      </w:tcPr>
    </w:tblStylePr>
  </w:style>
  <w:style w:type="table" w:customStyle="1" w:styleId="GridTable5Dark-Accent511">
    <w:name w:val="Grid Table 5 Dark - Accent 511"/>
    <w:basedOn w:val="TableNormal"/>
    <w:next w:val="GridTable5Dark-Accent53"/>
    <w:uiPriority w:val="50"/>
    <w:rsid w:val="00C1281D"/>
    <w:pPr>
      <w:spacing w:after="0" w:line="240" w:lineRule="auto"/>
    </w:pPr>
    <w:rPr>
      <w:rFonts w:ascii="Calibri" w:eastAsia="Calibri" w:hAnsi="Calibri" w:cs="Times New Roman"/>
      <w:sz w:val="20"/>
      <w:szCs w:val="20"/>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DFDFDF"/>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5F5F5F"/>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5F5F5F"/>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5F5F5F"/>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5F5F5F"/>
      </w:tcPr>
    </w:tblStylePr>
    <w:tblStylePr w:type="band1Vert">
      <w:tblPr/>
      <w:tcPr>
        <w:shd w:val="clear" w:color="auto" w:fill="BFBFBF"/>
      </w:tcPr>
    </w:tblStylePr>
    <w:tblStylePr w:type="band1Horz">
      <w:tblPr/>
      <w:tcPr>
        <w:shd w:val="clear" w:color="auto" w:fill="BFBFBF"/>
      </w:tcPr>
    </w:tblStylePr>
  </w:style>
  <w:style w:type="table" w:customStyle="1" w:styleId="2">
    <w:name w:val="ФС2"/>
    <w:basedOn w:val="TableNormal"/>
    <w:uiPriority w:val="99"/>
    <w:rsid w:val="00C1281D"/>
    <w:pPr>
      <w:spacing w:after="0" w:line="240" w:lineRule="auto"/>
    </w:pPr>
    <w:rPr>
      <w:rFonts w:ascii="Calibri" w:eastAsia="Calibri" w:hAnsi="Calibri" w:cs="Times New Roman"/>
      <w:sz w:val="20"/>
      <w:szCs w:val="20"/>
    </w:rPr>
    <w:tblPr/>
  </w:style>
  <w:style w:type="table" w:customStyle="1" w:styleId="ListTable6Colorful-Accent311">
    <w:name w:val="List Table 6 Colorful - Accent 311"/>
    <w:basedOn w:val="TableNormal"/>
    <w:next w:val="ListTable6Colorful-Accent33"/>
    <w:uiPriority w:val="51"/>
    <w:rsid w:val="00C1281D"/>
    <w:pPr>
      <w:spacing w:after="0" w:line="240" w:lineRule="auto"/>
    </w:pPr>
    <w:rPr>
      <w:rFonts w:ascii="Calibri" w:eastAsia="Calibri" w:hAnsi="Calibri" w:cs="Times New Roman"/>
      <w:color w:val="707070"/>
      <w:sz w:val="20"/>
      <w:szCs w:val="20"/>
    </w:rPr>
    <w:tblPr>
      <w:tblStyleRowBandSize w:val="1"/>
      <w:tblStyleColBandSize w:val="1"/>
      <w:tblBorders>
        <w:top w:val="single" w:sz="4" w:space="0" w:color="969696"/>
        <w:bottom w:val="single" w:sz="4" w:space="0" w:color="969696"/>
      </w:tblBorders>
    </w:tblPr>
    <w:tblStylePr w:type="firstRow">
      <w:rPr>
        <w:b/>
        <w:bCs/>
      </w:rPr>
      <w:tblPr/>
      <w:tcPr>
        <w:tcBorders>
          <w:bottom w:val="single" w:sz="4" w:space="0" w:color="969696"/>
        </w:tcBorders>
      </w:tcPr>
    </w:tblStylePr>
    <w:tblStylePr w:type="lastRow">
      <w:rPr>
        <w:b/>
        <w:bCs/>
      </w:rPr>
      <w:tblPr/>
      <w:tcPr>
        <w:tcBorders>
          <w:top w:val="double" w:sz="4" w:space="0" w:color="969696"/>
        </w:tcBorders>
      </w:tcPr>
    </w:tblStylePr>
    <w:tblStylePr w:type="firstCol">
      <w:rPr>
        <w:b/>
        <w:bCs/>
      </w:rPr>
    </w:tblStylePr>
    <w:tblStylePr w:type="lastCol">
      <w:rPr>
        <w:b/>
        <w:bCs/>
      </w:rPr>
    </w:tblStylePr>
    <w:tblStylePr w:type="band1Vert">
      <w:tblPr/>
      <w:tcPr>
        <w:shd w:val="clear" w:color="auto" w:fill="EAEAEA"/>
      </w:tcPr>
    </w:tblStylePr>
    <w:tblStylePr w:type="band1Horz">
      <w:tblPr/>
      <w:tcPr>
        <w:shd w:val="clear" w:color="auto" w:fill="EAEAEA"/>
      </w:tcPr>
    </w:tblStylePr>
  </w:style>
  <w:style w:type="table" w:customStyle="1" w:styleId="GridTable1Light-Accent111">
    <w:name w:val="Grid Table 1 Light - Accent 111"/>
    <w:basedOn w:val="TableNormal"/>
    <w:next w:val="GridTable1Light-Accent13"/>
    <w:uiPriority w:val="46"/>
    <w:rsid w:val="00C1281D"/>
    <w:pPr>
      <w:spacing w:after="0" w:line="240" w:lineRule="auto"/>
    </w:pPr>
    <w:tblPr>
      <w:tblStyleRowBandSize w:val="1"/>
      <w:tblStyleColBandSize w:val="1"/>
      <w:tblBorders>
        <w:top w:val="single" w:sz="4" w:space="0" w:color="F8B4A6"/>
        <w:left w:val="single" w:sz="4" w:space="0" w:color="F8B4A6"/>
        <w:bottom w:val="single" w:sz="4" w:space="0" w:color="F8B4A6"/>
        <w:right w:val="single" w:sz="4" w:space="0" w:color="F8B4A6"/>
        <w:insideH w:val="single" w:sz="4" w:space="0" w:color="F8B4A6"/>
        <w:insideV w:val="single" w:sz="4" w:space="0" w:color="F8B4A6"/>
      </w:tblBorders>
    </w:tblPr>
    <w:tblStylePr w:type="firstRow">
      <w:rPr>
        <w:b/>
        <w:bCs/>
      </w:rPr>
      <w:tblPr/>
      <w:tcPr>
        <w:tcBorders>
          <w:bottom w:val="single" w:sz="12" w:space="0" w:color="F58F7A"/>
        </w:tcBorders>
      </w:tcPr>
    </w:tblStylePr>
    <w:tblStylePr w:type="lastRow">
      <w:rPr>
        <w:b/>
        <w:bCs/>
      </w:rPr>
      <w:tblPr/>
      <w:tcPr>
        <w:tcBorders>
          <w:top w:val="double" w:sz="2" w:space="0" w:color="F58F7A"/>
        </w:tcBorders>
      </w:tcPr>
    </w:tblStylePr>
    <w:tblStylePr w:type="firstCol">
      <w:rPr>
        <w:b/>
        <w:bCs/>
      </w:rPr>
    </w:tblStylePr>
    <w:tblStylePr w:type="lastCol">
      <w:rPr>
        <w:b/>
        <w:bCs/>
      </w:rPr>
    </w:tblStylePr>
  </w:style>
  <w:style w:type="table" w:customStyle="1" w:styleId="ListTable1Light-Accent111">
    <w:name w:val="List Table 1 Light - Accent 111"/>
    <w:basedOn w:val="TableNormal"/>
    <w:next w:val="ListTable1Light-Accent13"/>
    <w:uiPriority w:val="46"/>
    <w:rsid w:val="00C1281D"/>
    <w:pPr>
      <w:spacing w:after="0" w:line="240" w:lineRule="auto"/>
    </w:pPr>
    <w:tblPr>
      <w:tblStyleRowBandSize w:val="1"/>
      <w:tblStyleColBandSize w:val="1"/>
    </w:tblPr>
    <w:tblStylePr w:type="firstRow">
      <w:rPr>
        <w:b/>
        <w:bCs/>
      </w:rPr>
      <w:tblPr/>
      <w:tcPr>
        <w:tcBorders>
          <w:bottom w:val="single" w:sz="4" w:space="0" w:color="F58F7A"/>
        </w:tcBorders>
      </w:tcPr>
    </w:tblStylePr>
    <w:tblStylePr w:type="lastRow">
      <w:rPr>
        <w:b/>
        <w:bCs/>
      </w:rPr>
      <w:tblPr/>
      <w:tcPr>
        <w:tcBorders>
          <w:top w:val="single" w:sz="4" w:space="0" w:color="F58F7A"/>
        </w:tcBorders>
      </w:tcPr>
    </w:tblStylePr>
    <w:tblStylePr w:type="firstCol">
      <w:rPr>
        <w:b/>
        <w:bCs/>
      </w:rPr>
    </w:tblStylePr>
    <w:tblStylePr w:type="lastCol">
      <w:rPr>
        <w:b/>
        <w:bCs/>
      </w:rPr>
    </w:tblStylePr>
    <w:tblStylePr w:type="band1Vert">
      <w:tblPr/>
      <w:tcPr>
        <w:shd w:val="clear" w:color="auto" w:fill="FBD9D2"/>
      </w:tcPr>
    </w:tblStylePr>
    <w:tblStylePr w:type="band1Horz">
      <w:tblPr/>
      <w:tcPr>
        <w:shd w:val="clear" w:color="auto" w:fill="FBD9D2"/>
      </w:tcPr>
    </w:tblStylePr>
  </w:style>
  <w:style w:type="table" w:customStyle="1" w:styleId="ListTable2-Accent111">
    <w:name w:val="List Table 2 - Accent 111"/>
    <w:basedOn w:val="TableNormal"/>
    <w:next w:val="ListTable2-Accent13"/>
    <w:uiPriority w:val="47"/>
    <w:rsid w:val="00C1281D"/>
    <w:pPr>
      <w:spacing w:after="0" w:line="240" w:lineRule="auto"/>
    </w:pPr>
    <w:tblPr>
      <w:tblStyleRowBandSize w:val="1"/>
      <w:tblStyleColBandSize w:val="1"/>
      <w:tblBorders>
        <w:top w:val="single" w:sz="4" w:space="0" w:color="F58F7A"/>
        <w:bottom w:val="single" w:sz="4" w:space="0" w:color="F58F7A"/>
        <w:insideH w:val="single" w:sz="4" w:space="0" w:color="F58F7A"/>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BD9D2"/>
      </w:tcPr>
    </w:tblStylePr>
    <w:tblStylePr w:type="band1Horz">
      <w:tblPr/>
      <w:tcPr>
        <w:shd w:val="clear" w:color="auto" w:fill="FBD9D2"/>
      </w:tcPr>
    </w:tblStylePr>
  </w:style>
  <w:style w:type="table" w:customStyle="1" w:styleId="ListTable2-Accent511">
    <w:name w:val="List Table 2 - Accent 511"/>
    <w:basedOn w:val="TableNormal"/>
    <w:next w:val="ListTable2-Accent53"/>
    <w:uiPriority w:val="47"/>
    <w:rsid w:val="00C1281D"/>
    <w:pPr>
      <w:spacing w:after="0" w:line="240" w:lineRule="auto"/>
    </w:pPr>
    <w:tblPr>
      <w:tblStyleRowBandSize w:val="1"/>
      <w:tblStyleColBandSize w:val="1"/>
      <w:tblBorders>
        <w:top w:val="single" w:sz="4" w:space="0" w:color="9F9F9F"/>
        <w:bottom w:val="single" w:sz="4" w:space="0" w:color="9F9F9F"/>
        <w:insideH w:val="single" w:sz="4" w:space="0" w:color="9F9F9F"/>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FDFDF"/>
      </w:tcPr>
    </w:tblStylePr>
    <w:tblStylePr w:type="band1Horz">
      <w:tblPr/>
      <w:tcPr>
        <w:shd w:val="clear" w:color="auto" w:fill="DFDFDF"/>
      </w:tcPr>
    </w:tblStylePr>
  </w:style>
  <w:style w:type="table" w:customStyle="1" w:styleId="GridTable2-Accent511">
    <w:name w:val="Grid Table 2 - Accent 511"/>
    <w:basedOn w:val="TableNormal"/>
    <w:next w:val="GridTable2-Accent53"/>
    <w:uiPriority w:val="47"/>
    <w:rsid w:val="00C1281D"/>
    <w:pPr>
      <w:spacing w:after="0" w:line="240" w:lineRule="auto"/>
    </w:pPr>
    <w:tblPr>
      <w:tblStyleRowBandSize w:val="1"/>
      <w:tblStyleColBandSize w:val="1"/>
      <w:tblBorders>
        <w:top w:val="single" w:sz="2" w:space="0" w:color="9F9F9F"/>
        <w:bottom w:val="single" w:sz="2" w:space="0" w:color="9F9F9F"/>
        <w:insideH w:val="single" w:sz="2" w:space="0" w:color="9F9F9F"/>
        <w:insideV w:val="single" w:sz="2" w:space="0" w:color="9F9F9F"/>
      </w:tblBorders>
    </w:tblPr>
    <w:tblStylePr w:type="firstRow">
      <w:rPr>
        <w:b/>
        <w:bCs/>
      </w:rPr>
      <w:tblPr/>
      <w:tcPr>
        <w:tcBorders>
          <w:top w:val="nil"/>
          <w:bottom w:val="single" w:sz="12" w:space="0" w:color="9F9F9F"/>
          <w:insideH w:val="nil"/>
          <w:insideV w:val="nil"/>
        </w:tcBorders>
        <w:shd w:val="clear" w:color="auto" w:fill="FFFFFF"/>
      </w:tcPr>
    </w:tblStylePr>
    <w:tblStylePr w:type="lastRow">
      <w:rPr>
        <w:b/>
        <w:bCs/>
      </w:rPr>
      <w:tblPr/>
      <w:tcPr>
        <w:tcBorders>
          <w:top w:val="double" w:sz="2" w:space="0" w:color="9F9F9F"/>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FDFDF"/>
      </w:tcPr>
    </w:tblStylePr>
    <w:tblStylePr w:type="band1Horz">
      <w:tblPr/>
      <w:tcPr>
        <w:shd w:val="clear" w:color="auto" w:fill="DFDFDF"/>
      </w:tcPr>
    </w:tblStylePr>
  </w:style>
  <w:style w:type="table" w:customStyle="1" w:styleId="TableGrid221">
    <w:name w:val="Table Grid221"/>
    <w:basedOn w:val="TableNormal"/>
    <w:next w:val="TableGrid"/>
    <w:uiPriority w:val="39"/>
    <w:rsid w:val="00C1281D"/>
    <w:pPr>
      <w:spacing w:before="120" w:after="120" w:line="264" w:lineRule="auto"/>
      <w:ind w:left="115" w:right="115"/>
    </w:pPr>
    <w:rPr>
      <w:rFonts w:eastAsia="MS PGothic"/>
      <w:sz w:val="20"/>
      <w:szCs w:val="20"/>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
    <w:tcPr>
      <w:vAlign w:val="center"/>
    </w:tcPr>
    <w:tblStylePr w:type="firstRow">
      <w:pPr>
        <w:wordWrap/>
        <w:jc w:val="center"/>
      </w:pPr>
      <w:rPr>
        <w:b/>
        <w:i w:val="0"/>
        <w:sz w:val="22"/>
      </w:rPr>
    </w:tblStylePr>
    <w:tblStylePr w:type="lastRow">
      <w:rPr>
        <w:b/>
        <w:i w:val="0"/>
        <w:sz w:val="22"/>
      </w:rPr>
      <w:tblPr/>
      <w:tcPr>
        <w:tcBorders>
          <w:top w:val="double" w:sz="4" w:space="0" w:color="auto"/>
          <w:left w:val="single" w:sz="4" w:space="0" w:color="auto"/>
          <w:bottom w:val="single" w:sz="18" w:space="0" w:color="auto"/>
          <w:right w:val="single" w:sz="4" w:space="0" w:color="auto"/>
          <w:insideH w:val="nil"/>
          <w:insideV w:val="single" w:sz="4" w:space="0" w:color="auto"/>
          <w:tl2br w:val="nil"/>
          <w:tr2bl w:val="nil"/>
        </w:tcBorders>
      </w:tcPr>
    </w:tblStylePr>
  </w:style>
  <w:style w:type="table" w:customStyle="1" w:styleId="LightShading-Accent1242">
    <w:name w:val="Light Shading - Accent 1242"/>
    <w:basedOn w:val="TableNormal"/>
    <w:uiPriority w:val="60"/>
    <w:rsid w:val="00C1281D"/>
    <w:pPr>
      <w:spacing w:after="0" w:line="264" w:lineRule="auto"/>
    </w:pPr>
    <w:rPr>
      <w:rFonts w:ascii="Cambria" w:eastAsia="Calibri" w:hAnsi="Cambria" w:cs="Times New Roman"/>
      <w:color w:val="A8422A"/>
      <w:sz w:val="20"/>
      <w:szCs w:val="20"/>
      <w:lang w:val="en-GB" w:eastAsia="sr-Cyrl-CS"/>
    </w:rPr>
    <w:tblPr>
      <w:tblStyleRowBandSize w:val="1"/>
      <w:tblStyleColBandSize w:val="1"/>
      <w:tblBorders>
        <w:top w:val="single" w:sz="8" w:space="0" w:color="D16349"/>
        <w:bottom w:val="single" w:sz="8" w:space="0" w:color="D16349"/>
      </w:tblBorders>
    </w:tblPr>
    <w:tblStylePr w:type="fir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la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D8D2"/>
      </w:tcPr>
    </w:tblStylePr>
    <w:tblStylePr w:type="band1Horz">
      <w:tblPr/>
      <w:tcPr>
        <w:tcBorders>
          <w:left w:val="nil"/>
          <w:right w:val="nil"/>
          <w:insideH w:val="nil"/>
          <w:insideV w:val="nil"/>
        </w:tcBorders>
        <w:shd w:val="clear" w:color="auto" w:fill="F3D8D2"/>
      </w:tcPr>
    </w:tblStylePr>
  </w:style>
  <w:style w:type="table" w:customStyle="1" w:styleId="GridTable6Colorful-Accent5121">
    <w:name w:val="Grid Table 6 Colorful - Accent 5121"/>
    <w:basedOn w:val="TableNormal"/>
    <w:next w:val="GridTable6Colorful-Accent54"/>
    <w:uiPriority w:val="51"/>
    <w:rsid w:val="00C1281D"/>
    <w:pPr>
      <w:spacing w:after="0" w:line="240" w:lineRule="auto"/>
    </w:pPr>
    <w:rPr>
      <w:rFonts w:ascii="Calibri" w:eastAsia="Calibri" w:hAnsi="Calibri" w:cs="Times New Roman"/>
      <w:color w:val="C19300"/>
      <w:sz w:val="20"/>
      <w:szCs w:val="20"/>
    </w:rPr>
    <w:tblPr>
      <w:tblStyleRowBandSize w:val="1"/>
      <w:tblStyleColBandSize w:val="1"/>
      <w:tblBorders>
        <w:top w:val="single" w:sz="4" w:space="0" w:color="FEDA69"/>
        <w:left w:val="single" w:sz="4" w:space="0" w:color="FEDA69"/>
        <w:bottom w:val="single" w:sz="4" w:space="0" w:color="FEDA69"/>
        <w:right w:val="single" w:sz="4" w:space="0" w:color="FEDA69"/>
        <w:insideH w:val="single" w:sz="4" w:space="0" w:color="FEDA69"/>
        <w:insideV w:val="single" w:sz="4" w:space="0" w:color="FEDA69"/>
      </w:tblBorders>
    </w:tblPr>
    <w:tblStylePr w:type="firstRow">
      <w:rPr>
        <w:b/>
        <w:bCs/>
      </w:rPr>
      <w:tblPr/>
      <w:tcPr>
        <w:tcBorders>
          <w:bottom w:val="single" w:sz="12" w:space="0" w:color="FEDA69"/>
        </w:tcBorders>
      </w:tcPr>
    </w:tblStylePr>
    <w:tblStylePr w:type="lastRow">
      <w:rPr>
        <w:b/>
        <w:bCs/>
      </w:rPr>
      <w:tblPr/>
      <w:tcPr>
        <w:tcBorders>
          <w:top w:val="double" w:sz="4" w:space="0" w:color="FEDA69"/>
        </w:tcBorders>
      </w:tcPr>
    </w:tblStylePr>
    <w:tblStylePr w:type="firstCol">
      <w:rPr>
        <w:b/>
        <w:bCs/>
      </w:rPr>
    </w:tblStylePr>
    <w:tblStylePr w:type="lastCol">
      <w:rPr>
        <w:b/>
        <w:bCs/>
      </w:rPr>
    </w:tblStylePr>
    <w:tblStylePr w:type="band1Vert">
      <w:tblPr/>
      <w:tcPr>
        <w:shd w:val="clear" w:color="auto" w:fill="FEF2CD"/>
      </w:tcPr>
    </w:tblStylePr>
    <w:tblStylePr w:type="band1Horz">
      <w:tblPr/>
      <w:tcPr>
        <w:shd w:val="clear" w:color="auto" w:fill="FEF2CD"/>
      </w:tcPr>
    </w:tblStylePr>
  </w:style>
  <w:style w:type="table" w:customStyle="1" w:styleId="GridTable6Colorful-Accent5131">
    <w:name w:val="Grid Table 6 Colorful - Accent 5131"/>
    <w:basedOn w:val="TableNormal"/>
    <w:uiPriority w:val="51"/>
    <w:rsid w:val="00C1281D"/>
    <w:pPr>
      <w:spacing w:after="0" w:line="264" w:lineRule="auto"/>
    </w:pPr>
    <w:rPr>
      <w:rFonts w:ascii="Calibri" w:eastAsia="Calibri" w:hAnsi="Calibri" w:cs="Times New Roman"/>
      <w:color w:val="474747"/>
      <w:sz w:val="20"/>
      <w:szCs w:val="20"/>
    </w:rPr>
    <w:tblPr>
      <w:tblStyleRowBandSize w:val="1"/>
      <w:tblStyleColBandSize w:val="1"/>
      <w:tblBorders>
        <w:top w:val="single" w:sz="4" w:space="0" w:color="9F9F9F"/>
        <w:left w:val="single" w:sz="4" w:space="0" w:color="9F9F9F"/>
        <w:bottom w:val="single" w:sz="4" w:space="0" w:color="9F9F9F"/>
        <w:right w:val="single" w:sz="4" w:space="0" w:color="9F9F9F"/>
        <w:insideH w:val="single" w:sz="4" w:space="0" w:color="9F9F9F"/>
        <w:insideV w:val="single" w:sz="4" w:space="0" w:color="9F9F9F"/>
      </w:tblBorders>
    </w:tblPr>
    <w:tblStylePr w:type="firstRow">
      <w:rPr>
        <w:b/>
        <w:bCs/>
      </w:rPr>
      <w:tblPr/>
      <w:tcPr>
        <w:tcBorders>
          <w:bottom w:val="single" w:sz="12" w:space="0" w:color="9F9F9F"/>
        </w:tcBorders>
      </w:tcPr>
    </w:tblStylePr>
    <w:tblStylePr w:type="lastRow">
      <w:rPr>
        <w:b/>
        <w:bCs/>
      </w:rPr>
      <w:tblPr/>
      <w:tcPr>
        <w:tcBorders>
          <w:top w:val="double" w:sz="4" w:space="0" w:color="9F9F9F"/>
        </w:tcBorders>
      </w:tcPr>
    </w:tblStylePr>
    <w:tblStylePr w:type="firstCol">
      <w:rPr>
        <w:b/>
        <w:bCs/>
      </w:rPr>
    </w:tblStylePr>
    <w:tblStylePr w:type="lastCol">
      <w:rPr>
        <w:b/>
        <w:bCs/>
      </w:rPr>
    </w:tblStylePr>
    <w:tblStylePr w:type="band1Vert">
      <w:tblPr/>
      <w:tcPr>
        <w:shd w:val="clear" w:color="auto" w:fill="DFDFDF"/>
      </w:tcPr>
    </w:tblStylePr>
    <w:tblStylePr w:type="band1Horz">
      <w:tblPr/>
      <w:tcPr>
        <w:shd w:val="clear" w:color="auto" w:fill="DFDFDF"/>
      </w:tcPr>
    </w:tblStylePr>
  </w:style>
  <w:style w:type="numbering" w:customStyle="1" w:styleId="NoList31">
    <w:name w:val="No List31"/>
    <w:next w:val="NoList"/>
    <w:uiPriority w:val="99"/>
    <w:semiHidden/>
    <w:unhideWhenUsed/>
    <w:rsid w:val="00C1281D"/>
  </w:style>
  <w:style w:type="table" w:customStyle="1" w:styleId="TableGrid31">
    <w:name w:val="Table Grid31"/>
    <w:basedOn w:val="TableNormal"/>
    <w:next w:val="TableGrid"/>
    <w:uiPriority w:val="39"/>
    <w:rsid w:val="00C1281D"/>
    <w:pPr>
      <w:spacing w:before="120" w:after="120" w:line="264" w:lineRule="auto"/>
      <w:ind w:left="115" w:right="115"/>
    </w:pPr>
    <w:rPr>
      <w:rFonts w:eastAsia="MS PGothic"/>
      <w:sz w:val="20"/>
      <w:szCs w:val="20"/>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
    <w:tcPr>
      <w:vAlign w:val="center"/>
    </w:tcPr>
    <w:tblStylePr w:type="firstRow">
      <w:pPr>
        <w:wordWrap/>
        <w:jc w:val="center"/>
      </w:pPr>
      <w:rPr>
        <w:b/>
        <w:i w:val="0"/>
        <w:sz w:val="22"/>
      </w:rPr>
    </w:tblStylePr>
    <w:tblStylePr w:type="lastRow">
      <w:rPr>
        <w:b/>
        <w:i w:val="0"/>
        <w:sz w:val="22"/>
      </w:rPr>
      <w:tblPr/>
      <w:tcPr>
        <w:tcBorders>
          <w:top w:val="double" w:sz="4" w:space="0" w:color="auto"/>
          <w:left w:val="single" w:sz="4" w:space="0" w:color="auto"/>
          <w:bottom w:val="single" w:sz="18" w:space="0" w:color="auto"/>
          <w:right w:val="single" w:sz="4" w:space="0" w:color="auto"/>
          <w:insideH w:val="nil"/>
          <w:insideV w:val="single" w:sz="4" w:space="0" w:color="auto"/>
          <w:tl2br w:val="nil"/>
          <w:tr2bl w:val="nil"/>
        </w:tcBorders>
      </w:tcPr>
    </w:tblStylePr>
  </w:style>
  <w:style w:type="table" w:customStyle="1" w:styleId="FinancialTable11">
    <w:name w:val="Financial Table11"/>
    <w:basedOn w:val="TableNormal"/>
    <w:uiPriority w:val="99"/>
    <w:rsid w:val="00C1281D"/>
    <w:pPr>
      <w:spacing w:before="60" w:after="60" w:line="264" w:lineRule="auto"/>
    </w:pPr>
    <w:rPr>
      <w:rFonts w:eastAsia="MS PGothic"/>
      <w:sz w:val="20"/>
      <w:szCs w:val="20"/>
      <w:lang w:eastAsia="ja-JP"/>
    </w:rPr>
    <w:tblPr>
      <w:tblBorders>
        <w:top w:val="single" w:sz="8" w:space="0" w:color="000000"/>
        <w:left w:val="single" w:sz="8" w:space="0" w:color="000000"/>
        <w:bottom w:val="single" w:sz="24" w:space="0" w:color="000000"/>
        <w:right w:val="single" w:sz="8" w:space="0" w:color="000000"/>
        <w:insideH w:val="single" w:sz="8" w:space="0" w:color="000000"/>
        <w:insideV w:val="single" w:sz="8" w:space="0" w:color="000000"/>
      </w:tblBorders>
      <w:tblCellMar>
        <w:left w:w="72" w:type="dxa"/>
        <w:right w:w="72" w:type="dxa"/>
      </w:tblCellMar>
    </w:tblPr>
    <w:tblStylePr w:type="firstRow">
      <w:pPr>
        <w:wordWrap/>
        <w:spacing w:beforeLines="0" w:before="40" w:beforeAutospacing="0" w:afterLines="0" w:after="40" w:afterAutospacing="0"/>
        <w:jc w:val="left"/>
      </w:pPr>
      <w:rPr>
        <w:rFonts w:ascii="Arial" w:hAnsi="Arial"/>
        <w:b/>
        <w:i w:val="0"/>
        <w:caps w:val="0"/>
        <w:smallCaps w:val="0"/>
        <w:color w:val="000000"/>
        <w:sz w:val="22"/>
      </w:rPr>
    </w:tblStylePr>
    <w:tblStylePr w:type="firstCol">
      <w:rPr>
        <w:b/>
        <w:color w:val="000000"/>
      </w:rPr>
    </w:tblStylePr>
  </w:style>
  <w:style w:type="table" w:customStyle="1" w:styleId="GridTable6Colorful-Accent531">
    <w:name w:val="Grid Table 6 Colorful - Accent 531"/>
    <w:basedOn w:val="TableNormal"/>
    <w:next w:val="GridTable6Colorful-Accent54"/>
    <w:uiPriority w:val="51"/>
    <w:rsid w:val="00C1281D"/>
    <w:pPr>
      <w:spacing w:after="0" w:line="264" w:lineRule="auto"/>
    </w:pPr>
    <w:rPr>
      <w:rFonts w:ascii="Calibri" w:eastAsia="Calibri" w:hAnsi="Calibri" w:cs="Times New Roman"/>
      <w:color w:val="474747"/>
      <w:sz w:val="20"/>
      <w:szCs w:val="20"/>
    </w:rPr>
    <w:tblPr>
      <w:tblStyleRowBandSize w:val="1"/>
      <w:tblStyleColBandSize w:val="1"/>
      <w:tblBorders>
        <w:top w:val="single" w:sz="4" w:space="0" w:color="9F9F9F"/>
        <w:left w:val="single" w:sz="4" w:space="0" w:color="9F9F9F"/>
        <w:bottom w:val="single" w:sz="4" w:space="0" w:color="9F9F9F"/>
        <w:right w:val="single" w:sz="4" w:space="0" w:color="9F9F9F"/>
        <w:insideH w:val="single" w:sz="4" w:space="0" w:color="9F9F9F"/>
        <w:insideV w:val="single" w:sz="4" w:space="0" w:color="9F9F9F"/>
      </w:tblBorders>
    </w:tblPr>
    <w:tblStylePr w:type="firstRow">
      <w:rPr>
        <w:b/>
        <w:bCs/>
      </w:rPr>
      <w:tblPr/>
      <w:tcPr>
        <w:tcBorders>
          <w:bottom w:val="single" w:sz="12" w:space="0" w:color="9F9F9F"/>
        </w:tcBorders>
      </w:tcPr>
    </w:tblStylePr>
    <w:tblStylePr w:type="lastRow">
      <w:rPr>
        <w:b/>
        <w:bCs/>
      </w:rPr>
      <w:tblPr/>
      <w:tcPr>
        <w:tcBorders>
          <w:top w:val="double" w:sz="4" w:space="0" w:color="9F9F9F"/>
        </w:tcBorders>
      </w:tcPr>
    </w:tblStylePr>
    <w:tblStylePr w:type="firstCol">
      <w:rPr>
        <w:b/>
        <w:bCs/>
      </w:rPr>
    </w:tblStylePr>
    <w:tblStylePr w:type="lastCol">
      <w:rPr>
        <w:b/>
        <w:bCs/>
      </w:rPr>
    </w:tblStylePr>
    <w:tblStylePr w:type="band1Vert">
      <w:tblPr/>
      <w:tcPr>
        <w:shd w:val="clear" w:color="auto" w:fill="DFDFDF"/>
      </w:tcPr>
    </w:tblStylePr>
    <w:tblStylePr w:type="band1Horz">
      <w:tblPr/>
      <w:tcPr>
        <w:shd w:val="clear" w:color="auto" w:fill="DFDFDF"/>
      </w:tcPr>
    </w:tblStylePr>
  </w:style>
  <w:style w:type="table" w:customStyle="1" w:styleId="LightShading-Accent1252">
    <w:name w:val="Light Shading - Accent 1252"/>
    <w:basedOn w:val="TableNormal"/>
    <w:uiPriority w:val="60"/>
    <w:rsid w:val="00C1281D"/>
    <w:pPr>
      <w:spacing w:after="0" w:line="264" w:lineRule="auto"/>
    </w:pPr>
    <w:rPr>
      <w:rFonts w:ascii="Cambria" w:eastAsia="Calibri" w:hAnsi="Cambria" w:cs="Times New Roman"/>
      <w:color w:val="A8422A"/>
      <w:sz w:val="20"/>
      <w:szCs w:val="20"/>
      <w:lang w:val="en-GB" w:eastAsia="sr-Cyrl-CS"/>
    </w:rPr>
    <w:tblPr>
      <w:tblStyleRowBandSize w:val="1"/>
      <w:tblStyleColBandSize w:val="1"/>
      <w:tblBorders>
        <w:top w:val="single" w:sz="8" w:space="0" w:color="D16349"/>
        <w:bottom w:val="single" w:sz="8" w:space="0" w:color="D16349"/>
      </w:tblBorders>
    </w:tblPr>
    <w:tblStylePr w:type="fir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la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D8D2"/>
      </w:tcPr>
    </w:tblStylePr>
    <w:tblStylePr w:type="band1Horz">
      <w:tblPr/>
      <w:tcPr>
        <w:tcBorders>
          <w:left w:val="nil"/>
          <w:right w:val="nil"/>
          <w:insideH w:val="nil"/>
          <w:insideV w:val="nil"/>
        </w:tcBorders>
        <w:shd w:val="clear" w:color="auto" w:fill="F3D8D2"/>
      </w:tcPr>
    </w:tblStylePr>
  </w:style>
  <w:style w:type="table" w:customStyle="1" w:styleId="GridTable6Colorful-Accent5141">
    <w:name w:val="Grid Table 6 Colorful - Accent 5141"/>
    <w:basedOn w:val="TableNormal"/>
    <w:uiPriority w:val="51"/>
    <w:rsid w:val="00C1281D"/>
    <w:pPr>
      <w:spacing w:after="0" w:line="264" w:lineRule="auto"/>
    </w:pPr>
    <w:rPr>
      <w:rFonts w:ascii="Calibri" w:eastAsia="Calibri" w:hAnsi="Calibri" w:cs="Times New Roman"/>
      <w:color w:val="387AAA"/>
      <w:sz w:val="20"/>
      <w:szCs w:val="20"/>
    </w:rPr>
    <w:tblPr>
      <w:tblStyleRowBandSize w:val="1"/>
      <w:tblStyleColBandSize w:val="1"/>
      <w:tblBorders>
        <w:top w:val="single" w:sz="4" w:space="0" w:color="A1C5E0"/>
        <w:left w:val="single" w:sz="4" w:space="0" w:color="A1C5E0"/>
        <w:bottom w:val="single" w:sz="4" w:space="0" w:color="A1C5E0"/>
        <w:right w:val="single" w:sz="4" w:space="0" w:color="A1C5E0"/>
        <w:insideH w:val="single" w:sz="4" w:space="0" w:color="A1C5E0"/>
        <w:insideV w:val="single" w:sz="4" w:space="0" w:color="A1C5E0"/>
      </w:tblBorders>
    </w:tblPr>
    <w:tblStylePr w:type="firstRow">
      <w:rPr>
        <w:b/>
        <w:bCs/>
      </w:rPr>
      <w:tblPr/>
      <w:tcPr>
        <w:tcBorders>
          <w:bottom w:val="single" w:sz="12" w:space="0" w:color="A1C5E0"/>
        </w:tcBorders>
      </w:tcPr>
    </w:tblStylePr>
    <w:tblStylePr w:type="lastRow">
      <w:rPr>
        <w:b/>
        <w:bCs/>
      </w:rPr>
      <w:tblPr/>
      <w:tcPr>
        <w:tcBorders>
          <w:top w:val="double" w:sz="4" w:space="0" w:color="A1C5E0"/>
        </w:tcBorders>
      </w:tcPr>
    </w:tblStylePr>
    <w:tblStylePr w:type="firstCol">
      <w:rPr>
        <w:b/>
        <w:bCs/>
      </w:rPr>
    </w:tblStylePr>
    <w:tblStylePr w:type="lastCol">
      <w:rPr>
        <w:b/>
        <w:bCs/>
      </w:rPr>
    </w:tblStylePr>
    <w:tblStylePr w:type="band1Vert">
      <w:tblPr/>
      <w:tcPr>
        <w:shd w:val="clear" w:color="auto" w:fill="DFEBF4"/>
      </w:tcPr>
    </w:tblStylePr>
    <w:tblStylePr w:type="band1Horz">
      <w:tblPr/>
      <w:tcPr>
        <w:shd w:val="clear" w:color="auto" w:fill="DFEBF4"/>
      </w:tcPr>
    </w:tblStylePr>
  </w:style>
  <w:style w:type="table" w:customStyle="1" w:styleId="LightShading-Accent12111">
    <w:name w:val="Light Shading - Accent 12111"/>
    <w:basedOn w:val="TableNormal"/>
    <w:uiPriority w:val="60"/>
    <w:rsid w:val="00C1281D"/>
    <w:pPr>
      <w:spacing w:after="0" w:line="264" w:lineRule="auto"/>
    </w:pPr>
    <w:rPr>
      <w:rFonts w:ascii="Cambria" w:eastAsia="Calibri" w:hAnsi="Cambria" w:cs="Times New Roman"/>
      <w:color w:val="A8422A"/>
      <w:sz w:val="20"/>
      <w:szCs w:val="20"/>
      <w:lang w:val="en-GB" w:eastAsia="sr-Cyrl-CS"/>
    </w:rPr>
    <w:tblPr>
      <w:tblStyleRowBandSize w:val="1"/>
      <w:tblStyleColBandSize w:val="1"/>
      <w:tblBorders>
        <w:top w:val="single" w:sz="8" w:space="0" w:color="D16349"/>
        <w:bottom w:val="single" w:sz="8" w:space="0" w:color="D16349"/>
      </w:tblBorders>
    </w:tblPr>
    <w:tblStylePr w:type="fir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la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D8D2"/>
      </w:tcPr>
    </w:tblStylePr>
    <w:tblStylePr w:type="band1Horz">
      <w:tblPr/>
      <w:tcPr>
        <w:tcBorders>
          <w:left w:val="nil"/>
          <w:right w:val="nil"/>
          <w:insideH w:val="nil"/>
          <w:insideV w:val="nil"/>
        </w:tcBorders>
        <w:shd w:val="clear" w:color="auto" w:fill="F3D8D2"/>
      </w:tcPr>
    </w:tblStylePr>
  </w:style>
  <w:style w:type="table" w:customStyle="1" w:styleId="GridTable6Colorful-Accent51111">
    <w:name w:val="Grid Table 6 Colorful - Accent 51111"/>
    <w:basedOn w:val="TableNormal"/>
    <w:uiPriority w:val="51"/>
    <w:rsid w:val="00C1281D"/>
    <w:pPr>
      <w:spacing w:after="0" w:line="264" w:lineRule="auto"/>
    </w:pPr>
    <w:rPr>
      <w:rFonts w:ascii="Calibri" w:eastAsia="Calibri" w:hAnsi="Calibri" w:cs="Times New Roman"/>
      <w:color w:val="387AAA"/>
      <w:sz w:val="20"/>
      <w:szCs w:val="20"/>
    </w:rPr>
    <w:tblPr>
      <w:tblStyleRowBandSize w:val="1"/>
      <w:tblStyleColBandSize w:val="1"/>
      <w:tblBorders>
        <w:top w:val="single" w:sz="4" w:space="0" w:color="A1C5E0"/>
        <w:left w:val="single" w:sz="4" w:space="0" w:color="A1C5E0"/>
        <w:bottom w:val="single" w:sz="4" w:space="0" w:color="A1C5E0"/>
        <w:right w:val="single" w:sz="4" w:space="0" w:color="A1C5E0"/>
        <w:insideH w:val="single" w:sz="4" w:space="0" w:color="A1C5E0"/>
        <w:insideV w:val="single" w:sz="4" w:space="0" w:color="A1C5E0"/>
      </w:tblBorders>
    </w:tblPr>
    <w:tblStylePr w:type="firstRow">
      <w:rPr>
        <w:b/>
        <w:bCs/>
      </w:rPr>
      <w:tblPr/>
      <w:tcPr>
        <w:tcBorders>
          <w:bottom w:val="single" w:sz="12" w:space="0" w:color="A1C5E0"/>
        </w:tcBorders>
      </w:tcPr>
    </w:tblStylePr>
    <w:tblStylePr w:type="lastRow">
      <w:rPr>
        <w:b/>
        <w:bCs/>
      </w:rPr>
      <w:tblPr/>
      <w:tcPr>
        <w:tcBorders>
          <w:top w:val="double" w:sz="4" w:space="0" w:color="A1C5E0"/>
        </w:tcBorders>
      </w:tcPr>
    </w:tblStylePr>
    <w:tblStylePr w:type="firstCol">
      <w:rPr>
        <w:b/>
        <w:bCs/>
      </w:rPr>
    </w:tblStylePr>
    <w:tblStylePr w:type="lastCol">
      <w:rPr>
        <w:b/>
        <w:bCs/>
      </w:rPr>
    </w:tblStylePr>
    <w:tblStylePr w:type="band1Vert">
      <w:tblPr/>
      <w:tcPr>
        <w:shd w:val="clear" w:color="auto" w:fill="DFEBF4"/>
      </w:tcPr>
    </w:tblStylePr>
    <w:tblStylePr w:type="band1Horz">
      <w:tblPr/>
      <w:tcPr>
        <w:shd w:val="clear" w:color="auto" w:fill="DFEBF4"/>
      </w:tcPr>
    </w:tblStylePr>
  </w:style>
  <w:style w:type="table" w:customStyle="1" w:styleId="GridTable6Colorful-Accent121">
    <w:name w:val="Grid Table 6 Colorful - Accent 121"/>
    <w:basedOn w:val="TableNormal"/>
    <w:next w:val="GridTable6Colorful-Accent13"/>
    <w:uiPriority w:val="51"/>
    <w:rsid w:val="00C1281D"/>
    <w:pPr>
      <w:spacing w:after="0" w:line="264" w:lineRule="auto"/>
    </w:pPr>
    <w:rPr>
      <w:rFonts w:eastAsia="MS PGothic"/>
      <w:color w:val="BF2B0E"/>
      <w:sz w:val="20"/>
      <w:szCs w:val="20"/>
      <w:lang w:eastAsia="ja-JP"/>
    </w:rPr>
    <w:tblPr>
      <w:tblStyleRowBandSize w:val="1"/>
      <w:tblStyleColBandSize w:val="1"/>
      <w:tblBorders>
        <w:top w:val="single" w:sz="4" w:space="0" w:color="F58F7A"/>
        <w:left w:val="single" w:sz="4" w:space="0" w:color="F58F7A"/>
        <w:bottom w:val="single" w:sz="4" w:space="0" w:color="F58F7A"/>
        <w:right w:val="single" w:sz="4" w:space="0" w:color="F58F7A"/>
        <w:insideH w:val="single" w:sz="4" w:space="0" w:color="F58F7A"/>
        <w:insideV w:val="single" w:sz="4" w:space="0" w:color="F58F7A"/>
      </w:tblBorders>
    </w:tblPr>
    <w:tblStylePr w:type="firstRow">
      <w:rPr>
        <w:b/>
        <w:bCs/>
      </w:rPr>
      <w:tblPr/>
      <w:tcPr>
        <w:tcBorders>
          <w:bottom w:val="single" w:sz="12" w:space="0" w:color="F58F7A"/>
        </w:tcBorders>
      </w:tcPr>
    </w:tblStylePr>
    <w:tblStylePr w:type="lastRow">
      <w:rPr>
        <w:b/>
        <w:bCs/>
      </w:rPr>
      <w:tblPr/>
      <w:tcPr>
        <w:tcBorders>
          <w:top w:val="double" w:sz="4" w:space="0" w:color="F58F7A"/>
        </w:tcBorders>
      </w:tcPr>
    </w:tblStylePr>
    <w:tblStylePr w:type="firstCol">
      <w:rPr>
        <w:b/>
        <w:bCs/>
      </w:rPr>
    </w:tblStylePr>
    <w:tblStylePr w:type="lastCol">
      <w:rPr>
        <w:b/>
        <w:bCs/>
      </w:rPr>
    </w:tblStylePr>
    <w:tblStylePr w:type="band1Vert">
      <w:tblPr/>
      <w:tcPr>
        <w:shd w:val="clear" w:color="auto" w:fill="FBD9D2"/>
      </w:tcPr>
    </w:tblStylePr>
    <w:tblStylePr w:type="band1Horz">
      <w:tblPr/>
      <w:tcPr>
        <w:shd w:val="clear" w:color="auto" w:fill="FBD9D2"/>
      </w:tcPr>
    </w:tblStylePr>
  </w:style>
  <w:style w:type="table" w:customStyle="1" w:styleId="LightShading-Accent12211">
    <w:name w:val="Light Shading - Accent 12211"/>
    <w:basedOn w:val="TableNormal"/>
    <w:uiPriority w:val="60"/>
    <w:rsid w:val="00C1281D"/>
    <w:pPr>
      <w:spacing w:after="0" w:line="240" w:lineRule="auto"/>
    </w:pPr>
    <w:rPr>
      <w:rFonts w:ascii="Cambria" w:eastAsia="Calibri" w:hAnsi="Cambria" w:cs="Times New Roman"/>
      <w:color w:val="A8422A"/>
      <w:sz w:val="20"/>
      <w:szCs w:val="20"/>
      <w:lang w:val="en-GB" w:eastAsia="sr-Cyrl-CS"/>
    </w:rPr>
    <w:tblPr>
      <w:tblStyleRowBandSize w:val="1"/>
      <w:tblStyleColBandSize w:val="1"/>
      <w:tblBorders>
        <w:top w:val="single" w:sz="8" w:space="0" w:color="D16349"/>
        <w:bottom w:val="single" w:sz="8" w:space="0" w:color="D16349"/>
      </w:tblBorders>
    </w:tblPr>
    <w:tblStylePr w:type="fir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la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D8D2"/>
      </w:tcPr>
    </w:tblStylePr>
    <w:tblStylePr w:type="band1Horz">
      <w:tblPr/>
      <w:tcPr>
        <w:tcBorders>
          <w:left w:val="nil"/>
          <w:right w:val="nil"/>
          <w:insideH w:val="nil"/>
          <w:insideV w:val="nil"/>
        </w:tcBorders>
        <w:shd w:val="clear" w:color="auto" w:fill="F3D8D2"/>
      </w:tcPr>
    </w:tblStylePr>
  </w:style>
  <w:style w:type="table" w:customStyle="1" w:styleId="GridTable6Colorful-Accent5211">
    <w:name w:val="Grid Table 6 Colorful - Accent 5211"/>
    <w:basedOn w:val="TableNormal"/>
    <w:next w:val="GridTable6Colorful-Accent54"/>
    <w:uiPriority w:val="51"/>
    <w:rsid w:val="00C1281D"/>
    <w:pPr>
      <w:spacing w:after="0" w:line="240" w:lineRule="auto"/>
    </w:pPr>
    <w:rPr>
      <w:rFonts w:ascii="Calibri" w:eastAsia="Calibri" w:hAnsi="Calibri" w:cs="Times New Roman"/>
      <w:color w:val="C19300"/>
      <w:sz w:val="20"/>
      <w:szCs w:val="20"/>
    </w:rPr>
    <w:tblPr>
      <w:tblStyleRowBandSize w:val="1"/>
      <w:tblStyleColBandSize w:val="1"/>
      <w:tblBorders>
        <w:top w:val="single" w:sz="4" w:space="0" w:color="FEDA69"/>
        <w:left w:val="single" w:sz="4" w:space="0" w:color="FEDA69"/>
        <w:bottom w:val="single" w:sz="4" w:space="0" w:color="FEDA69"/>
        <w:right w:val="single" w:sz="4" w:space="0" w:color="FEDA69"/>
        <w:insideH w:val="single" w:sz="4" w:space="0" w:color="FEDA69"/>
        <w:insideV w:val="single" w:sz="4" w:space="0" w:color="FEDA69"/>
      </w:tblBorders>
    </w:tblPr>
    <w:tblStylePr w:type="firstRow">
      <w:rPr>
        <w:b/>
        <w:bCs/>
      </w:rPr>
      <w:tblPr/>
      <w:tcPr>
        <w:tcBorders>
          <w:bottom w:val="single" w:sz="12" w:space="0" w:color="FEDA69"/>
        </w:tcBorders>
      </w:tcPr>
    </w:tblStylePr>
    <w:tblStylePr w:type="lastRow">
      <w:rPr>
        <w:b/>
        <w:bCs/>
      </w:rPr>
      <w:tblPr/>
      <w:tcPr>
        <w:tcBorders>
          <w:top w:val="double" w:sz="4" w:space="0" w:color="FEDA69"/>
        </w:tcBorders>
      </w:tcPr>
    </w:tblStylePr>
    <w:tblStylePr w:type="firstCol">
      <w:rPr>
        <w:b/>
        <w:bCs/>
      </w:rPr>
    </w:tblStylePr>
    <w:tblStylePr w:type="lastCol">
      <w:rPr>
        <w:b/>
        <w:bCs/>
      </w:rPr>
    </w:tblStylePr>
    <w:tblStylePr w:type="band1Vert">
      <w:tblPr/>
      <w:tcPr>
        <w:shd w:val="clear" w:color="auto" w:fill="FEF2CD"/>
      </w:tcPr>
    </w:tblStylePr>
    <w:tblStylePr w:type="band1Horz">
      <w:tblPr/>
      <w:tcPr>
        <w:shd w:val="clear" w:color="auto" w:fill="FEF2CD"/>
      </w:tcPr>
    </w:tblStylePr>
  </w:style>
  <w:style w:type="table" w:customStyle="1" w:styleId="tabele341">
    <w:name w:val="tabele 341"/>
    <w:basedOn w:val="TableNormal"/>
    <w:next w:val="LightList-Accent3"/>
    <w:uiPriority w:val="61"/>
    <w:rsid w:val="00C1281D"/>
    <w:pPr>
      <w:spacing w:after="0" w:line="240" w:lineRule="auto"/>
    </w:pPr>
    <w:rPr>
      <w:rFonts w:ascii="Cambria Math" w:eastAsia="Calibri" w:hAnsi="Cambria Math" w:cs="Times New Roman"/>
      <w:sz w:val="18"/>
      <w:lang w:val="sr-Cyrl-CS"/>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LightShading-Accent11101">
    <w:name w:val="Light Shading - Accent 11101"/>
    <w:basedOn w:val="TableNormal"/>
    <w:uiPriority w:val="60"/>
    <w:rsid w:val="00C1281D"/>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351">
    <w:name w:val="Light Shading - Accent 351"/>
    <w:basedOn w:val="TableNormal"/>
    <w:next w:val="LightShading-Accent3"/>
    <w:uiPriority w:val="60"/>
    <w:rsid w:val="00C1281D"/>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List-Accent551">
    <w:name w:val="Light List - Accent 551"/>
    <w:basedOn w:val="TableNormal"/>
    <w:next w:val="LightList-Accent5"/>
    <w:uiPriority w:val="61"/>
    <w:rsid w:val="00C1281D"/>
    <w:pPr>
      <w:spacing w:after="0" w:line="240" w:lineRule="auto"/>
    </w:pPr>
    <w:rPr>
      <w:rFonts w:ascii="Calibri" w:eastAsia="Calibri" w:hAnsi="Calibri" w:cs="Times New Roman"/>
      <w:sz w:val="20"/>
      <w:szCs w:val="20"/>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Shading-Accent3141">
    <w:name w:val="Light Shading - Accent 3141"/>
    <w:basedOn w:val="TableNormal"/>
    <w:next w:val="LightShading-Accent3"/>
    <w:uiPriority w:val="60"/>
    <w:rsid w:val="00C1281D"/>
    <w:pPr>
      <w:spacing w:after="0" w:line="240" w:lineRule="auto"/>
    </w:pPr>
    <w:rPr>
      <w:rFonts w:ascii="Constantia" w:eastAsia="Constantia" w:hAnsi="Constantia" w:cs="Times New Roman"/>
      <w:color w:val="8CADAE"/>
      <w:lang w:val="sr-Cyrl-CS"/>
    </w:rPr>
    <w:tblPr>
      <w:tblStyleRowBandSize w:val="1"/>
      <w:tblStyleColBandSize w:val="1"/>
      <w:tblBorders>
        <w:top w:val="single" w:sz="8" w:space="0" w:color="8CADAE"/>
        <w:bottom w:val="single" w:sz="8" w:space="0" w:color="8CADAE"/>
      </w:tblBorders>
    </w:tblPr>
    <w:tblStylePr w:type="fir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la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2EAEB"/>
      </w:tcPr>
    </w:tblStylePr>
    <w:tblStylePr w:type="band1Horz">
      <w:tblPr/>
      <w:tcPr>
        <w:tcBorders>
          <w:left w:val="nil"/>
          <w:right w:val="nil"/>
          <w:insideH w:val="nil"/>
          <w:insideV w:val="nil"/>
        </w:tcBorders>
        <w:shd w:val="clear" w:color="auto" w:fill="E2EAEB"/>
      </w:tcPr>
    </w:tblStylePr>
  </w:style>
  <w:style w:type="table" w:customStyle="1" w:styleId="LightList-Accent3151">
    <w:name w:val="Light List - Accent 3151"/>
    <w:basedOn w:val="TableNormal"/>
    <w:next w:val="LightList-Accent3"/>
    <w:uiPriority w:val="61"/>
    <w:rsid w:val="00C1281D"/>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TableGrid111">
    <w:name w:val="Table Grid111"/>
    <w:basedOn w:val="TableNormal"/>
    <w:next w:val="TableGrid"/>
    <w:uiPriority w:val="59"/>
    <w:rsid w:val="00C1281D"/>
    <w:pPr>
      <w:spacing w:after="0" w:line="240" w:lineRule="auto"/>
    </w:pPr>
    <w:rPr>
      <w:rFonts w:ascii="Constantia" w:eastAsia="Constantia" w:hAnsi="Constantia" w:cs="Times New Roman"/>
      <w:lang w:val="sr-Cyrl-C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ghtList-Accent5141">
    <w:name w:val="Light List - Accent 5141"/>
    <w:basedOn w:val="TableNormal"/>
    <w:next w:val="LightList-Accent5"/>
    <w:uiPriority w:val="61"/>
    <w:rsid w:val="00C1281D"/>
    <w:pPr>
      <w:spacing w:after="0" w:line="240" w:lineRule="auto"/>
    </w:pPr>
    <w:rPr>
      <w:rFonts w:ascii="Times New Roman" w:eastAsia="Constantia" w:hAnsi="Times New Roman" w:cs="Times New Roman"/>
      <w:lang w:val="sr-Cyrl-CS"/>
    </w:rPr>
    <w:tblPr>
      <w:tblStyleRowBandSize w:val="1"/>
      <w:tblStyleColBandSize w:val="1"/>
      <w:tblBorders>
        <w:top w:val="single" w:sz="8" w:space="0" w:color="8FB08C"/>
        <w:left w:val="single" w:sz="8" w:space="0" w:color="8FB08C"/>
        <w:bottom w:val="single" w:sz="8" w:space="0" w:color="8FB08C"/>
        <w:right w:val="single" w:sz="8" w:space="0" w:color="8FB08C"/>
      </w:tblBorders>
    </w:tblPr>
    <w:tblStylePr w:type="firstRow">
      <w:pPr>
        <w:spacing w:before="0" w:after="0" w:line="240" w:lineRule="auto"/>
      </w:pPr>
      <w:rPr>
        <w:b/>
        <w:bCs/>
        <w:color w:val="FFFFFF"/>
      </w:rPr>
      <w:tblPr/>
      <w:tcPr>
        <w:shd w:val="clear" w:color="auto" w:fill="8FB08C"/>
      </w:tcPr>
    </w:tblStylePr>
    <w:tblStylePr w:type="lastRow">
      <w:pPr>
        <w:spacing w:before="0" w:after="0" w:line="240" w:lineRule="auto"/>
      </w:pPr>
      <w:rPr>
        <w:b/>
        <w:bCs/>
      </w:rPr>
      <w:tblPr/>
      <w:tcPr>
        <w:tcBorders>
          <w:top w:val="double" w:sz="6" w:space="0" w:color="8FB08C"/>
          <w:left w:val="single" w:sz="8" w:space="0" w:color="8FB08C"/>
          <w:bottom w:val="single" w:sz="8" w:space="0" w:color="8FB08C"/>
          <w:right w:val="single" w:sz="8" w:space="0" w:color="8FB08C"/>
        </w:tcBorders>
      </w:tcPr>
    </w:tblStylePr>
    <w:tblStylePr w:type="firstCol">
      <w:rPr>
        <w:b/>
        <w:bCs/>
      </w:rPr>
    </w:tblStylePr>
    <w:tblStylePr w:type="lastCol">
      <w:rPr>
        <w:b/>
        <w:bCs/>
      </w:rPr>
    </w:tblStylePr>
    <w:tblStylePr w:type="band1Vert">
      <w:tblPr/>
      <w:tcPr>
        <w:tcBorders>
          <w:top w:val="single" w:sz="8" w:space="0" w:color="8FB08C"/>
          <w:left w:val="single" w:sz="8" w:space="0" w:color="8FB08C"/>
          <w:bottom w:val="single" w:sz="8" w:space="0" w:color="8FB08C"/>
          <w:right w:val="single" w:sz="8" w:space="0" w:color="8FB08C"/>
        </w:tcBorders>
      </w:tcPr>
    </w:tblStylePr>
    <w:tblStylePr w:type="band1Horz">
      <w:tblPr/>
      <w:tcPr>
        <w:tcBorders>
          <w:top w:val="single" w:sz="8" w:space="0" w:color="8FB08C"/>
          <w:left w:val="single" w:sz="8" w:space="0" w:color="8FB08C"/>
          <w:bottom w:val="single" w:sz="8" w:space="0" w:color="8FB08C"/>
          <w:right w:val="single" w:sz="8" w:space="0" w:color="8FB08C"/>
        </w:tcBorders>
      </w:tcPr>
    </w:tblStylePr>
  </w:style>
  <w:style w:type="table" w:customStyle="1" w:styleId="MediumList1-Accent5111">
    <w:name w:val="Medium List 1 - Accent 5111"/>
    <w:basedOn w:val="TableNormal"/>
    <w:next w:val="MediumList1-Accent5"/>
    <w:uiPriority w:val="65"/>
    <w:rsid w:val="00C1281D"/>
    <w:pPr>
      <w:spacing w:after="0" w:line="240" w:lineRule="auto"/>
    </w:pPr>
    <w:rPr>
      <w:rFonts w:ascii="Constantia" w:eastAsia="Constantia" w:hAnsi="Constantia" w:cs="Times New Roman"/>
      <w:color w:val="000000"/>
      <w:lang w:val="sr-Cyrl-CS"/>
    </w:rPr>
    <w:tblPr>
      <w:tblStyleRowBandSize w:val="1"/>
      <w:tblStyleColBandSize w:val="1"/>
      <w:tblBorders>
        <w:top w:val="single" w:sz="8" w:space="0" w:color="8FB08C"/>
        <w:bottom w:val="single" w:sz="8" w:space="0" w:color="8FB08C"/>
      </w:tblBorders>
    </w:tblPr>
    <w:tblStylePr w:type="firstRow">
      <w:rPr>
        <w:rFonts w:ascii="Consolas" w:eastAsia="Times New Roman" w:hAnsi="Consolas" w:cs="Times New Roman"/>
      </w:rPr>
      <w:tblPr/>
      <w:tcPr>
        <w:tcBorders>
          <w:top w:val="nil"/>
          <w:bottom w:val="single" w:sz="8" w:space="0" w:color="8FB08C"/>
        </w:tcBorders>
      </w:tcPr>
    </w:tblStylePr>
    <w:tblStylePr w:type="lastRow">
      <w:rPr>
        <w:b/>
        <w:bCs/>
        <w:color w:val="646B86"/>
      </w:rPr>
      <w:tblPr/>
      <w:tcPr>
        <w:tcBorders>
          <w:top w:val="single" w:sz="8" w:space="0" w:color="8FB08C"/>
          <w:bottom w:val="single" w:sz="8" w:space="0" w:color="8FB08C"/>
        </w:tcBorders>
      </w:tcPr>
    </w:tblStylePr>
    <w:tblStylePr w:type="firstCol">
      <w:rPr>
        <w:b/>
        <w:bCs/>
      </w:rPr>
    </w:tblStylePr>
    <w:tblStylePr w:type="lastCol">
      <w:rPr>
        <w:b/>
        <w:bCs/>
      </w:rPr>
      <w:tblPr/>
      <w:tcPr>
        <w:tcBorders>
          <w:top w:val="single" w:sz="8" w:space="0" w:color="8FB08C"/>
          <w:bottom w:val="single" w:sz="8" w:space="0" w:color="8FB08C"/>
        </w:tcBorders>
      </w:tcPr>
    </w:tblStylePr>
    <w:tblStylePr w:type="band1Vert">
      <w:tblPr/>
      <w:tcPr>
        <w:shd w:val="clear" w:color="auto" w:fill="E3EBE2"/>
      </w:tcPr>
    </w:tblStylePr>
    <w:tblStylePr w:type="band1Horz">
      <w:tblPr/>
      <w:tcPr>
        <w:shd w:val="clear" w:color="auto" w:fill="E3EBE2"/>
      </w:tcPr>
    </w:tblStylePr>
  </w:style>
  <w:style w:type="table" w:customStyle="1" w:styleId="MediumList1-Accent521">
    <w:name w:val="Medium List 1 - Accent 521"/>
    <w:basedOn w:val="TableNormal"/>
    <w:next w:val="MediumList1-Accent5"/>
    <w:uiPriority w:val="65"/>
    <w:rsid w:val="00C1281D"/>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4BACC6"/>
        <w:bottom w:val="single" w:sz="8" w:space="0" w:color="4BACC6"/>
      </w:tblBorders>
    </w:tblPr>
    <w:tblStylePr w:type="firstRow">
      <w:rPr>
        <w:rFonts w:ascii="Times New Roman" w:eastAsia="Times New Roman" w:hAnsi="Times New Roman" w:cs="Times New Roman"/>
      </w:rPr>
      <w:tblPr/>
      <w:tcPr>
        <w:tcBorders>
          <w:top w:val="nil"/>
          <w:bottom w:val="single" w:sz="8" w:space="0" w:color="4BACC6"/>
        </w:tcBorders>
      </w:tcPr>
    </w:tblStylePr>
    <w:tblStylePr w:type="lastRow">
      <w:rPr>
        <w:b/>
        <w:bCs/>
        <w:color w:val="1F497D"/>
      </w:rPr>
      <w:tblPr/>
      <w:tcPr>
        <w:tcBorders>
          <w:top w:val="single" w:sz="8" w:space="0" w:color="4BACC6"/>
          <w:bottom w:val="single" w:sz="8" w:space="0" w:color="4BACC6"/>
        </w:tcBorders>
      </w:tcPr>
    </w:tblStylePr>
    <w:tblStylePr w:type="firstCol">
      <w:rPr>
        <w:b/>
        <w:bCs/>
      </w:rPr>
    </w:tblStylePr>
    <w:tblStylePr w:type="lastCol">
      <w:rPr>
        <w:b/>
        <w:bCs/>
      </w:rPr>
      <w:tblPr/>
      <w:tcPr>
        <w:tcBorders>
          <w:top w:val="single" w:sz="8" w:space="0" w:color="4BACC6"/>
          <w:bottom w:val="single" w:sz="8" w:space="0" w:color="4BACC6"/>
        </w:tcBorders>
      </w:tcPr>
    </w:tblStylePr>
    <w:tblStylePr w:type="band1Vert">
      <w:tblPr/>
      <w:tcPr>
        <w:shd w:val="clear" w:color="auto" w:fill="D2EAF1"/>
      </w:tcPr>
    </w:tblStylePr>
    <w:tblStylePr w:type="band1Horz">
      <w:tblPr/>
      <w:tcPr>
        <w:shd w:val="clear" w:color="auto" w:fill="D2EAF1"/>
      </w:tcPr>
    </w:tblStylePr>
  </w:style>
  <w:style w:type="numbering" w:customStyle="1" w:styleId="NoList1111">
    <w:name w:val="No List1111"/>
    <w:next w:val="NoList"/>
    <w:uiPriority w:val="99"/>
    <w:semiHidden/>
    <w:unhideWhenUsed/>
    <w:rsid w:val="00C1281D"/>
  </w:style>
  <w:style w:type="table" w:customStyle="1" w:styleId="LightGrid-Accent5151">
    <w:name w:val="Light Grid - Accent 5151"/>
    <w:basedOn w:val="TableNormal"/>
    <w:next w:val="LightGrid-Accent5"/>
    <w:uiPriority w:val="62"/>
    <w:rsid w:val="00C1281D"/>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Verdana" w:eastAsia="Times New Roman" w:hAnsi="Verdan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Verdana" w:eastAsia="Times New Roman" w:hAnsi="Verdan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Verdana" w:eastAsia="Times New Roman" w:hAnsi="Verdana" w:cs="Times New Roman"/>
        <w:b/>
        <w:bCs/>
      </w:rPr>
    </w:tblStylePr>
    <w:tblStylePr w:type="lastCol">
      <w:rPr>
        <w:rFonts w:ascii="Verdana" w:eastAsia="Times New Roman" w:hAnsi="Verdan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1141">
    <w:name w:val="Светло сенчење – наглашавање 1141"/>
    <w:basedOn w:val="TableNormal"/>
    <w:uiPriority w:val="60"/>
    <w:rsid w:val="00C1281D"/>
    <w:pPr>
      <w:spacing w:after="0" w:line="240" w:lineRule="auto"/>
    </w:pPr>
    <w:rPr>
      <w:rFonts w:ascii="Calibri" w:eastAsia="Calibri" w:hAnsi="Calibri" w:cs="Times New Roman"/>
      <w:color w:val="365F91"/>
      <w:sz w:val="20"/>
      <w:szCs w:val="20"/>
      <w:lang w:val="sr-Latn-CS" w:eastAsia="en-GB"/>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Grid-Accent561">
    <w:name w:val="Light Grid - Accent 561"/>
    <w:basedOn w:val="TableNormal"/>
    <w:next w:val="LightGrid-Accent5"/>
    <w:uiPriority w:val="62"/>
    <w:rsid w:val="00C1281D"/>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Verdana" w:eastAsia="Times New Roman" w:hAnsi="Verdana"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Verdana" w:eastAsia="Times New Roman" w:hAnsi="Verdana"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Verdana" w:eastAsia="Times New Roman" w:hAnsi="Verdana" w:cs="Times New Roman"/>
        <w:b/>
        <w:bCs/>
      </w:rPr>
    </w:tblStylePr>
    <w:tblStylePr w:type="lastCol">
      <w:rPr>
        <w:rFonts w:ascii="Verdana" w:eastAsia="Times New Roman" w:hAnsi="Verdana"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tabelezaifs110">
    <w:name w:val="tabele za ifs11"/>
    <w:basedOn w:val="TableNormal"/>
    <w:uiPriority w:val="99"/>
    <w:qFormat/>
    <w:rsid w:val="00C1281D"/>
    <w:pPr>
      <w:spacing w:after="0" w:line="240" w:lineRule="auto"/>
    </w:pPr>
    <w:rPr>
      <w:rFonts w:ascii="Cambria Math" w:eastAsia="Calibri" w:hAnsi="Cambria Math" w:cs="Times New Roman"/>
      <w:sz w:val="20"/>
      <w:szCs w:val="20"/>
      <w:lang w:val="en-GB" w:eastAsia="en-GB"/>
    </w:rPr>
    <w:tblPr/>
  </w:style>
  <w:style w:type="table" w:customStyle="1" w:styleId="tabelezaifs111">
    <w:name w:val="tabele za ifs 111"/>
    <w:basedOn w:val="TableNormal"/>
    <w:uiPriority w:val="66"/>
    <w:rsid w:val="00C1281D"/>
    <w:pPr>
      <w:spacing w:after="0" w:line="240" w:lineRule="auto"/>
    </w:pPr>
    <w:rPr>
      <w:rFonts w:ascii="Cambria Math" w:eastAsia="Times New Roman" w:hAnsi="Cambria Math" w:cs="Times New Roman"/>
      <w:color w:val="000000"/>
      <w:sz w:val="20"/>
      <w:szCs w:val="20"/>
      <w:lang w:val="en-GB" w:eastAsia="en-GB"/>
    </w:rPr>
    <w:tblPr>
      <w:tblStyleRowBandSize w:val="1"/>
      <w:tblStyleColBandSize w:val="1"/>
      <w:tblBorders>
        <w:top w:val="single" w:sz="8" w:space="0" w:color="8CADAE"/>
        <w:left w:val="single" w:sz="8" w:space="0" w:color="8CADAE"/>
        <w:bottom w:val="single" w:sz="8" w:space="0" w:color="8CADAE"/>
        <w:right w:val="single" w:sz="8" w:space="0" w:color="8CADAE"/>
      </w:tblBorders>
    </w:tblPr>
    <w:tcPr>
      <w:vAlign w:val="bottom"/>
    </w:tcPr>
    <w:tblStylePr w:type="firstRow">
      <w:rPr>
        <w:sz w:val="24"/>
        <w:szCs w:val="24"/>
      </w:rPr>
      <w:tblPr/>
      <w:tcPr>
        <w:tcBorders>
          <w:top w:val="nil"/>
          <w:left w:val="nil"/>
          <w:bottom w:val="single" w:sz="24" w:space="0" w:color="8CADAE"/>
          <w:right w:val="nil"/>
          <w:insideH w:val="nil"/>
          <w:insideV w:val="nil"/>
        </w:tcBorders>
        <w:shd w:val="clear" w:color="auto" w:fill="FFFFFF"/>
      </w:tcPr>
    </w:tblStylePr>
    <w:tblStylePr w:type="lastRow">
      <w:tblPr/>
      <w:tcPr>
        <w:tcBorders>
          <w:top w:val="single" w:sz="8" w:space="0" w:color="8CADAE"/>
          <w:left w:val="nil"/>
          <w:bottom w:val="nil"/>
          <w:right w:val="nil"/>
          <w:insideH w:val="nil"/>
          <w:insideV w:val="nil"/>
        </w:tcBorders>
        <w:shd w:val="clear" w:color="auto" w:fill="FFFFFF"/>
      </w:tcPr>
    </w:tblStylePr>
    <w:tblStylePr w:type="firstCol">
      <w:tblPr/>
      <w:tcPr>
        <w:tcBorders>
          <w:top w:val="nil"/>
          <w:left w:val="nil"/>
          <w:bottom w:val="nil"/>
          <w:right w:val="single" w:sz="8" w:space="0" w:color="8CADAE"/>
          <w:insideH w:val="nil"/>
          <w:insideV w:val="nil"/>
        </w:tcBorders>
        <w:shd w:val="clear" w:color="auto" w:fill="FFFFFF"/>
      </w:tcPr>
    </w:tblStylePr>
    <w:tblStylePr w:type="lastCol">
      <w:tblPr/>
      <w:tcPr>
        <w:tcBorders>
          <w:top w:val="nil"/>
          <w:left w:val="single" w:sz="8" w:space="0" w:color="8CADAE"/>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2EAEB"/>
      </w:tcPr>
    </w:tblStylePr>
    <w:tblStylePr w:type="band1Horz">
      <w:tblPr/>
      <w:tcPr>
        <w:tcBorders>
          <w:top w:val="nil"/>
          <w:bottom w:val="nil"/>
          <w:insideH w:val="nil"/>
          <w:insideV w:val="nil"/>
        </w:tcBorders>
        <w:shd w:val="clear" w:color="auto" w:fill="E2EAEB"/>
      </w:tcPr>
    </w:tblStylePr>
    <w:tblStylePr w:type="nwCell">
      <w:tblPr/>
      <w:tcPr>
        <w:shd w:val="clear" w:color="auto" w:fill="FFFFFF"/>
      </w:tcPr>
    </w:tblStylePr>
    <w:tblStylePr w:type="swCell">
      <w:tblPr/>
      <w:tcPr>
        <w:tcBorders>
          <w:top w:val="nil"/>
        </w:tcBorders>
      </w:tcPr>
    </w:tblStylePr>
  </w:style>
  <w:style w:type="table" w:customStyle="1" w:styleId="ColorfulList-Accent111">
    <w:name w:val="Colorful List - Accent 111"/>
    <w:basedOn w:val="TableNormal"/>
    <w:next w:val="ColorfulList-Accent1"/>
    <w:uiPriority w:val="72"/>
    <w:rsid w:val="00C1281D"/>
    <w:pPr>
      <w:spacing w:after="0" w:line="240" w:lineRule="auto"/>
    </w:pPr>
    <w:rPr>
      <w:rFonts w:ascii="Calibri" w:eastAsia="Calibri" w:hAnsi="Calibri" w:cs="Times New Roman"/>
      <w:color w:val="000000"/>
      <w:sz w:val="20"/>
      <w:szCs w:val="20"/>
      <w:lang w:val="en-GB" w:eastAsia="en-GB"/>
    </w:rPr>
    <w:tblPr>
      <w:tblStyleRowBandSize w:val="1"/>
      <w:tblStyleColBandSize w:val="1"/>
    </w:tblPr>
    <w:tcPr>
      <w:shd w:val="clear" w:color="auto" w:fill="FAEFEC"/>
    </w:tcPr>
    <w:tblStylePr w:type="firstRow">
      <w:rPr>
        <w:b/>
        <w:bCs/>
        <w:color w:val="FFFFFF"/>
      </w:rPr>
      <w:tblPr/>
      <w:tcPr>
        <w:tcBorders>
          <w:bottom w:val="single" w:sz="12" w:space="0" w:color="FFFFFF"/>
        </w:tcBorders>
        <w:shd w:val="clear" w:color="auto" w:fill="A38F00"/>
      </w:tcPr>
    </w:tblStylePr>
    <w:tblStylePr w:type="lastRow">
      <w:rPr>
        <w:b/>
        <w:bCs/>
        <w:color w:val="A38F00"/>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3D8D2"/>
      </w:tcPr>
    </w:tblStylePr>
    <w:tblStylePr w:type="band1Horz">
      <w:tblPr/>
      <w:tcPr>
        <w:shd w:val="clear" w:color="auto" w:fill="F5DFDA"/>
      </w:tcPr>
    </w:tblStylePr>
  </w:style>
  <w:style w:type="numbering" w:customStyle="1" w:styleId="NoList211">
    <w:name w:val="No List211"/>
    <w:next w:val="NoList"/>
    <w:uiPriority w:val="99"/>
    <w:semiHidden/>
    <w:unhideWhenUsed/>
    <w:rsid w:val="00C1281D"/>
  </w:style>
  <w:style w:type="table" w:customStyle="1" w:styleId="LightList-Accent3241">
    <w:name w:val="Light List - Accent 3241"/>
    <w:basedOn w:val="TableNormal"/>
    <w:next w:val="LightList-Accent3"/>
    <w:uiPriority w:val="61"/>
    <w:rsid w:val="00C1281D"/>
    <w:pPr>
      <w:spacing w:after="0" w:line="240" w:lineRule="auto"/>
    </w:pPr>
    <w:rPr>
      <w:rFonts w:ascii="Calibri" w:eastAsia="Calibri" w:hAnsi="Calibri" w:cs="Times New Roman"/>
      <w:sz w:val="20"/>
      <w:szCs w:val="20"/>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31141">
    <w:name w:val="Light List - Accent 31141"/>
    <w:basedOn w:val="TableNormal"/>
    <w:next w:val="LightList-Accent3"/>
    <w:uiPriority w:val="61"/>
    <w:rsid w:val="00C1281D"/>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Shading-Accent13171">
    <w:name w:val="Light Shading - Accent 13171"/>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81">
    <w:name w:val="Light Shading - Accent 13181"/>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241">
    <w:name w:val="Light Shading - Accent 13241"/>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tabele3111">
    <w:name w:val="tabele 3111"/>
    <w:basedOn w:val="TableNormal"/>
    <w:next w:val="LightList-Accent3"/>
    <w:uiPriority w:val="61"/>
    <w:rsid w:val="00C1281D"/>
    <w:pPr>
      <w:spacing w:after="0" w:line="240" w:lineRule="auto"/>
    </w:pPr>
    <w:rPr>
      <w:rFonts w:ascii="Cambria Math" w:eastAsia="Calibri" w:hAnsi="Cambria Math" w:cs="Times New Roman"/>
      <w:sz w:val="18"/>
      <w:lang w:val="sr-Cyrl-CS"/>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LightShading-Accent11111">
    <w:name w:val="Light Shading - Accent 11111"/>
    <w:basedOn w:val="TableNormal"/>
    <w:uiPriority w:val="60"/>
    <w:rsid w:val="00C1281D"/>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3211">
    <w:name w:val="Light Shading - Accent 3211"/>
    <w:basedOn w:val="TableNormal"/>
    <w:next w:val="LightShading-Accent3"/>
    <w:uiPriority w:val="60"/>
    <w:rsid w:val="00C1281D"/>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List-Accent5211">
    <w:name w:val="Light List - Accent 5211"/>
    <w:basedOn w:val="TableNormal"/>
    <w:next w:val="LightList-Accent5"/>
    <w:uiPriority w:val="61"/>
    <w:rsid w:val="00C1281D"/>
    <w:pPr>
      <w:spacing w:after="0" w:line="240" w:lineRule="auto"/>
    </w:pPr>
    <w:rPr>
      <w:rFonts w:ascii="Calibri" w:eastAsia="Calibri" w:hAnsi="Calibri" w:cs="Times New Roman"/>
      <w:sz w:val="20"/>
      <w:szCs w:val="20"/>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Shading-Accent31111">
    <w:name w:val="Light Shading - Accent 31111"/>
    <w:basedOn w:val="TableNormal"/>
    <w:next w:val="LightShading-Accent3"/>
    <w:uiPriority w:val="60"/>
    <w:rsid w:val="00C1281D"/>
    <w:pPr>
      <w:spacing w:after="0" w:line="240" w:lineRule="auto"/>
    </w:pPr>
    <w:rPr>
      <w:rFonts w:ascii="Constantia" w:eastAsia="Constantia" w:hAnsi="Constantia" w:cs="Times New Roman"/>
      <w:color w:val="8CADAE"/>
      <w:lang w:val="sr-Cyrl-CS"/>
    </w:rPr>
    <w:tblPr>
      <w:tblStyleRowBandSize w:val="1"/>
      <w:tblStyleColBandSize w:val="1"/>
      <w:tblBorders>
        <w:top w:val="single" w:sz="8" w:space="0" w:color="8CADAE"/>
        <w:bottom w:val="single" w:sz="8" w:space="0" w:color="8CADAE"/>
      </w:tblBorders>
    </w:tblPr>
    <w:tblStylePr w:type="fir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la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2EAEB"/>
      </w:tcPr>
    </w:tblStylePr>
    <w:tblStylePr w:type="band1Horz">
      <w:tblPr/>
      <w:tcPr>
        <w:tcBorders>
          <w:left w:val="nil"/>
          <w:right w:val="nil"/>
          <w:insideH w:val="nil"/>
          <w:insideV w:val="nil"/>
        </w:tcBorders>
        <w:shd w:val="clear" w:color="auto" w:fill="E2EAEB"/>
      </w:tcPr>
    </w:tblStylePr>
  </w:style>
  <w:style w:type="table" w:customStyle="1" w:styleId="LightList-Accent31211">
    <w:name w:val="Light List - Accent 31211"/>
    <w:basedOn w:val="TableNormal"/>
    <w:next w:val="LightList-Accent3"/>
    <w:uiPriority w:val="61"/>
    <w:rsid w:val="00C1281D"/>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51111">
    <w:name w:val="Light List - Accent 51111"/>
    <w:basedOn w:val="TableNormal"/>
    <w:next w:val="LightList-Accent5"/>
    <w:uiPriority w:val="61"/>
    <w:rsid w:val="00C1281D"/>
    <w:pPr>
      <w:spacing w:after="0" w:line="240" w:lineRule="auto"/>
    </w:pPr>
    <w:rPr>
      <w:rFonts w:ascii="Times New Roman" w:eastAsia="Constantia" w:hAnsi="Times New Roman" w:cs="Times New Roman"/>
      <w:lang w:val="sr-Cyrl-CS"/>
    </w:rPr>
    <w:tblPr>
      <w:tblStyleRowBandSize w:val="1"/>
      <w:tblStyleColBandSize w:val="1"/>
      <w:tblBorders>
        <w:top w:val="single" w:sz="8" w:space="0" w:color="8FB08C"/>
        <w:left w:val="single" w:sz="8" w:space="0" w:color="8FB08C"/>
        <w:bottom w:val="single" w:sz="8" w:space="0" w:color="8FB08C"/>
        <w:right w:val="single" w:sz="8" w:space="0" w:color="8FB08C"/>
      </w:tblBorders>
    </w:tblPr>
    <w:tblStylePr w:type="firstRow">
      <w:pPr>
        <w:spacing w:before="0" w:after="0" w:line="240" w:lineRule="auto"/>
      </w:pPr>
      <w:rPr>
        <w:b/>
        <w:bCs/>
        <w:color w:val="FFFFFF"/>
      </w:rPr>
      <w:tblPr/>
      <w:tcPr>
        <w:shd w:val="clear" w:color="auto" w:fill="8FB08C"/>
      </w:tcPr>
    </w:tblStylePr>
    <w:tblStylePr w:type="lastRow">
      <w:pPr>
        <w:spacing w:before="0" w:after="0" w:line="240" w:lineRule="auto"/>
      </w:pPr>
      <w:rPr>
        <w:b/>
        <w:bCs/>
      </w:rPr>
      <w:tblPr/>
      <w:tcPr>
        <w:tcBorders>
          <w:top w:val="double" w:sz="6" w:space="0" w:color="8FB08C"/>
          <w:left w:val="single" w:sz="8" w:space="0" w:color="8FB08C"/>
          <w:bottom w:val="single" w:sz="8" w:space="0" w:color="8FB08C"/>
          <w:right w:val="single" w:sz="8" w:space="0" w:color="8FB08C"/>
        </w:tcBorders>
      </w:tcPr>
    </w:tblStylePr>
    <w:tblStylePr w:type="firstCol">
      <w:rPr>
        <w:b/>
        <w:bCs/>
      </w:rPr>
    </w:tblStylePr>
    <w:tblStylePr w:type="lastCol">
      <w:rPr>
        <w:b/>
        <w:bCs/>
      </w:rPr>
    </w:tblStylePr>
    <w:tblStylePr w:type="band1Vert">
      <w:tblPr/>
      <w:tcPr>
        <w:tcBorders>
          <w:top w:val="single" w:sz="8" w:space="0" w:color="8FB08C"/>
          <w:left w:val="single" w:sz="8" w:space="0" w:color="8FB08C"/>
          <w:bottom w:val="single" w:sz="8" w:space="0" w:color="8FB08C"/>
          <w:right w:val="single" w:sz="8" w:space="0" w:color="8FB08C"/>
        </w:tcBorders>
      </w:tcPr>
    </w:tblStylePr>
    <w:tblStylePr w:type="band1Horz">
      <w:tblPr/>
      <w:tcPr>
        <w:tcBorders>
          <w:top w:val="single" w:sz="8" w:space="0" w:color="8FB08C"/>
          <w:left w:val="single" w:sz="8" w:space="0" w:color="8FB08C"/>
          <w:bottom w:val="single" w:sz="8" w:space="0" w:color="8FB08C"/>
          <w:right w:val="single" w:sz="8" w:space="0" w:color="8FB08C"/>
        </w:tcBorders>
      </w:tcPr>
    </w:tblStylePr>
  </w:style>
  <w:style w:type="table" w:customStyle="1" w:styleId="LightGrid-Accent51121">
    <w:name w:val="Light Grid - Accent 51121"/>
    <w:basedOn w:val="TableNormal"/>
    <w:next w:val="LightGrid-Accent5"/>
    <w:uiPriority w:val="62"/>
    <w:rsid w:val="00C1281D"/>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Verdana" w:eastAsia="Times New Roman" w:hAnsi="Verdan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Verdana" w:eastAsia="Times New Roman" w:hAnsi="Verdan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Verdana" w:eastAsia="Times New Roman" w:hAnsi="Verdana" w:cs="Times New Roman"/>
        <w:b/>
        <w:bCs/>
      </w:rPr>
    </w:tblStylePr>
    <w:tblStylePr w:type="lastCol">
      <w:rPr>
        <w:rFonts w:ascii="Verdana" w:eastAsia="Times New Roman" w:hAnsi="Verdan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11111">
    <w:name w:val="Светло сенчење – наглашавање 11111"/>
    <w:basedOn w:val="TableNormal"/>
    <w:uiPriority w:val="60"/>
    <w:rsid w:val="00C1281D"/>
    <w:pPr>
      <w:spacing w:after="0" w:line="240" w:lineRule="auto"/>
    </w:pPr>
    <w:rPr>
      <w:rFonts w:ascii="Calibri" w:eastAsia="Calibri" w:hAnsi="Calibri" w:cs="Times New Roman"/>
      <w:color w:val="365F91"/>
      <w:sz w:val="20"/>
      <w:szCs w:val="20"/>
      <w:lang w:val="sr-Latn-CS" w:eastAsia="en-GB"/>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Grid-Accent5221">
    <w:name w:val="Light Grid - Accent 5221"/>
    <w:basedOn w:val="TableNormal"/>
    <w:next w:val="LightGrid-Accent5"/>
    <w:uiPriority w:val="62"/>
    <w:rsid w:val="00C1281D"/>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Verdana" w:eastAsia="Times New Roman" w:hAnsi="Verdana"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Verdana" w:eastAsia="Times New Roman" w:hAnsi="Verdana"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Verdana" w:eastAsia="Times New Roman" w:hAnsi="Verdana" w:cs="Times New Roman"/>
        <w:b/>
        <w:bCs/>
      </w:rPr>
    </w:tblStylePr>
    <w:tblStylePr w:type="lastCol">
      <w:rPr>
        <w:rFonts w:ascii="Verdana" w:eastAsia="Times New Roman" w:hAnsi="Verdana"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List-Accent32111">
    <w:name w:val="Light List - Accent 32111"/>
    <w:basedOn w:val="TableNormal"/>
    <w:next w:val="LightList-Accent3"/>
    <w:uiPriority w:val="61"/>
    <w:rsid w:val="00C1281D"/>
    <w:pPr>
      <w:spacing w:after="0" w:line="240" w:lineRule="auto"/>
    </w:pPr>
    <w:rPr>
      <w:rFonts w:ascii="Calibri" w:eastAsia="Calibri" w:hAnsi="Calibri" w:cs="Times New Roman"/>
      <w:sz w:val="20"/>
      <w:szCs w:val="20"/>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311111">
    <w:name w:val="Light List - Accent 311111"/>
    <w:basedOn w:val="TableNormal"/>
    <w:next w:val="LightList-Accent3"/>
    <w:uiPriority w:val="61"/>
    <w:rsid w:val="00C1281D"/>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Shading-Accent13311">
    <w:name w:val="Light Shading - Accent 13311"/>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111">
    <w:name w:val="Light Shading - Accent 131111"/>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2111">
    <w:name w:val="Light Shading - Accent 132111"/>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211">
    <w:name w:val="Light Shading - Accent 11211"/>
    <w:basedOn w:val="TableNormal"/>
    <w:uiPriority w:val="60"/>
    <w:rsid w:val="00C1281D"/>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411">
    <w:name w:val="Light Shading - Accent 13411"/>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311">
    <w:name w:val="Light Shading - Accent 11311"/>
    <w:basedOn w:val="TableNormal"/>
    <w:uiPriority w:val="60"/>
    <w:rsid w:val="00C1281D"/>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511">
    <w:name w:val="Light Shading - Accent 13511"/>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621">
    <w:name w:val="Light Shading - Accent 13621"/>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711">
    <w:name w:val="Light Shading - Accent 13711"/>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tabele3211">
    <w:name w:val="tabele 3211"/>
    <w:basedOn w:val="TableNormal"/>
    <w:next w:val="LightList-Accent3"/>
    <w:uiPriority w:val="61"/>
    <w:rsid w:val="00C1281D"/>
    <w:pPr>
      <w:spacing w:after="0" w:line="240" w:lineRule="auto"/>
    </w:pPr>
    <w:rPr>
      <w:rFonts w:ascii="Cambria Math" w:eastAsia="Calibri" w:hAnsi="Cambria Math" w:cs="Times New Roman"/>
      <w:sz w:val="18"/>
      <w:lang w:val="sr-Cyrl-CS"/>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LightShading-Accent11411">
    <w:name w:val="Light Shading - Accent 11411"/>
    <w:basedOn w:val="TableNormal"/>
    <w:uiPriority w:val="60"/>
    <w:rsid w:val="00C1281D"/>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3341">
    <w:name w:val="Light Shading - Accent 3341"/>
    <w:basedOn w:val="TableNormal"/>
    <w:next w:val="LightShading-Accent3"/>
    <w:uiPriority w:val="60"/>
    <w:rsid w:val="00C1281D"/>
    <w:pPr>
      <w:spacing w:after="0" w:line="240" w:lineRule="auto"/>
    </w:pPr>
    <w:rPr>
      <w:rFonts w:ascii="Arial" w:eastAsia="Calibri" w:hAnsi="Arial" w:cs="Times New Roman"/>
      <w:color w:val="474747"/>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List-Accent5311">
    <w:name w:val="Light List - Accent 5311"/>
    <w:basedOn w:val="TableNormal"/>
    <w:next w:val="LightList-Accent5"/>
    <w:uiPriority w:val="61"/>
    <w:rsid w:val="00C1281D"/>
    <w:pPr>
      <w:spacing w:after="0" w:line="240" w:lineRule="auto"/>
    </w:pPr>
    <w:rPr>
      <w:rFonts w:ascii="Calibri" w:eastAsia="Calibri" w:hAnsi="Calibri" w:cs="Times New Roman"/>
      <w:sz w:val="20"/>
      <w:szCs w:val="20"/>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Shading-Accent31211">
    <w:name w:val="Light Shading - Accent 31211"/>
    <w:basedOn w:val="TableNormal"/>
    <w:next w:val="LightShading-Accent3"/>
    <w:uiPriority w:val="60"/>
    <w:rsid w:val="00C1281D"/>
    <w:pPr>
      <w:spacing w:after="0" w:line="240" w:lineRule="auto"/>
    </w:pPr>
    <w:rPr>
      <w:rFonts w:ascii="Constantia" w:eastAsia="Constantia" w:hAnsi="Constantia" w:cs="Times New Roman"/>
      <w:color w:val="8CADAE"/>
      <w:lang w:val="sr-Cyrl-CS"/>
    </w:rPr>
    <w:tblPr>
      <w:tblStyleRowBandSize w:val="1"/>
      <w:tblStyleColBandSize w:val="1"/>
      <w:tblBorders>
        <w:top w:val="single" w:sz="8" w:space="0" w:color="8CADAE"/>
        <w:bottom w:val="single" w:sz="8" w:space="0" w:color="8CADAE"/>
      </w:tblBorders>
    </w:tblPr>
    <w:tblStylePr w:type="fir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la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2EAEB"/>
      </w:tcPr>
    </w:tblStylePr>
    <w:tblStylePr w:type="band1Horz">
      <w:tblPr/>
      <w:tcPr>
        <w:tcBorders>
          <w:left w:val="nil"/>
          <w:right w:val="nil"/>
          <w:insideH w:val="nil"/>
          <w:insideV w:val="nil"/>
        </w:tcBorders>
        <w:shd w:val="clear" w:color="auto" w:fill="E2EAEB"/>
      </w:tcPr>
    </w:tblStylePr>
  </w:style>
  <w:style w:type="table" w:customStyle="1" w:styleId="LightList-Accent31311">
    <w:name w:val="Light List - Accent 31311"/>
    <w:basedOn w:val="TableNormal"/>
    <w:next w:val="LightList-Accent3"/>
    <w:uiPriority w:val="61"/>
    <w:rsid w:val="00C1281D"/>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51211">
    <w:name w:val="Light List - Accent 51211"/>
    <w:basedOn w:val="TableNormal"/>
    <w:next w:val="LightList-Accent5"/>
    <w:uiPriority w:val="61"/>
    <w:rsid w:val="00C1281D"/>
    <w:pPr>
      <w:spacing w:after="0" w:line="240" w:lineRule="auto"/>
    </w:pPr>
    <w:rPr>
      <w:rFonts w:ascii="Times New Roman" w:eastAsia="Constantia" w:hAnsi="Times New Roman" w:cs="Times New Roman"/>
      <w:lang w:val="sr-Cyrl-CS"/>
    </w:rPr>
    <w:tblPr>
      <w:tblStyleRowBandSize w:val="1"/>
      <w:tblStyleColBandSize w:val="1"/>
      <w:tblBorders>
        <w:top w:val="single" w:sz="8" w:space="0" w:color="8FB08C"/>
        <w:left w:val="single" w:sz="8" w:space="0" w:color="8FB08C"/>
        <w:bottom w:val="single" w:sz="8" w:space="0" w:color="8FB08C"/>
        <w:right w:val="single" w:sz="8" w:space="0" w:color="8FB08C"/>
      </w:tblBorders>
    </w:tblPr>
    <w:tblStylePr w:type="firstRow">
      <w:pPr>
        <w:spacing w:before="0" w:after="0" w:line="240" w:lineRule="auto"/>
      </w:pPr>
      <w:rPr>
        <w:b/>
        <w:bCs/>
        <w:color w:val="FFFFFF"/>
      </w:rPr>
      <w:tblPr/>
      <w:tcPr>
        <w:shd w:val="clear" w:color="auto" w:fill="8FB08C"/>
      </w:tcPr>
    </w:tblStylePr>
    <w:tblStylePr w:type="lastRow">
      <w:pPr>
        <w:spacing w:before="0" w:after="0" w:line="240" w:lineRule="auto"/>
      </w:pPr>
      <w:rPr>
        <w:b/>
        <w:bCs/>
      </w:rPr>
      <w:tblPr/>
      <w:tcPr>
        <w:tcBorders>
          <w:top w:val="double" w:sz="6" w:space="0" w:color="8FB08C"/>
          <w:left w:val="single" w:sz="8" w:space="0" w:color="8FB08C"/>
          <w:bottom w:val="single" w:sz="8" w:space="0" w:color="8FB08C"/>
          <w:right w:val="single" w:sz="8" w:space="0" w:color="8FB08C"/>
        </w:tcBorders>
      </w:tcPr>
    </w:tblStylePr>
    <w:tblStylePr w:type="firstCol">
      <w:rPr>
        <w:b/>
        <w:bCs/>
      </w:rPr>
    </w:tblStylePr>
    <w:tblStylePr w:type="lastCol">
      <w:rPr>
        <w:b/>
        <w:bCs/>
      </w:rPr>
    </w:tblStylePr>
    <w:tblStylePr w:type="band1Vert">
      <w:tblPr/>
      <w:tcPr>
        <w:tcBorders>
          <w:top w:val="single" w:sz="8" w:space="0" w:color="8FB08C"/>
          <w:left w:val="single" w:sz="8" w:space="0" w:color="8FB08C"/>
          <w:bottom w:val="single" w:sz="8" w:space="0" w:color="8FB08C"/>
          <w:right w:val="single" w:sz="8" w:space="0" w:color="8FB08C"/>
        </w:tcBorders>
      </w:tcPr>
    </w:tblStylePr>
    <w:tblStylePr w:type="band1Horz">
      <w:tblPr/>
      <w:tcPr>
        <w:tcBorders>
          <w:top w:val="single" w:sz="8" w:space="0" w:color="8FB08C"/>
          <w:left w:val="single" w:sz="8" w:space="0" w:color="8FB08C"/>
          <w:bottom w:val="single" w:sz="8" w:space="0" w:color="8FB08C"/>
          <w:right w:val="single" w:sz="8" w:space="0" w:color="8FB08C"/>
        </w:tcBorders>
      </w:tcPr>
    </w:tblStylePr>
  </w:style>
  <w:style w:type="table" w:customStyle="1" w:styleId="LightGrid-Accent51221">
    <w:name w:val="Light Grid - Accent 51221"/>
    <w:basedOn w:val="TableNormal"/>
    <w:next w:val="LightGrid-Accent5"/>
    <w:uiPriority w:val="62"/>
    <w:rsid w:val="00C1281D"/>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Verdana" w:eastAsia="Times New Roman" w:hAnsi="Verdan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Verdana" w:eastAsia="Times New Roman" w:hAnsi="Verdan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Verdana" w:eastAsia="Times New Roman" w:hAnsi="Verdana" w:cs="Times New Roman"/>
        <w:b/>
        <w:bCs/>
      </w:rPr>
    </w:tblStylePr>
    <w:tblStylePr w:type="lastCol">
      <w:rPr>
        <w:rFonts w:ascii="Verdana" w:eastAsia="Times New Roman" w:hAnsi="Verdan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11211">
    <w:name w:val="Светло сенчење – наглашавање 11211"/>
    <w:basedOn w:val="TableNormal"/>
    <w:uiPriority w:val="60"/>
    <w:rsid w:val="00C1281D"/>
    <w:pPr>
      <w:spacing w:after="0" w:line="240" w:lineRule="auto"/>
    </w:pPr>
    <w:rPr>
      <w:rFonts w:ascii="Calibri" w:eastAsia="Calibri" w:hAnsi="Calibri" w:cs="Times New Roman"/>
      <w:color w:val="365F91"/>
      <w:sz w:val="20"/>
      <w:szCs w:val="20"/>
      <w:lang w:val="sr-Latn-CS" w:eastAsia="en-GB"/>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Grid-Accent5321">
    <w:name w:val="Light Grid - Accent 5321"/>
    <w:basedOn w:val="TableNormal"/>
    <w:next w:val="LightGrid-Accent5"/>
    <w:uiPriority w:val="62"/>
    <w:rsid w:val="00C1281D"/>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Verdana" w:eastAsia="Times New Roman" w:hAnsi="Verdana"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Verdana" w:eastAsia="Times New Roman" w:hAnsi="Verdana"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Verdana" w:eastAsia="Times New Roman" w:hAnsi="Verdana" w:cs="Times New Roman"/>
        <w:b/>
        <w:bCs/>
      </w:rPr>
    </w:tblStylePr>
    <w:tblStylePr w:type="lastCol">
      <w:rPr>
        <w:rFonts w:ascii="Verdana" w:eastAsia="Times New Roman" w:hAnsi="Verdana"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List-Accent32211">
    <w:name w:val="Light List - Accent 32211"/>
    <w:basedOn w:val="TableNormal"/>
    <w:next w:val="LightList-Accent3"/>
    <w:uiPriority w:val="61"/>
    <w:rsid w:val="00C1281D"/>
    <w:pPr>
      <w:spacing w:after="0" w:line="240" w:lineRule="auto"/>
    </w:pPr>
    <w:rPr>
      <w:rFonts w:ascii="Calibri" w:eastAsia="Calibri" w:hAnsi="Calibri" w:cs="Times New Roman"/>
      <w:sz w:val="20"/>
      <w:szCs w:val="20"/>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311211">
    <w:name w:val="Light List - Accent 311211"/>
    <w:basedOn w:val="TableNormal"/>
    <w:next w:val="LightList-Accent3"/>
    <w:uiPriority w:val="61"/>
    <w:rsid w:val="00C1281D"/>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Shading-Accent13821">
    <w:name w:val="Light Shading - Accent 13821"/>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211">
    <w:name w:val="Light Shading - Accent 131211"/>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2211">
    <w:name w:val="Light Shading - Accent 132211"/>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511">
    <w:name w:val="Light Shading - Accent 11511"/>
    <w:basedOn w:val="TableNormal"/>
    <w:uiPriority w:val="60"/>
    <w:rsid w:val="00C1281D"/>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921">
    <w:name w:val="Light Shading - Accent 13921"/>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621">
    <w:name w:val="Light Shading - Accent 11621"/>
    <w:basedOn w:val="TableNormal"/>
    <w:uiPriority w:val="60"/>
    <w:rsid w:val="00C1281D"/>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021">
    <w:name w:val="Light Shading - Accent 131021"/>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311">
    <w:name w:val="Light Shading - Accent 131311"/>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tabele3311">
    <w:name w:val="tabele 3311"/>
    <w:basedOn w:val="TableNormal"/>
    <w:next w:val="LightList-Accent3"/>
    <w:uiPriority w:val="61"/>
    <w:rsid w:val="00C1281D"/>
    <w:pPr>
      <w:spacing w:after="0" w:line="240" w:lineRule="auto"/>
    </w:pPr>
    <w:rPr>
      <w:rFonts w:ascii="Cambria Math" w:eastAsia="Calibri" w:hAnsi="Cambria Math" w:cs="Times New Roman"/>
      <w:sz w:val="18"/>
      <w:lang w:val="sr-Cyrl-CS"/>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LightShading-Accent11711">
    <w:name w:val="Light Shading - Accent 11711"/>
    <w:basedOn w:val="TableNormal"/>
    <w:uiPriority w:val="60"/>
    <w:rsid w:val="00C1281D"/>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3431">
    <w:name w:val="Light Shading - Accent 3431"/>
    <w:basedOn w:val="TableNormal"/>
    <w:next w:val="LightShading-Accent3"/>
    <w:uiPriority w:val="60"/>
    <w:rsid w:val="00C1281D"/>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List-Accent5411">
    <w:name w:val="Light List - Accent 5411"/>
    <w:basedOn w:val="TableNormal"/>
    <w:next w:val="LightList-Accent5"/>
    <w:uiPriority w:val="61"/>
    <w:rsid w:val="00C1281D"/>
    <w:pPr>
      <w:spacing w:after="0" w:line="240" w:lineRule="auto"/>
    </w:pPr>
    <w:rPr>
      <w:rFonts w:ascii="Calibri" w:eastAsia="Calibri" w:hAnsi="Calibri" w:cs="Times New Roman"/>
      <w:sz w:val="20"/>
      <w:szCs w:val="20"/>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Shading-Accent31311">
    <w:name w:val="Light Shading - Accent 31311"/>
    <w:basedOn w:val="TableNormal"/>
    <w:next w:val="LightShading-Accent3"/>
    <w:uiPriority w:val="60"/>
    <w:rsid w:val="00C1281D"/>
    <w:pPr>
      <w:spacing w:after="0" w:line="240" w:lineRule="auto"/>
    </w:pPr>
    <w:rPr>
      <w:rFonts w:ascii="Constantia" w:eastAsia="Constantia" w:hAnsi="Constantia" w:cs="Times New Roman"/>
      <w:color w:val="8CADAE"/>
      <w:lang w:val="sr-Cyrl-CS"/>
    </w:rPr>
    <w:tblPr>
      <w:tblStyleRowBandSize w:val="1"/>
      <w:tblStyleColBandSize w:val="1"/>
      <w:tblBorders>
        <w:top w:val="single" w:sz="8" w:space="0" w:color="8CADAE"/>
        <w:bottom w:val="single" w:sz="8" w:space="0" w:color="8CADAE"/>
      </w:tblBorders>
    </w:tblPr>
    <w:tblStylePr w:type="fir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la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2EAEB"/>
      </w:tcPr>
    </w:tblStylePr>
    <w:tblStylePr w:type="band1Horz">
      <w:tblPr/>
      <w:tcPr>
        <w:tcBorders>
          <w:left w:val="nil"/>
          <w:right w:val="nil"/>
          <w:insideH w:val="nil"/>
          <w:insideV w:val="nil"/>
        </w:tcBorders>
        <w:shd w:val="clear" w:color="auto" w:fill="E2EAEB"/>
      </w:tcPr>
    </w:tblStylePr>
  </w:style>
  <w:style w:type="table" w:customStyle="1" w:styleId="LightList-Accent31411">
    <w:name w:val="Light List - Accent 31411"/>
    <w:basedOn w:val="TableNormal"/>
    <w:next w:val="LightList-Accent3"/>
    <w:uiPriority w:val="61"/>
    <w:rsid w:val="00C1281D"/>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51311">
    <w:name w:val="Light List - Accent 51311"/>
    <w:basedOn w:val="TableNormal"/>
    <w:next w:val="LightList-Accent5"/>
    <w:uiPriority w:val="61"/>
    <w:rsid w:val="00C1281D"/>
    <w:pPr>
      <w:spacing w:after="0" w:line="240" w:lineRule="auto"/>
    </w:pPr>
    <w:rPr>
      <w:rFonts w:ascii="Times New Roman" w:eastAsia="Constantia" w:hAnsi="Times New Roman" w:cs="Times New Roman"/>
      <w:lang w:val="sr-Cyrl-CS"/>
    </w:rPr>
    <w:tblPr>
      <w:tblStyleRowBandSize w:val="1"/>
      <w:tblStyleColBandSize w:val="1"/>
      <w:tblBorders>
        <w:top w:val="single" w:sz="8" w:space="0" w:color="8FB08C"/>
        <w:left w:val="single" w:sz="8" w:space="0" w:color="8FB08C"/>
        <w:bottom w:val="single" w:sz="8" w:space="0" w:color="8FB08C"/>
        <w:right w:val="single" w:sz="8" w:space="0" w:color="8FB08C"/>
      </w:tblBorders>
    </w:tblPr>
    <w:tblStylePr w:type="firstRow">
      <w:pPr>
        <w:spacing w:before="0" w:after="0" w:line="240" w:lineRule="auto"/>
      </w:pPr>
      <w:rPr>
        <w:b/>
        <w:bCs/>
        <w:color w:val="FFFFFF"/>
      </w:rPr>
      <w:tblPr/>
      <w:tcPr>
        <w:shd w:val="clear" w:color="auto" w:fill="8FB08C"/>
      </w:tcPr>
    </w:tblStylePr>
    <w:tblStylePr w:type="lastRow">
      <w:pPr>
        <w:spacing w:before="0" w:after="0" w:line="240" w:lineRule="auto"/>
      </w:pPr>
      <w:rPr>
        <w:b/>
        <w:bCs/>
      </w:rPr>
      <w:tblPr/>
      <w:tcPr>
        <w:tcBorders>
          <w:top w:val="double" w:sz="6" w:space="0" w:color="8FB08C"/>
          <w:left w:val="single" w:sz="8" w:space="0" w:color="8FB08C"/>
          <w:bottom w:val="single" w:sz="8" w:space="0" w:color="8FB08C"/>
          <w:right w:val="single" w:sz="8" w:space="0" w:color="8FB08C"/>
        </w:tcBorders>
      </w:tcPr>
    </w:tblStylePr>
    <w:tblStylePr w:type="firstCol">
      <w:rPr>
        <w:b/>
        <w:bCs/>
      </w:rPr>
    </w:tblStylePr>
    <w:tblStylePr w:type="lastCol">
      <w:rPr>
        <w:b/>
        <w:bCs/>
      </w:rPr>
    </w:tblStylePr>
    <w:tblStylePr w:type="band1Vert">
      <w:tblPr/>
      <w:tcPr>
        <w:tcBorders>
          <w:top w:val="single" w:sz="8" w:space="0" w:color="8FB08C"/>
          <w:left w:val="single" w:sz="8" w:space="0" w:color="8FB08C"/>
          <w:bottom w:val="single" w:sz="8" w:space="0" w:color="8FB08C"/>
          <w:right w:val="single" w:sz="8" w:space="0" w:color="8FB08C"/>
        </w:tcBorders>
      </w:tcPr>
    </w:tblStylePr>
    <w:tblStylePr w:type="band1Horz">
      <w:tblPr/>
      <w:tcPr>
        <w:tcBorders>
          <w:top w:val="single" w:sz="8" w:space="0" w:color="8FB08C"/>
          <w:left w:val="single" w:sz="8" w:space="0" w:color="8FB08C"/>
          <w:bottom w:val="single" w:sz="8" w:space="0" w:color="8FB08C"/>
          <w:right w:val="single" w:sz="8" w:space="0" w:color="8FB08C"/>
        </w:tcBorders>
      </w:tcPr>
    </w:tblStylePr>
  </w:style>
  <w:style w:type="table" w:customStyle="1" w:styleId="LightGrid-Accent51321">
    <w:name w:val="Light Grid - Accent 51321"/>
    <w:basedOn w:val="TableNormal"/>
    <w:next w:val="LightGrid-Accent5"/>
    <w:uiPriority w:val="62"/>
    <w:rsid w:val="00C1281D"/>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Verdana" w:eastAsia="Times New Roman" w:hAnsi="Verdan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Verdana" w:eastAsia="Times New Roman" w:hAnsi="Verdan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Verdana" w:eastAsia="Times New Roman" w:hAnsi="Verdana" w:cs="Times New Roman"/>
        <w:b/>
        <w:bCs/>
      </w:rPr>
    </w:tblStylePr>
    <w:tblStylePr w:type="lastCol">
      <w:rPr>
        <w:rFonts w:ascii="Verdana" w:eastAsia="Times New Roman" w:hAnsi="Verdan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11311">
    <w:name w:val="Светло сенчење – наглашавање 11311"/>
    <w:basedOn w:val="TableNormal"/>
    <w:uiPriority w:val="60"/>
    <w:rsid w:val="00C1281D"/>
    <w:pPr>
      <w:spacing w:after="0" w:line="240" w:lineRule="auto"/>
    </w:pPr>
    <w:rPr>
      <w:rFonts w:ascii="Calibri" w:eastAsia="Calibri" w:hAnsi="Calibri" w:cs="Times New Roman"/>
      <w:color w:val="365F91"/>
      <w:sz w:val="20"/>
      <w:szCs w:val="20"/>
      <w:lang w:val="sr-Latn-CS" w:eastAsia="en-GB"/>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Grid-Accent5421">
    <w:name w:val="Light Grid - Accent 5421"/>
    <w:basedOn w:val="TableNormal"/>
    <w:next w:val="LightGrid-Accent5"/>
    <w:uiPriority w:val="62"/>
    <w:rsid w:val="00C1281D"/>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Verdana" w:eastAsia="Times New Roman" w:hAnsi="Verdana"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Verdana" w:eastAsia="Times New Roman" w:hAnsi="Verdana"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Verdana" w:eastAsia="Times New Roman" w:hAnsi="Verdana" w:cs="Times New Roman"/>
        <w:b/>
        <w:bCs/>
      </w:rPr>
    </w:tblStylePr>
    <w:tblStylePr w:type="lastCol">
      <w:rPr>
        <w:rFonts w:ascii="Verdana" w:eastAsia="Times New Roman" w:hAnsi="Verdana"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Shading-Accent12311">
    <w:name w:val="Light Shading - Accent 12311"/>
    <w:basedOn w:val="TableNormal"/>
    <w:uiPriority w:val="60"/>
    <w:rsid w:val="00C1281D"/>
    <w:pPr>
      <w:spacing w:after="0" w:line="240" w:lineRule="auto"/>
    </w:pPr>
    <w:rPr>
      <w:rFonts w:ascii="Cambria" w:eastAsia="Calibri" w:hAnsi="Cambria" w:cs="Times New Roman"/>
      <w:color w:val="A8422A"/>
      <w:sz w:val="20"/>
      <w:szCs w:val="20"/>
      <w:lang w:val="en-GB" w:eastAsia="sr-Cyrl-CS"/>
    </w:rPr>
    <w:tblPr>
      <w:tblStyleRowBandSize w:val="1"/>
      <w:tblStyleColBandSize w:val="1"/>
      <w:tblBorders>
        <w:top w:val="single" w:sz="8" w:space="0" w:color="D16349"/>
        <w:bottom w:val="single" w:sz="8" w:space="0" w:color="D16349"/>
      </w:tblBorders>
    </w:tblPr>
    <w:tblStylePr w:type="fir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la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D8D2"/>
      </w:tcPr>
    </w:tblStylePr>
    <w:tblStylePr w:type="band1Horz">
      <w:tblPr/>
      <w:tcPr>
        <w:tcBorders>
          <w:left w:val="nil"/>
          <w:right w:val="nil"/>
          <w:insideH w:val="nil"/>
          <w:insideV w:val="nil"/>
        </w:tcBorders>
        <w:shd w:val="clear" w:color="auto" w:fill="F3D8D2"/>
      </w:tcPr>
    </w:tblStylePr>
  </w:style>
  <w:style w:type="table" w:customStyle="1" w:styleId="LightList-Accent32311">
    <w:name w:val="Light List - Accent 32311"/>
    <w:basedOn w:val="TableNormal"/>
    <w:next w:val="LightList-Accent3"/>
    <w:uiPriority w:val="61"/>
    <w:rsid w:val="00C1281D"/>
    <w:pPr>
      <w:spacing w:after="0" w:line="240" w:lineRule="auto"/>
    </w:pPr>
    <w:rPr>
      <w:rFonts w:ascii="Calibri" w:eastAsia="Calibri" w:hAnsi="Calibri" w:cs="Times New Roman"/>
      <w:sz w:val="20"/>
      <w:szCs w:val="20"/>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311311">
    <w:name w:val="Light List - Accent 311311"/>
    <w:basedOn w:val="TableNormal"/>
    <w:next w:val="LightList-Accent3"/>
    <w:uiPriority w:val="61"/>
    <w:rsid w:val="00C1281D"/>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Shading-Accent131411">
    <w:name w:val="Light Shading - Accent 131411"/>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511">
    <w:name w:val="Light Shading - Accent 131511"/>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2311">
    <w:name w:val="Light Shading - Accent 132311"/>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611">
    <w:name w:val="Light Shading - Accent 131611"/>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8111">
    <w:name w:val="Light Shading - Accent 138111"/>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811">
    <w:name w:val="Light Shading - Accent 11811"/>
    <w:basedOn w:val="TableNormal"/>
    <w:uiPriority w:val="60"/>
    <w:rsid w:val="00C1281D"/>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9111">
    <w:name w:val="Light Shading - Accent 139111"/>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6111">
    <w:name w:val="Light Shading - Accent 116111"/>
    <w:basedOn w:val="TableNormal"/>
    <w:uiPriority w:val="60"/>
    <w:rsid w:val="00C1281D"/>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0111">
    <w:name w:val="Light Shading - Accent 1310111"/>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6111">
    <w:name w:val="Light Shading - Accent 136111"/>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911">
    <w:name w:val="Light Shading - Accent 11911"/>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33111">
    <w:name w:val="Light Shading - Accent 33111"/>
    <w:basedOn w:val="TableNormal"/>
    <w:next w:val="LightShading-Accent3"/>
    <w:uiPriority w:val="60"/>
    <w:rsid w:val="00C1281D"/>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Shading-Accent33211">
    <w:name w:val="Light Shading - Accent 33211"/>
    <w:basedOn w:val="TableNormal"/>
    <w:next w:val="LightShading-Accent3"/>
    <w:uiPriority w:val="60"/>
    <w:rsid w:val="00C1281D"/>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Shading-Accent33311">
    <w:name w:val="Light Shading - Accent 33311"/>
    <w:basedOn w:val="TableNormal"/>
    <w:next w:val="LightShading-Accent3"/>
    <w:uiPriority w:val="60"/>
    <w:rsid w:val="00C1281D"/>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Shading-Accent34111">
    <w:name w:val="Light Shading - Accent 34111"/>
    <w:basedOn w:val="TableNormal"/>
    <w:next w:val="LightShading-Accent3"/>
    <w:uiPriority w:val="60"/>
    <w:rsid w:val="00C1281D"/>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Shading-Accent34211">
    <w:name w:val="Light Shading - Accent 34211"/>
    <w:basedOn w:val="TableNormal"/>
    <w:next w:val="LightShading-Accent3"/>
    <w:uiPriority w:val="60"/>
    <w:rsid w:val="00C1281D"/>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Grid-Accent51411">
    <w:name w:val="Light Grid - Accent 51411"/>
    <w:basedOn w:val="TableNormal"/>
    <w:next w:val="LightGrid-Accent5"/>
    <w:uiPriority w:val="62"/>
    <w:rsid w:val="00C1281D"/>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5511">
    <w:name w:val="Light Grid - Accent 5511"/>
    <w:basedOn w:val="TableNormal"/>
    <w:next w:val="LightGrid-Accent5"/>
    <w:uiPriority w:val="62"/>
    <w:rsid w:val="00C1281D"/>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Grid-Accent511111">
    <w:name w:val="Light Grid - Accent 511111"/>
    <w:basedOn w:val="TableNormal"/>
    <w:next w:val="LightGrid-Accent5"/>
    <w:uiPriority w:val="62"/>
    <w:rsid w:val="00C1281D"/>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52111">
    <w:name w:val="Light Grid - Accent 52111"/>
    <w:basedOn w:val="TableNormal"/>
    <w:next w:val="LightGrid-Accent5"/>
    <w:uiPriority w:val="62"/>
    <w:rsid w:val="00C1281D"/>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Grid-Accent512111">
    <w:name w:val="Light Grid - Accent 512111"/>
    <w:basedOn w:val="TableNormal"/>
    <w:next w:val="LightGrid-Accent5"/>
    <w:uiPriority w:val="62"/>
    <w:rsid w:val="00C1281D"/>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53111">
    <w:name w:val="Light Grid - Accent 53111"/>
    <w:basedOn w:val="TableNormal"/>
    <w:next w:val="LightGrid-Accent5"/>
    <w:uiPriority w:val="62"/>
    <w:rsid w:val="00C1281D"/>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Grid-Accent513111">
    <w:name w:val="Light Grid - Accent 513111"/>
    <w:basedOn w:val="TableNormal"/>
    <w:next w:val="LightGrid-Accent5"/>
    <w:uiPriority w:val="62"/>
    <w:rsid w:val="00C1281D"/>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54111">
    <w:name w:val="Light Grid - Accent 54111"/>
    <w:basedOn w:val="TableNormal"/>
    <w:next w:val="LightGrid-Accent5"/>
    <w:uiPriority w:val="62"/>
    <w:rsid w:val="00C1281D"/>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Shading-Accent621">
    <w:name w:val="Light Shading - Accent 621"/>
    <w:basedOn w:val="TableNormal"/>
    <w:next w:val="LightShading-Accent6"/>
    <w:uiPriority w:val="60"/>
    <w:rsid w:val="00C1281D"/>
    <w:pPr>
      <w:spacing w:after="0" w:line="240" w:lineRule="auto"/>
    </w:pPr>
    <w:rPr>
      <w:rFonts w:ascii="Calibri" w:eastAsia="Calibri" w:hAnsi="Calibri" w:cs="Times New Roman"/>
      <w:color w:val="393939"/>
      <w:sz w:val="20"/>
      <w:szCs w:val="20"/>
    </w:rPr>
    <w:tblPr>
      <w:tblStyleRowBandSize w:val="1"/>
      <w:tblStyleColBandSize w:val="1"/>
      <w:tblBorders>
        <w:top w:val="single" w:sz="8" w:space="0" w:color="4D4D4D"/>
        <w:bottom w:val="single" w:sz="8" w:space="0" w:color="4D4D4D"/>
      </w:tblBorders>
    </w:tblPr>
    <w:tblStylePr w:type="firstRow">
      <w:pPr>
        <w:spacing w:beforeLines="0" w:before="0" w:beforeAutospacing="0" w:afterLines="0" w:after="0" w:afterAutospacing="0" w:line="240" w:lineRule="auto"/>
      </w:pPr>
      <w:rPr>
        <w:b/>
        <w:bCs/>
      </w:rPr>
      <w:tblPr/>
      <w:tcPr>
        <w:tcBorders>
          <w:top w:val="single" w:sz="8" w:space="0" w:color="4D4D4D"/>
          <w:left w:val="nil"/>
          <w:bottom w:val="single" w:sz="8" w:space="0" w:color="4D4D4D"/>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4D4D4D"/>
          <w:left w:val="nil"/>
          <w:bottom w:val="single" w:sz="8" w:space="0" w:color="4D4D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3D3"/>
      </w:tcPr>
    </w:tblStylePr>
    <w:tblStylePr w:type="band1Horz">
      <w:tblPr/>
      <w:tcPr>
        <w:tcBorders>
          <w:left w:val="nil"/>
          <w:right w:val="nil"/>
          <w:insideH w:val="nil"/>
          <w:insideV w:val="nil"/>
        </w:tcBorders>
        <w:shd w:val="clear" w:color="auto" w:fill="D3D3D3"/>
      </w:tcPr>
    </w:tblStylePr>
  </w:style>
  <w:style w:type="table" w:customStyle="1" w:styleId="GridTable6Colorful-Accent421">
    <w:name w:val="Grid Table 6 Colorful - Accent 421"/>
    <w:basedOn w:val="TableNormal"/>
    <w:next w:val="GridTable6Colorful-Accent43"/>
    <w:uiPriority w:val="51"/>
    <w:rsid w:val="00C1281D"/>
    <w:pPr>
      <w:spacing w:after="0" w:line="240" w:lineRule="auto"/>
    </w:pPr>
    <w:rPr>
      <w:color w:val="5F5F5F"/>
    </w:rPr>
    <w:tblPr>
      <w:tblStyleRowBandSize w:val="1"/>
      <w:tblStyleColBandSize w:val="1"/>
      <w:tblBorders>
        <w:top w:val="single" w:sz="4" w:space="0" w:color="B2B2B2"/>
        <w:left w:val="single" w:sz="4" w:space="0" w:color="B2B2B2"/>
        <w:bottom w:val="single" w:sz="4" w:space="0" w:color="B2B2B2"/>
        <w:right w:val="single" w:sz="4" w:space="0" w:color="B2B2B2"/>
        <w:insideH w:val="single" w:sz="4" w:space="0" w:color="B2B2B2"/>
        <w:insideV w:val="single" w:sz="4" w:space="0" w:color="B2B2B2"/>
      </w:tblBorders>
    </w:tblPr>
    <w:tblStylePr w:type="firstRow">
      <w:rPr>
        <w:b/>
        <w:bCs/>
      </w:rPr>
      <w:tblPr/>
      <w:tcPr>
        <w:tcBorders>
          <w:bottom w:val="single" w:sz="12" w:space="0" w:color="B2B2B2"/>
        </w:tcBorders>
      </w:tcPr>
    </w:tblStylePr>
    <w:tblStylePr w:type="lastRow">
      <w:rPr>
        <w:b/>
        <w:bCs/>
      </w:rPr>
      <w:tblPr/>
      <w:tcPr>
        <w:tcBorders>
          <w:top w:val="double" w:sz="4" w:space="0" w:color="B2B2B2"/>
        </w:tcBorders>
      </w:tcPr>
    </w:tblStylePr>
    <w:tblStylePr w:type="firstCol">
      <w:rPr>
        <w:b/>
        <w:bCs/>
      </w:rPr>
    </w:tblStylePr>
    <w:tblStylePr w:type="lastCol">
      <w:rPr>
        <w:b/>
        <w:bCs/>
      </w:rPr>
    </w:tblStylePr>
    <w:tblStylePr w:type="band1Vert">
      <w:tblPr/>
      <w:tcPr>
        <w:shd w:val="clear" w:color="auto" w:fill="E5E5E5"/>
      </w:tcPr>
    </w:tblStylePr>
    <w:tblStylePr w:type="band1Horz">
      <w:tblPr/>
      <w:tcPr>
        <w:shd w:val="clear" w:color="auto" w:fill="E5E5E5"/>
      </w:tcPr>
    </w:tblStylePr>
  </w:style>
  <w:style w:type="table" w:customStyle="1" w:styleId="GridTable6Colorful-Accent321">
    <w:name w:val="Grid Table 6 Colorful - Accent 321"/>
    <w:basedOn w:val="TableNormal"/>
    <w:next w:val="GridTable6Colorful-Accent33"/>
    <w:uiPriority w:val="51"/>
    <w:rsid w:val="00C1281D"/>
    <w:pPr>
      <w:spacing w:after="0" w:line="240" w:lineRule="auto"/>
    </w:pPr>
    <w:rPr>
      <w:rFonts w:ascii="Calibri" w:eastAsia="Calibri" w:hAnsi="Calibri" w:cs="Times New Roman"/>
      <w:color w:val="707070"/>
      <w:sz w:val="20"/>
      <w:szCs w:val="20"/>
    </w:rPr>
    <w:tblPr>
      <w:tblStyleRowBandSize w:val="1"/>
      <w:tblStyleColBandSize w:val="1"/>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Pr>
    <w:tblStylePr w:type="firstRow">
      <w:rPr>
        <w:b/>
        <w:bCs/>
      </w:rPr>
      <w:tblPr/>
      <w:tcPr>
        <w:tcBorders>
          <w:bottom w:val="single" w:sz="12" w:space="0" w:color="C0C0C0"/>
        </w:tcBorders>
      </w:tcPr>
    </w:tblStylePr>
    <w:tblStylePr w:type="lastRow">
      <w:rPr>
        <w:b/>
        <w:bCs/>
      </w:rPr>
      <w:tblPr/>
      <w:tcPr>
        <w:tcBorders>
          <w:top w:val="double" w:sz="4" w:space="0" w:color="C0C0C0"/>
        </w:tcBorders>
      </w:tcPr>
    </w:tblStylePr>
    <w:tblStylePr w:type="firstCol">
      <w:rPr>
        <w:b/>
        <w:bCs/>
      </w:rPr>
    </w:tblStylePr>
    <w:tblStylePr w:type="lastCol">
      <w:rPr>
        <w:b/>
        <w:bCs/>
      </w:rPr>
    </w:tblStylePr>
    <w:tblStylePr w:type="band1Vert">
      <w:tblPr/>
      <w:tcPr>
        <w:shd w:val="clear" w:color="auto" w:fill="EAEAEA"/>
      </w:tcPr>
    </w:tblStylePr>
    <w:tblStylePr w:type="band1Horz">
      <w:tblPr/>
      <w:tcPr>
        <w:shd w:val="clear" w:color="auto" w:fill="EAEAEA"/>
      </w:tcPr>
    </w:tblStylePr>
  </w:style>
  <w:style w:type="table" w:customStyle="1" w:styleId="GridTable4-Accent521">
    <w:name w:val="Grid Table 4 - Accent 521"/>
    <w:basedOn w:val="TableNormal"/>
    <w:next w:val="GridTable4-Accent53"/>
    <w:uiPriority w:val="49"/>
    <w:rsid w:val="00C1281D"/>
    <w:pPr>
      <w:spacing w:after="0" w:line="240" w:lineRule="auto"/>
    </w:pPr>
    <w:rPr>
      <w:rFonts w:ascii="Calibri" w:eastAsia="Calibri" w:hAnsi="Calibri" w:cs="Times New Roman"/>
      <w:sz w:val="20"/>
      <w:szCs w:val="20"/>
    </w:rPr>
    <w:tblPr>
      <w:tblStyleRowBandSize w:val="1"/>
      <w:tblStyleColBandSize w:val="1"/>
      <w:tblBorders>
        <w:top w:val="single" w:sz="4" w:space="0" w:color="9F9F9F"/>
        <w:left w:val="single" w:sz="4" w:space="0" w:color="9F9F9F"/>
        <w:bottom w:val="single" w:sz="4" w:space="0" w:color="9F9F9F"/>
        <w:right w:val="single" w:sz="4" w:space="0" w:color="9F9F9F"/>
        <w:insideH w:val="single" w:sz="4" w:space="0" w:color="9F9F9F"/>
        <w:insideV w:val="single" w:sz="4" w:space="0" w:color="9F9F9F"/>
      </w:tblBorders>
    </w:tblPr>
    <w:tblStylePr w:type="firstRow">
      <w:rPr>
        <w:b/>
        <w:bCs/>
        <w:color w:val="FFFFFF"/>
      </w:rPr>
      <w:tblPr/>
      <w:tcPr>
        <w:tcBorders>
          <w:top w:val="single" w:sz="4" w:space="0" w:color="5F5F5F"/>
          <w:left w:val="single" w:sz="4" w:space="0" w:color="5F5F5F"/>
          <w:bottom w:val="single" w:sz="4" w:space="0" w:color="5F5F5F"/>
          <w:right w:val="single" w:sz="4" w:space="0" w:color="5F5F5F"/>
          <w:insideH w:val="nil"/>
          <w:insideV w:val="nil"/>
        </w:tcBorders>
        <w:shd w:val="clear" w:color="auto" w:fill="5F5F5F"/>
      </w:tcPr>
    </w:tblStylePr>
    <w:tblStylePr w:type="lastRow">
      <w:rPr>
        <w:b/>
        <w:bCs/>
      </w:rPr>
      <w:tblPr/>
      <w:tcPr>
        <w:tcBorders>
          <w:top w:val="double" w:sz="4" w:space="0" w:color="5F5F5F"/>
        </w:tcBorders>
      </w:tcPr>
    </w:tblStylePr>
    <w:tblStylePr w:type="firstCol">
      <w:rPr>
        <w:b/>
        <w:bCs/>
      </w:rPr>
    </w:tblStylePr>
    <w:tblStylePr w:type="lastCol">
      <w:rPr>
        <w:b/>
        <w:bCs/>
      </w:rPr>
    </w:tblStylePr>
    <w:tblStylePr w:type="band1Vert">
      <w:tblPr/>
      <w:tcPr>
        <w:shd w:val="clear" w:color="auto" w:fill="DFDFDF"/>
      </w:tcPr>
    </w:tblStylePr>
    <w:tblStylePr w:type="band1Horz">
      <w:tblPr/>
      <w:tcPr>
        <w:shd w:val="clear" w:color="auto" w:fill="DFDFDF"/>
      </w:tcPr>
    </w:tblStylePr>
  </w:style>
  <w:style w:type="table" w:customStyle="1" w:styleId="GridTable5Dark-Accent521">
    <w:name w:val="Grid Table 5 Dark - Accent 521"/>
    <w:basedOn w:val="TableNormal"/>
    <w:next w:val="GridTable5Dark-Accent53"/>
    <w:uiPriority w:val="50"/>
    <w:rsid w:val="00C1281D"/>
    <w:pPr>
      <w:spacing w:after="0" w:line="240" w:lineRule="auto"/>
    </w:pPr>
    <w:rPr>
      <w:rFonts w:ascii="Calibri" w:eastAsia="Calibri" w:hAnsi="Calibri" w:cs="Times New Roman"/>
      <w:sz w:val="20"/>
      <w:szCs w:val="20"/>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DFDFDF"/>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5F5F5F"/>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5F5F5F"/>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5F5F5F"/>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5F5F5F"/>
      </w:tcPr>
    </w:tblStylePr>
    <w:tblStylePr w:type="band1Vert">
      <w:tblPr/>
      <w:tcPr>
        <w:shd w:val="clear" w:color="auto" w:fill="BFBFBF"/>
      </w:tcPr>
    </w:tblStylePr>
    <w:tblStylePr w:type="band1Horz">
      <w:tblPr/>
      <w:tcPr>
        <w:shd w:val="clear" w:color="auto" w:fill="BFBFBF"/>
      </w:tcPr>
    </w:tblStylePr>
  </w:style>
  <w:style w:type="table" w:customStyle="1" w:styleId="110">
    <w:name w:val="ФС11"/>
    <w:basedOn w:val="TableNormal"/>
    <w:uiPriority w:val="99"/>
    <w:rsid w:val="00C1281D"/>
    <w:pPr>
      <w:spacing w:after="0" w:line="240" w:lineRule="auto"/>
    </w:pPr>
    <w:rPr>
      <w:rFonts w:ascii="Calibri" w:eastAsia="Calibri" w:hAnsi="Calibri" w:cs="Times New Roman"/>
      <w:sz w:val="20"/>
      <w:szCs w:val="20"/>
    </w:rPr>
    <w:tblPr/>
  </w:style>
  <w:style w:type="table" w:customStyle="1" w:styleId="ListTable6Colorful-Accent321">
    <w:name w:val="List Table 6 Colorful - Accent 321"/>
    <w:basedOn w:val="TableNormal"/>
    <w:next w:val="ListTable6Colorful-Accent33"/>
    <w:uiPriority w:val="51"/>
    <w:rsid w:val="00C1281D"/>
    <w:pPr>
      <w:spacing w:after="0" w:line="240" w:lineRule="auto"/>
    </w:pPr>
    <w:rPr>
      <w:rFonts w:ascii="Calibri" w:eastAsia="Calibri" w:hAnsi="Calibri" w:cs="Times New Roman"/>
      <w:color w:val="707070"/>
      <w:sz w:val="20"/>
      <w:szCs w:val="20"/>
    </w:rPr>
    <w:tblPr>
      <w:tblStyleRowBandSize w:val="1"/>
      <w:tblStyleColBandSize w:val="1"/>
      <w:tblBorders>
        <w:top w:val="single" w:sz="4" w:space="0" w:color="969696"/>
        <w:bottom w:val="single" w:sz="4" w:space="0" w:color="969696"/>
      </w:tblBorders>
    </w:tblPr>
    <w:tblStylePr w:type="firstRow">
      <w:rPr>
        <w:b/>
        <w:bCs/>
      </w:rPr>
      <w:tblPr/>
      <w:tcPr>
        <w:tcBorders>
          <w:bottom w:val="single" w:sz="4" w:space="0" w:color="969696"/>
        </w:tcBorders>
      </w:tcPr>
    </w:tblStylePr>
    <w:tblStylePr w:type="lastRow">
      <w:rPr>
        <w:b/>
        <w:bCs/>
      </w:rPr>
      <w:tblPr/>
      <w:tcPr>
        <w:tcBorders>
          <w:top w:val="double" w:sz="4" w:space="0" w:color="969696"/>
        </w:tcBorders>
      </w:tcPr>
    </w:tblStylePr>
    <w:tblStylePr w:type="firstCol">
      <w:rPr>
        <w:b/>
        <w:bCs/>
      </w:rPr>
    </w:tblStylePr>
    <w:tblStylePr w:type="lastCol">
      <w:rPr>
        <w:b/>
        <w:bCs/>
      </w:rPr>
    </w:tblStylePr>
    <w:tblStylePr w:type="band1Vert">
      <w:tblPr/>
      <w:tcPr>
        <w:shd w:val="clear" w:color="auto" w:fill="EAEAEA"/>
      </w:tcPr>
    </w:tblStylePr>
    <w:tblStylePr w:type="band1Horz">
      <w:tblPr/>
      <w:tcPr>
        <w:shd w:val="clear" w:color="auto" w:fill="EAEAEA"/>
      </w:tcPr>
    </w:tblStylePr>
  </w:style>
  <w:style w:type="table" w:customStyle="1" w:styleId="GridTable1Light-Accent121">
    <w:name w:val="Grid Table 1 Light - Accent 121"/>
    <w:basedOn w:val="TableNormal"/>
    <w:next w:val="GridTable1Light-Accent13"/>
    <w:uiPriority w:val="46"/>
    <w:rsid w:val="00C1281D"/>
    <w:pPr>
      <w:spacing w:after="0" w:line="240" w:lineRule="auto"/>
    </w:pPr>
    <w:tblPr>
      <w:tblStyleRowBandSize w:val="1"/>
      <w:tblStyleColBandSize w:val="1"/>
      <w:tblBorders>
        <w:top w:val="single" w:sz="4" w:space="0" w:color="F8B4A6"/>
        <w:left w:val="single" w:sz="4" w:space="0" w:color="F8B4A6"/>
        <w:bottom w:val="single" w:sz="4" w:space="0" w:color="F8B4A6"/>
        <w:right w:val="single" w:sz="4" w:space="0" w:color="F8B4A6"/>
        <w:insideH w:val="single" w:sz="4" w:space="0" w:color="F8B4A6"/>
        <w:insideV w:val="single" w:sz="4" w:space="0" w:color="F8B4A6"/>
      </w:tblBorders>
    </w:tblPr>
    <w:tblStylePr w:type="firstRow">
      <w:rPr>
        <w:b/>
        <w:bCs/>
      </w:rPr>
      <w:tblPr/>
      <w:tcPr>
        <w:tcBorders>
          <w:bottom w:val="single" w:sz="12" w:space="0" w:color="F58F7A"/>
        </w:tcBorders>
      </w:tcPr>
    </w:tblStylePr>
    <w:tblStylePr w:type="lastRow">
      <w:rPr>
        <w:b/>
        <w:bCs/>
      </w:rPr>
      <w:tblPr/>
      <w:tcPr>
        <w:tcBorders>
          <w:top w:val="double" w:sz="2" w:space="0" w:color="F58F7A"/>
        </w:tcBorders>
      </w:tcPr>
    </w:tblStylePr>
    <w:tblStylePr w:type="firstCol">
      <w:rPr>
        <w:b/>
        <w:bCs/>
      </w:rPr>
    </w:tblStylePr>
    <w:tblStylePr w:type="lastCol">
      <w:rPr>
        <w:b/>
        <w:bCs/>
      </w:rPr>
    </w:tblStylePr>
  </w:style>
  <w:style w:type="table" w:customStyle="1" w:styleId="ListTable1Light-Accent121">
    <w:name w:val="List Table 1 Light - Accent 121"/>
    <w:basedOn w:val="TableNormal"/>
    <w:next w:val="ListTable1Light-Accent13"/>
    <w:uiPriority w:val="46"/>
    <w:rsid w:val="00C1281D"/>
    <w:pPr>
      <w:spacing w:after="0" w:line="240" w:lineRule="auto"/>
    </w:pPr>
    <w:tblPr>
      <w:tblStyleRowBandSize w:val="1"/>
      <w:tblStyleColBandSize w:val="1"/>
    </w:tblPr>
    <w:tblStylePr w:type="firstRow">
      <w:rPr>
        <w:b/>
        <w:bCs/>
      </w:rPr>
      <w:tblPr/>
      <w:tcPr>
        <w:tcBorders>
          <w:bottom w:val="single" w:sz="4" w:space="0" w:color="F58F7A"/>
        </w:tcBorders>
      </w:tcPr>
    </w:tblStylePr>
    <w:tblStylePr w:type="lastRow">
      <w:rPr>
        <w:b/>
        <w:bCs/>
      </w:rPr>
      <w:tblPr/>
      <w:tcPr>
        <w:tcBorders>
          <w:top w:val="single" w:sz="4" w:space="0" w:color="F58F7A"/>
        </w:tcBorders>
      </w:tcPr>
    </w:tblStylePr>
    <w:tblStylePr w:type="firstCol">
      <w:rPr>
        <w:b/>
        <w:bCs/>
      </w:rPr>
    </w:tblStylePr>
    <w:tblStylePr w:type="lastCol">
      <w:rPr>
        <w:b/>
        <w:bCs/>
      </w:rPr>
    </w:tblStylePr>
    <w:tblStylePr w:type="band1Vert">
      <w:tblPr/>
      <w:tcPr>
        <w:shd w:val="clear" w:color="auto" w:fill="FBD9D2"/>
      </w:tcPr>
    </w:tblStylePr>
    <w:tblStylePr w:type="band1Horz">
      <w:tblPr/>
      <w:tcPr>
        <w:shd w:val="clear" w:color="auto" w:fill="FBD9D2"/>
      </w:tcPr>
    </w:tblStylePr>
  </w:style>
  <w:style w:type="table" w:customStyle="1" w:styleId="ListTable2-Accent121">
    <w:name w:val="List Table 2 - Accent 121"/>
    <w:basedOn w:val="TableNormal"/>
    <w:next w:val="ListTable2-Accent13"/>
    <w:uiPriority w:val="47"/>
    <w:rsid w:val="00C1281D"/>
    <w:pPr>
      <w:spacing w:after="0" w:line="240" w:lineRule="auto"/>
    </w:pPr>
    <w:tblPr>
      <w:tblStyleRowBandSize w:val="1"/>
      <w:tblStyleColBandSize w:val="1"/>
      <w:tblBorders>
        <w:top w:val="single" w:sz="4" w:space="0" w:color="F58F7A"/>
        <w:bottom w:val="single" w:sz="4" w:space="0" w:color="F58F7A"/>
        <w:insideH w:val="single" w:sz="4" w:space="0" w:color="F58F7A"/>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BD9D2"/>
      </w:tcPr>
    </w:tblStylePr>
    <w:tblStylePr w:type="band1Horz">
      <w:tblPr/>
      <w:tcPr>
        <w:shd w:val="clear" w:color="auto" w:fill="FBD9D2"/>
      </w:tcPr>
    </w:tblStylePr>
  </w:style>
  <w:style w:type="table" w:customStyle="1" w:styleId="ListTable2-Accent521">
    <w:name w:val="List Table 2 - Accent 521"/>
    <w:basedOn w:val="TableNormal"/>
    <w:next w:val="ListTable2-Accent53"/>
    <w:uiPriority w:val="47"/>
    <w:rsid w:val="00C1281D"/>
    <w:pPr>
      <w:spacing w:after="0" w:line="240" w:lineRule="auto"/>
    </w:pPr>
    <w:tblPr>
      <w:tblStyleRowBandSize w:val="1"/>
      <w:tblStyleColBandSize w:val="1"/>
      <w:tblBorders>
        <w:top w:val="single" w:sz="4" w:space="0" w:color="9F9F9F"/>
        <w:bottom w:val="single" w:sz="4" w:space="0" w:color="9F9F9F"/>
        <w:insideH w:val="single" w:sz="4" w:space="0" w:color="9F9F9F"/>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FDFDF"/>
      </w:tcPr>
    </w:tblStylePr>
    <w:tblStylePr w:type="band1Horz">
      <w:tblPr/>
      <w:tcPr>
        <w:shd w:val="clear" w:color="auto" w:fill="DFDFDF"/>
      </w:tcPr>
    </w:tblStylePr>
  </w:style>
  <w:style w:type="table" w:customStyle="1" w:styleId="GridTable2-Accent521">
    <w:name w:val="Grid Table 2 - Accent 521"/>
    <w:basedOn w:val="TableNormal"/>
    <w:next w:val="GridTable2-Accent53"/>
    <w:uiPriority w:val="47"/>
    <w:rsid w:val="00C1281D"/>
    <w:pPr>
      <w:spacing w:after="0" w:line="240" w:lineRule="auto"/>
    </w:pPr>
    <w:tblPr>
      <w:tblStyleRowBandSize w:val="1"/>
      <w:tblStyleColBandSize w:val="1"/>
      <w:tblBorders>
        <w:top w:val="single" w:sz="2" w:space="0" w:color="9F9F9F"/>
        <w:bottom w:val="single" w:sz="2" w:space="0" w:color="9F9F9F"/>
        <w:insideH w:val="single" w:sz="2" w:space="0" w:color="9F9F9F"/>
        <w:insideV w:val="single" w:sz="2" w:space="0" w:color="9F9F9F"/>
      </w:tblBorders>
    </w:tblPr>
    <w:tblStylePr w:type="firstRow">
      <w:rPr>
        <w:b/>
        <w:bCs/>
      </w:rPr>
      <w:tblPr/>
      <w:tcPr>
        <w:tcBorders>
          <w:top w:val="nil"/>
          <w:bottom w:val="single" w:sz="12" w:space="0" w:color="9F9F9F"/>
          <w:insideH w:val="nil"/>
          <w:insideV w:val="nil"/>
        </w:tcBorders>
        <w:shd w:val="clear" w:color="auto" w:fill="FFFFFF"/>
      </w:tcPr>
    </w:tblStylePr>
    <w:tblStylePr w:type="lastRow">
      <w:rPr>
        <w:b/>
        <w:bCs/>
      </w:rPr>
      <w:tblPr/>
      <w:tcPr>
        <w:tcBorders>
          <w:top w:val="double" w:sz="2" w:space="0" w:color="9F9F9F"/>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FDFDF"/>
      </w:tcPr>
    </w:tblStylePr>
    <w:tblStylePr w:type="band1Horz">
      <w:tblPr/>
      <w:tcPr>
        <w:shd w:val="clear" w:color="auto" w:fill="DFDFDF"/>
      </w:tcPr>
    </w:tblStylePr>
  </w:style>
  <w:style w:type="table" w:customStyle="1" w:styleId="GridTable6Colorful-Accent4111">
    <w:name w:val="Grid Table 6 Colorful - Accent 4111"/>
    <w:basedOn w:val="TableNormal"/>
    <w:uiPriority w:val="51"/>
    <w:rsid w:val="00C1281D"/>
    <w:pPr>
      <w:spacing w:after="0" w:line="240" w:lineRule="auto"/>
    </w:pPr>
    <w:rPr>
      <w:color w:val="5F5F5F"/>
    </w:rPr>
    <w:tblPr>
      <w:tblStyleRowBandSize w:val="1"/>
      <w:tblStyleColBandSize w:val="1"/>
      <w:tblBorders>
        <w:top w:val="single" w:sz="4" w:space="0" w:color="B2B2B2"/>
        <w:left w:val="single" w:sz="4" w:space="0" w:color="B2B2B2"/>
        <w:bottom w:val="single" w:sz="4" w:space="0" w:color="B2B2B2"/>
        <w:right w:val="single" w:sz="4" w:space="0" w:color="B2B2B2"/>
        <w:insideH w:val="single" w:sz="4" w:space="0" w:color="B2B2B2"/>
        <w:insideV w:val="single" w:sz="4" w:space="0" w:color="B2B2B2"/>
      </w:tblBorders>
    </w:tblPr>
    <w:tblStylePr w:type="firstRow">
      <w:rPr>
        <w:b/>
        <w:bCs/>
      </w:rPr>
      <w:tblPr/>
      <w:tcPr>
        <w:tcBorders>
          <w:bottom w:val="single" w:sz="12" w:space="0" w:color="B2B2B2"/>
        </w:tcBorders>
      </w:tcPr>
    </w:tblStylePr>
    <w:tblStylePr w:type="lastRow">
      <w:rPr>
        <w:b/>
        <w:bCs/>
      </w:rPr>
      <w:tblPr/>
      <w:tcPr>
        <w:tcBorders>
          <w:top w:val="double" w:sz="4" w:space="0" w:color="B2B2B2"/>
        </w:tcBorders>
      </w:tcPr>
    </w:tblStylePr>
    <w:tblStylePr w:type="firstCol">
      <w:rPr>
        <w:b/>
        <w:bCs/>
      </w:rPr>
    </w:tblStylePr>
    <w:tblStylePr w:type="lastCol">
      <w:rPr>
        <w:b/>
        <w:bCs/>
      </w:rPr>
    </w:tblStylePr>
    <w:tblStylePr w:type="band1Vert">
      <w:tblPr/>
      <w:tcPr>
        <w:shd w:val="clear" w:color="auto" w:fill="E5E5E5"/>
      </w:tcPr>
    </w:tblStylePr>
    <w:tblStylePr w:type="band1Horz">
      <w:tblPr/>
      <w:tcPr>
        <w:shd w:val="clear" w:color="auto" w:fill="E5E5E5"/>
      </w:tcPr>
    </w:tblStylePr>
  </w:style>
  <w:style w:type="table" w:customStyle="1" w:styleId="GridTable6Colorful-Accent3111">
    <w:name w:val="Grid Table 6 Colorful - Accent 3111"/>
    <w:basedOn w:val="TableNormal"/>
    <w:uiPriority w:val="51"/>
    <w:rsid w:val="00C1281D"/>
    <w:pPr>
      <w:spacing w:after="0" w:line="240" w:lineRule="auto"/>
    </w:pPr>
    <w:rPr>
      <w:rFonts w:ascii="Calibri" w:eastAsia="Calibri" w:hAnsi="Calibri" w:cs="Times New Roman"/>
      <w:color w:val="707070"/>
      <w:sz w:val="20"/>
      <w:szCs w:val="20"/>
    </w:rPr>
    <w:tblPr>
      <w:tblStyleRowBandSize w:val="1"/>
      <w:tblStyleColBandSize w:val="1"/>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Pr>
    <w:tblStylePr w:type="firstRow">
      <w:rPr>
        <w:b/>
        <w:bCs/>
      </w:rPr>
      <w:tblPr/>
      <w:tcPr>
        <w:tcBorders>
          <w:bottom w:val="single" w:sz="12" w:space="0" w:color="C0C0C0"/>
        </w:tcBorders>
      </w:tcPr>
    </w:tblStylePr>
    <w:tblStylePr w:type="lastRow">
      <w:rPr>
        <w:b/>
        <w:bCs/>
      </w:rPr>
      <w:tblPr/>
      <w:tcPr>
        <w:tcBorders>
          <w:top w:val="double" w:sz="4" w:space="0" w:color="C0C0C0"/>
        </w:tcBorders>
      </w:tcPr>
    </w:tblStylePr>
    <w:tblStylePr w:type="firstCol">
      <w:rPr>
        <w:b/>
        <w:bCs/>
      </w:rPr>
    </w:tblStylePr>
    <w:tblStylePr w:type="lastCol">
      <w:rPr>
        <w:b/>
        <w:bCs/>
      </w:rPr>
    </w:tblStylePr>
    <w:tblStylePr w:type="band1Vert">
      <w:tblPr/>
      <w:tcPr>
        <w:shd w:val="clear" w:color="auto" w:fill="EAEAEA"/>
      </w:tcPr>
    </w:tblStylePr>
    <w:tblStylePr w:type="band1Horz">
      <w:tblPr/>
      <w:tcPr>
        <w:shd w:val="clear" w:color="auto" w:fill="EAEAEA"/>
      </w:tcPr>
    </w:tblStylePr>
  </w:style>
  <w:style w:type="table" w:customStyle="1" w:styleId="TableGrid211">
    <w:name w:val="Table Grid211"/>
    <w:basedOn w:val="TableNormal"/>
    <w:next w:val="TableGrid"/>
    <w:uiPriority w:val="39"/>
    <w:rsid w:val="00C1281D"/>
    <w:pPr>
      <w:spacing w:before="120" w:after="120" w:line="264" w:lineRule="auto"/>
      <w:ind w:left="115" w:right="115"/>
    </w:pPr>
    <w:rPr>
      <w:rFonts w:eastAsia="MS PGothic"/>
      <w:sz w:val="20"/>
      <w:szCs w:val="20"/>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
    <w:tcPr>
      <w:vAlign w:val="center"/>
    </w:tcPr>
    <w:tblStylePr w:type="firstRow">
      <w:pPr>
        <w:wordWrap/>
        <w:jc w:val="center"/>
      </w:pPr>
      <w:rPr>
        <w:b/>
        <w:i w:val="0"/>
        <w:sz w:val="22"/>
      </w:rPr>
    </w:tblStylePr>
    <w:tblStylePr w:type="lastRow">
      <w:rPr>
        <w:b/>
        <w:i w:val="0"/>
        <w:sz w:val="22"/>
      </w:rPr>
      <w:tblPr/>
      <w:tcPr>
        <w:tcBorders>
          <w:top w:val="double" w:sz="4" w:space="0" w:color="auto"/>
          <w:left w:val="single" w:sz="4" w:space="0" w:color="auto"/>
          <w:bottom w:val="single" w:sz="18" w:space="0" w:color="auto"/>
          <w:right w:val="single" w:sz="4" w:space="0" w:color="auto"/>
          <w:insideH w:val="nil"/>
          <w:insideV w:val="single" w:sz="4" w:space="0" w:color="auto"/>
          <w:tl2br w:val="nil"/>
          <w:tr2bl w:val="nil"/>
        </w:tcBorders>
      </w:tcPr>
    </w:tblStylePr>
  </w:style>
  <w:style w:type="table" w:customStyle="1" w:styleId="LightShading-Accent12411">
    <w:name w:val="Light Shading - Accent 12411"/>
    <w:basedOn w:val="TableNormal"/>
    <w:uiPriority w:val="60"/>
    <w:rsid w:val="00C1281D"/>
    <w:pPr>
      <w:spacing w:after="0" w:line="264" w:lineRule="auto"/>
    </w:pPr>
    <w:rPr>
      <w:rFonts w:ascii="Cambria" w:eastAsia="Calibri" w:hAnsi="Cambria" w:cs="Times New Roman"/>
      <w:color w:val="A8422A"/>
      <w:sz w:val="20"/>
      <w:szCs w:val="20"/>
      <w:lang w:val="en-GB" w:eastAsia="sr-Cyrl-CS"/>
    </w:rPr>
    <w:tblPr>
      <w:tblStyleRowBandSize w:val="1"/>
      <w:tblStyleColBandSize w:val="1"/>
      <w:tblBorders>
        <w:top w:val="single" w:sz="8" w:space="0" w:color="D16349"/>
        <w:bottom w:val="single" w:sz="8" w:space="0" w:color="D16349"/>
      </w:tblBorders>
    </w:tblPr>
    <w:tblStylePr w:type="fir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la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D8D2"/>
      </w:tcPr>
    </w:tblStylePr>
    <w:tblStylePr w:type="band1Horz">
      <w:tblPr/>
      <w:tcPr>
        <w:tcBorders>
          <w:left w:val="nil"/>
          <w:right w:val="nil"/>
          <w:insideH w:val="nil"/>
          <w:insideV w:val="nil"/>
        </w:tcBorders>
        <w:shd w:val="clear" w:color="auto" w:fill="F3D8D2"/>
      </w:tcPr>
    </w:tblStylePr>
  </w:style>
  <w:style w:type="table" w:customStyle="1" w:styleId="LightShading-Accent12511">
    <w:name w:val="Light Shading - Accent 12511"/>
    <w:basedOn w:val="TableNormal"/>
    <w:uiPriority w:val="60"/>
    <w:rsid w:val="00C1281D"/>
    <w:pPr>
      <w:spacing w:after="0" w:line="240" w:lineRule="auto"/>
    </w:pPr>
    <w:rPr>
      <w:rFonts w:ascii="Cambria" w:eastAsia="Calibri" w:hAnsi="Cambria" w:cs="Times New Roman"/>
      <w:color w:val="A8422A"/>
      <w:sz w:val="20"/>
      <w:szCs w:val="20"/>
      <w:lang w:val="en-GB" w:eastAsia="sr-Cyrl-CS"/>
    </w:rPr>
    <w:tblPr>
      <w:tblStyleRowBandSize w:val="1"/>
      <w:tblStyleColBandSize w:val="1"/>
      <w:tblBorders>
        <w:top w:val="single" w:sz="8" w:space="0" w:color="D16349"/>
        <w:bottom w:val="single" w:sz="8" w:space="0" w:color="D16349"/>
      </w:tblBorders>
    </w:tblPr>
    <w:tblStylePr w:type="fir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la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D8D2"/>
      </w:tcPr>
    </w:tblStylePr>
    <w:tblStylePr w:type="band1Horz">
      <w:tblPr/>
      <w:tcPr>
        <w:tcBorders>
          <w:left w:val="nil"/>
          <w:right w:val="nil"/>
          <w:insideH w:val="nil"/>
          <w:insideV w:val="nil"/>
        </w:tcBorders>
        <w:shd w:val="clear" w:color="auto" w:fill="F3D8D2"/>
      </w:tcPr>
    </w:tblStylePr>
  </w:style>
  <w:style w:type="table" w:customStyle="1" w:styleId="LightShading2">
    <w:name w:val="Light Shading2"/>
    <w:basedOn w:val="TableNormal"/>
    <w:next w:val="LightShading"/>
    <w:uiPriority w:val="60"/>
    <w:semiHidden/>
    <w:unhideWhenUsed/>
    <w:rsid w:val="00C1281D"/>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GridTable6Colorful-Accent540">
    <w:name w:val="Grid Table 6 Colorful - Accent 54"/>
    <w:basedOn w:val="TableNormal"/>
    <w:next w:val="GridTable6Colorful-Accent54"/>
    <w:uiPriority w:val="51"/>
    <w:rsid w:val="00C1281D"/>
    <w:pPr>
      <w:spacing w:after="0" w:line="240" w:lineRule="auto"/>
    </w:pPr>
    <w:rPr>
      <w:color w:val="2F5496" w:themeColor="accent5" w:themeShade="BF"/>
    </w:r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4" w:space="0" w:color="8EAADB" w:themeColor="accent5" w:themeTint="99"/>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customStyle="1" w:styleId="GridTable6Colorful-Accent130">
    <w:name w:val="Grid Table 6 Colorful - Accent 13"/>
    <w:basedOn w:val="TableNormal"/>
    <w:next w:val="GridTable6Colorful-Accent13"/>
    <w:uiPriority w:val="51"/>
    <w:rsid w:val="00C1281D"/>
    <w:pPr>
      <w:spacing w:after="0" w:line="240" w:lineRule="auto"/>
    </w:pPr>
    <w:rPr>
      <w:color w:val="2E74B5" w:themeColor="accent1" w:themeShade="BF"/>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customStyle="1" w:styleId="LightShading-Accent15">
    <w:name w:val="Light Shading - Accent 15"/>
    <w:basedOn w:val="TableNormal"/>
    <w:next w:val="LightShading-Accent1"/>
    <w:uiPriority w:val="60"/>
    <w:semiHidden/>
    <w:unhideWhenUsed/>
    <w:rsid w:val="00C1281D"/>
    <w:pPr>
      <w:spacing w:after="0" w:line="240" w:lineRule="auto"/>
    </w:pPr>
    <w:rPr>
      <w:color w:val="2E74B5" w:themeColor="accent1" w:themeShade="BF"/>
    </w:rPr>
    <w:tblPr>
      <w:tblStyleRowBandSize w:val="1"/>
      <w:tblStyleColBandSize w:val="1"/>
      <w:tblBorders>
        <w:top w:val="single" w:sz="8" w:space="0" w:color="5B9BD5" w:themeColor="accent1"/>
        <w:bottom w:val="single" w:sz="8" w:space="0" w:color="5B9BD5" w:themeColor="accent1"/>
      </w:tblBorders>
    </w:tblPr>
    <w:tblStylePr w:type="firstRow">
      <w:pPr>
        <w:spacing w:before="0" w:after="0" w:line="240" w:lineRule="auto"/>
      </w:pPr>
      <w:rPr>
        <w:b/>
        <w:bCs/>
      </w:rPr>
      <w:tblPr/>
      <w:tcPr>
        <w:tcBorders>
          <w:top w:val="single" w:sz="8" w:space="0" w:color="5B9BD5" w:themeColor="accent1"/>
          <w:left w:val="nil"/>
          <w:bottom w:val="single" w:sz="8" w:space="0" w:color="5B9BD5" w:themeColor="accent1"/>
          <w:right w:val="nil"/>
          <w:insideH w:val="nil"/>
          <w:insideV w:val="nil"/>
        </w:tcBorders>
      </w:tcPr>
    </w:tblStylePr>
    <w:tblStylePr w:type="lastRow">
      <w:pPr>
        <w:spacing w:before="0" w:after="0" w:line="240" w:lineRule="auto"/>
      </w:pPr>
      <w:rPr>
        <w:b/>
        <w:bCs/>
      </w:rPr>
      <w:tblPr/>
      <w:tcPr>
        <w:tcBorders>
          <w:top w:val="single" w:sz="8" w:space="0" w:color="5B9BD5" w:themeColor="accent1"/>
          <w:left w:val="nil"/>
          <w:bottom w:val="single" w:sz="8" w:space="0" w:color="5B9BD5"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6F4" w:themeFill="accent1" w:themeFillTint="3F"/>
      </w:tcPr>
    </w:tblStylePr>
    <w:tblStylePr w:type="band1Horz">
      <w:tblPr/>
      <w:tcPr>
        <w:tcBorders>
          <w:left w:val="nil"/>
          <w:right w:val="nil"/>
          <w:insideH w:val="nil"/>
          <w:insideV w:val="nil"/>
        </w:tcBorders>
        <w:shd w:val="clear" w:color="auto" w:fill="D6E6F4" w:themeFill="accent1" w:themeFillTint="3F"/>
      </w:tcPr>
    </w:tblStylePr>
  </w:style>
  <w:style w:type="table" w:customStyle="1" w:styleId="LightShading-Accent63">
    <w:name w:val="Light Shading - Accent 63"/>
    <w:basedOn w:val="TableNormal"/>
    <w:next w:val="LightShading-Accent6"/>
    <w:uiPriority w:val="60"/>
    <w:semiHidden/>
    <w:unhideWhenUsed/>
    <w:rsid w:val="00C1281D"/>
    <w:pPr>
      <w:spacing w:after="0" w:line="240" w:lineRule="auto"/>
    </w:pPr>
    <w:rPr>
      <w:color w:val="538135" w:themeColor="accent6" w:themeShade="BF"/>
    </w:rPr>
    <w:tblPr>
      <w:tblStyleRowBandSize w:val="1"/>
      <w:tblStyleColBandSize w:val="1"/>
      <w:tblBorders>
        <w:top w:val="single" w:sz="8" w:space="0" w:color="70AD47" w:themeColor="accent6"/>
        <w:bottom w:val="single" w:sz="8" w:space="0" w:color="70AD47" w:themeColor="accent6"/>
      </w:tblBorders>
    </w:tblPr>
    <w:tblStylePr w:type="firstRow">
      <w:pPr>
        <w:spacing w:before="0" w:after="0" w:line="240" w:lineRule="auto"/>
      </w:pPr>
      <w:rPr>
        <w:b/>
        <w:bCs/>
      </w:rPr>
      <w:tblPr/>
      <w:tcPr>
        <w:tcBorders>
          <w:top w:val="single" w:sz="8" w:space="0" w:color="70AD47" w:themeColor="accent6"/>
          <w:left w:val="nil"/>
          <w:bottom w:val="single" w:sz="8" w:space="0" w:color="70AD47" w:themeColor="accent6"/>
          <w:right w:val="nil"/>
          <w:insideH w:val="nil"/>
          <w:insideV w:val="nil"/>
        </w:tcBorders>
      </w:tcPr>
    </w:tblStylePr>
    <w:tblStylePr w:type="lastRow">
      <w:pPr>
        <w:spacing w:before="0" w:after="0" w:line="240" w:lineRule="auto"/>
      </w:pPr>
      <w:rPr>
        <w:b/>
        <w:bCs/>
      </w:rPr>
      <w:tblPr/>
      <w:tcPr>
        <w:tcBorders>
          <w:top w:val="single" w:sz="8" w:space="0" w:color="70AD47" w:themeColor="accent6"/>
          <w:left w:val="nil"/>
          <w:bottom w:val="single" w:sz="8" w:space="0" w:color="70AD47"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BEBD0" w:themeFill="accent6" w:themeFillTint="3F"/>
      </w:tcPr>
    </w:tblStylePr>
    <w:tblStylePr w:type="band1Horz">
      <w:tblPr/>
      <w:tcPr>
        <w:tcBorders>
          <w:left w:val="nil"/>
          <w:right w:val="nil"/>
          <w:insideH w:val="nil"/>
          <w:insideV w:val="nil"/>
        </w:tcBorders>
        <w:shd w:val="clear" w:color="auto" w:fill="DBEBD0" w:themeFill="accent6" w:themeFillTint="3F"/>
      </w:tcPr>
    </w:tblStylePr>
  </w:style>
  <w:style w:type="table" w:customStyle="1" w:styleId="GridTable6Colorful-Accent430">
    <w:name w:val="Grid Table 6 Colorful - Accent 43"/>
    <w:basedOn w:val="TableNormal"/>
    <w:next w:val="GridTable6Colorful-Accent43"/>
    <w:uiPriority w:val="51"/>
    <w:rsid w:val="00C1281D"/>
    <w:pPr>
      <w:spacing w:after="0" w:line="240" w:lineRule="auto"/>
    </w:pPr>
    <w:rPr>
      <w:color w:val="BF8F00" w:themeColor="accent4" w:themeShade="BF"/>
    </w:rPr>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insideV w:val="single" w:sz="4" w:space="0" w:color="FFD966" w:themeColor="accent4" w:themeTint="99"/>
      </w:tblBorders>
    </w:tblPr>
    <w:tblStylePr w:type="firstRow">
      <w:rPr>
        <w:b/>
        <w:bCs/>
      </w:rPr>
      <w:tblPr/>
      <w:tcPr>
        <w:tcBorders>
          <w:bottom w:val="single" w:sz="12" w:space="0" w:color="FFD966" w:themeColor="accent4" w:themeTint="99"/>
        </w:tcBorders>
      </w:tcPr>
    </w:tblStylePr>
    <w:tblStylePr w:type="lastRow">
      <w:rPr>
        <w:b/>
        <w:bCs/>
      </w:rPr>
      <w:tblPr/>
      <w:tcPr>
        <w:tcBorders>
          <w:top w:val="double" w:sz="4" w:space="0" w:color="FFD966" w:themeColor="accent4" w:themeTint="99"/>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customStyle="1" w:styleId="GridTable6Colorful-Accent330">
    <w:name w:val="Grid Table 6 Colorful - Accent 33"/>
    <w:basedOn w:val="TableNormal"/>
    <w:next w:val="GridTable6Colorful-Accent33"/>
    <w:uiPriority w:val="51"/>
    <w:rsid w:val="00C1281D"/>
    <w:pPr>
      <w:spacing w:after="0" w:line="240" w:lineRule="auto"/>
    </w:pPr>
    <w:rPr>
      <w:color w:val="7B7B7B" w:themeColor="accent3" w:themeShade="BF"/>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customStyle="1" w:styleId="GridTable4-Accent530">
    <w:name w:val="Grid Table 4 - Accent 53"/>
    <w:basedOn w:val="TableNormal"/>
    <w:next w:val="GridTable4-Accent53"/>
    <w:uiPriority w:val="49"/>
    <w:rsid w:val="00C1281D"/>
    <w:pPr>
      <w:spacing w:after="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customStyle="1" w:styleId="GridTable5Dark-Accent530">
    <w:name w:val="Grid Table 5 Dark - Accent 53"/>
    <w:basedOn w:val="TableNormal"/>
    <w:next w:val="GridTable5Dark-Accent53"/>
    <w:uiPriority w:val="50"/>
    <w:rsid w:val="00C1281D"/>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9E2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472C4"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472C4"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472C4"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472C4" w:themeFill="accent5"/>
      </w:tcPr>
    </w:tblStylePr>
    <w:tblStylePr w:type="band1Vert">
      <w:tblPr/>
      <w:tcPr>
        <w:shd w:val="clear" w:color="auto" w:fill="B4C6E7" w:themeFill="accent5" w:themeFillTint="66"/>
      </w:tcPr>
    </w:tblStylePr>
    <w:tblStylePr w:type="band1Horz">
      <w:tblPr/>
      <w:tcPr>
        <w:shd w:val="clear" w:color="auto" w:fill="B4C6E7" w:themeFill="accent5" w:themeFillTint="66"/>
      </w:tcPr>
    </w:tblStylePr>
  </w:style>
  <w:style w:type="table" w:customStyle="1" w:styleId="ListTable6Colorful-Accent330">
    <w:name w:val="List Table 6 Colorful - Accent 33"/>
    <w:basedOn w:val="TableNormal"/>
    <w:next w:val="ListTable6Colorful-Accent33"/>
    <w:uiPriority w:val="51"/>
    <w:rsid w:val="00C1281D"/>
    <w:pPr>
      <w:spacing w:after="0" w:line="240" w:lineRule="auto"/>
    </w:pPr>
    <w:rPr>
      <w:color w:val="7B7B7B" w:themeColor="accent3" w:themeShade="BF"/>
    </w:rPr>
    <w:tblPr>
      <w:tblStyleRowBandSize w:val="1"/>
      <w:tblStyleColBandSize w:val="1"/>
      <w:tblBorders>
        <w:top w:val="single" w:sz="4" w:space="0" w:color="A5A5A5" w:themeColor="accent3"/>
        <w:bottom w:val="single" w:sz="4" w:space="0" w:color="A5A5A5" w:themeColor="accent3"/>
      </w:tblBorders>
    </w:tblPr>
    <w:tblStylePr w:type="firstRow">
      <w:rPr>
        <w:b/>
        <w:bCs/>
      </w:rPr>
      <w:tblPr/>
      <w:tcPr>
        <w:tcBorders>
          <w:bottom w:val="single" w:sz="4" w:space="0" w:color="A5A5A5" w:themeColor="accent3"/>
        </w:tcBorders>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customStyle="1" w:styleId="GridTable1Light-Accent130">
    <w:name w:val="Grid Table 1 Light - Accent 13"/>
    <w:basedOn w:val="TableNormal"/>
    <w:next w:val="GridTable1Light-Accent13"/>
    <w:uiPriority w:val="46"/>
    <w:rsid w:val="00C1281D"/>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customStyle="1" w:styleId="ListTable1Light-Accent130">
    <w:name w:val="List Table 1 Light - Accent 13"/>
    <w:basedOn w:val="TableNormal"/>
    <w:next w:val="ListTable1Light-Accent13"/>
    <w:uiPriority w:val="46"/>
    <w:rsid w:val="00C1281D"/>
    <w:pPr>
      <w:spacing w:after="0" w:line="240" w:lineRule="auto"/>
    </w:pPr>
    <w:tblPr>
      <w:tblStyleRowBandSize w:val="1"/>
      <w:tblStyleColBandSize w:val="1"/>
    </w:tblPr>
    <w:tblStylePr w:type="firstRow">
      <w:rPr>
        <w:b/>
        <w:bCs/>
      </w:rPr>
      <w:tblPr/>
      <w:tcPr>
        <w:tcBorders>
          <w:bottom w:val="single" w:sz="4" w:space="0" w:color="9CC2E5" w:themeColor="accent1" w:themeTint="99"/>
        </w:tcBorders>
      </w:tcPr>
    </w:tblStylePr>
    <w:tblStylePr w:type="lastRow">
      <w:rPr>
        <w:b/>
        <w:bCs/>
      </w:rPr>
      <w:tblPr/>
      <w:tcPr>
        <w:tcBorders>
          <w:top w:val="sing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customStyle="1" w:styleId="ListTable2-Accent130">
    <w:name w:val="List Table 2 - Accent 13"/>
    <w:basedOn w:val="TableNormal"/>
    <w:next w:val="ListTable2-Accent13"/>
    <w:uiPriority w:val="47"/>
    <w:rsid w:val="00C1281D"/>
    <w:pPr>
      <w:spacing w:after="0" w:line="240" w:lineRule="auto"/>
    </w:pPr>
    <w:tblPr>
      <w:tblStyleRowBandSize w:val="1"/>
      <w:tblStyleColBandSize w:val="1"/>
      <w:tblBorders>
        <w:top w:val="single" w:sz="4" w:space="0" w:color="9CC2E5" w:themeColor="accent1" w:themeTint="99"/>
        <w:bottom w:val="single" w:sz="4" w:space="0" w:color="9CC2E5" w:themeColor="accent1" w:themeTint="99"/>
        <w:insideH w:val="single" w:sz="4" w:space="0" w:color="9CC2E5"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customStyle="1" w:styleId="ListTable2-Accent530">
    <w:name w:val="List Table 2 - Accent 53"/>
    <w:basedOn w:val="TableNormal"/>
    <w:next w:val="ListTable2-Accent53"/>
    <w:uiPriority w:val="47"/>
    <w:rsid w:val="00C1281D"/>
    <w:pPr>
      <w:spacing w:after="0" w:line="240" w:lineRule="auto"/>
    </w:pPr>
    <w:tblPr>
      <w:tblStyleRowBandSize w:val="1"/>
      <w:tblStyleColBandSize w:val="1"/>
      <w:tblBorders>
        <w:top w:val="single" w:sz="4" w:space="0" w:color="8EAADB" w:themeColor="accent5" w:themeTint="99"/>
        <w:bottom w:val="single" w:sz="4" w:space="0" w:color="8EAADB" w:themeColor="accent5" w:themeTint="99"/>
        <w:insideH w:val="single" w:sz="4" w:space="0" w:color="8EAADB"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customStyle="1" w:styleId="GridTable2-Accent530">
    <w:name w:val="Grid Table 2 - Accent 53"/>
    <w:basedOn w:val="TableNormal"/>
    <w:next w:val="GridTable2-Accent53"/>
    <w:uiPriority w:val="47"/>
    <w:rsid w:val="00C1281D"/>
    <w:pPr>
      <w:spacing w:after="0" w:line="240" w:lineRule="auto"/>
    </w:pPr>
    <w:tblPr>
      <w:tblStyleRowBandSize w:val="1"/>
      <w:tblStyleColBandSize w:val="1"/>
      <w:tblBorders>
        <w:top w:val="single" w:sz="2" w:space="0" w:color="8EAADB" w:themeColor="accent5" w:themeTint="99"/>
        <w:bottom w:val="single" w:sz="2" w:space="0" w:color="8EAADB" w:themeColor="accent5" w:themeTint="99"/>
        <w:insideH w:val="single" w:sz="2" w:space="0" w:color="8EAADB" w:themeColor="accent5" w:themeTint="99"/>
        <w:insideV w:val="single" w:sz="2" w:space="0" w:color="8EAADB" w:themeColor="accent5" w:themeTint="99"/>
      </w:tblBorders>
    </w:tblPr>
    <w:tblStylePr w:type="firstRow">
      <w:rPr>
        <w:b/>
        <w:bCs/>
      </w:rPr>
      <w:tblPr/>
      <w:tcPr>
        <w:tcBorders>
          <w:top w:val="nil"/>
          <w:bottom w:val="single" w:sz="12" w:space="0" w:color="8EAADB" w:themeColor="accent5" w:themeTint="99"/>
          <w:insideH w:val="nil"/>
          <w:insideV w:val="nil"/>
        </w:tcBorders>
        <w:shd w:val="clear" w:color="auto" w:fill="FFFFFF" w:themeFill="background1"/>
      </w:tcPr>
    </w:tblStylePr>
    <w:tblStylePr w:type="lastRow">
      <w:rPr>
        <w:b/>
        <w:bCs/>
      </w:rPr>
      <w:tblPr/>
      <w:tcPr>
        <w:tcBorders>
          <w:top w:val="double" w:sz="2" w:space="0" w:color="8EAADB"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customStyle="1" w:styleId="ListTable1Light-Accent61">
    <w:name w:val="List Table 1 Light - Accent 61"/>
    <w:basedOn w:val="TableNormal"/>
    <w:uiPriority w:val="46"/>
    <w:rsid w:val="00C1281D"/>
    <w:pPr>
      <w:spacing w:after="0" w:line="240" w:lineRule="auto"/>
    </w:pPr>
    <w:tblPr>
      <w:tblStyleRowBandSize w:val="1"/>
      <w:tblStyleColBandSize w:val="1"/>
    </w:tblPr>
    <w:tblStylePr w:type="firstRow">
      <w:rPr>
        <w:b/>
        <w:bCs/>
      </w:rPr>
      <w:tblPr/>
      <w:tcPr>
        <w:tcBorders>
          <w:bottom w:val="single" w:sz="4" w:space="0" w:color="A8D08D" w:themeColor="accent6" w:themeTint="99"/>
        </w:tcBorders>
      </w:tcPr>
    </w:tblStylePr>
    <w:tblStylePr w:type="lastRow">
      <w:rPr>
        <w:b/>
        <w:bCs/>
      </w:rPr>
      <w:tblPr/>
      <w:tcPr>
        <w:tcBorders>
          <w:top w:val="single" w:sz="4" w:space="0" w:color="A8D08D" w:themeColor="accent6" w:themeTint="99"/>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numbering" w:customStyle="1" w:styleId="NoList5">
    <w:name w:val="No List5"/>
    <w:next w:val="NoList"/>
    <w:uiPriority w:val="99"/>
    <w:semiHidden/>
    <w:unhideWhenUsed/>
    <w:rsid w:val="00C1281D"/>
  </w:style>
  <w:style w:type="numbering" w:customStyle="1" w:styleId="NoList13">
    <w:name w:val="No List13"/>
    <w:next w:val="NoList"/>
    <w:uiPriority w:val="99"/>
    <w:semiHidden/>
    <w:unhideWhenUsed/>
    <w:rsid w:val="00C1281D"/>
  </w:style>
  <w:style w:type="table" w:customStyle="1" w:styleId="TableGrid5">
    <w:name w:val="Table Grid5"/>
    <w:basedOn w:val="TableNormal"/>
    <w:next w:val="TableGrid"/>
    <w:uiPriority w:val="39"/>
    <w:rsid w:val="00C1281D"/>
    <w:pPr>
      <w:spacing w:before="120" w:after="120" w:line="264" w:lineRule="auto"/>
      <w:ind w:left="115" w:right="115"/>
    </w:pPr>
    <w:rPr>
      <w:rFonts w:eastAsia="MS PGothic"/>
      <w:sz w:val="20"/>
      <w:szCs w:val="20"/>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
    <w:tcPr>
      <w:vAlign w:val="center"/>
    </w:tcPr>
    <w:tblStylePr w:type="firstRow">
      <w:pPr>
        <w:wordWrap/>
        <w:jc w:val="center"/>
      </w:pPr>
      <w:rPr>
        <w:b/>
        <w:i w:val="0"/>
        <w:sz w:val="22"/>
      </w:rPr>
    </w:tblStylePr>
    <w:tblStylePr w:type="lastRow">
      <w:rPr>
        <w:b/>
        <w:i w:val="0"/>
        <w:sz w:val="22"/>
      </w:rPr>
      <w:tblPr/>
      <w:tcPr>
        <w:tcBorders>
          <w:top w:val="double" w:sz="4" w:space="0" w:color="auto"/>
          <w:left w:val="single" w:sz="4" w:space="0" w:color="auto"/>
          <w:bottom w:val="single" w:sz="18" w:space="0" w:color="auto"/>
          <w:right w:val="single" w:sz="4" w:space="0" w:color="auto"/>
          <w:insideH w:val="nil"/>
          <w:insideV w:val="single" w:sz="4" w:space="0" w:color="auto"/>
          <w:tl2br w:val="nil"/>
          <w:tr2bl w:val="nil"/>
        </w:tcBorders>
      </w:tcPr>
    </w:tblStylePr>
  </w:style>
  <w:style w:type="table" w:customStyle="1" w:styleId="FinancialTable3">
    <w:name w:val="Financial Table3"/>
    <w:basedOn w:val="TableNormal"/>
    <w:uiPriority w:val="99"/>
    <w:rsid w:val="00C1281D"/>
    <w:pPr>
      <w:spacing w:before="60" w:after="60" w:line="264" w:lineRule="auto"/>
    </w:pPr>
    <w:rPr>
      <w:rFonts w:eastAsia="MS PGothic"/>
      <w:sz w:val="20"/>
      <w:szCs w:val="20"/>
      <w:lang w:eastAsia="ja-JP"/>
    </w:rPr>
    <w:tblPr>
      <w:tblBorders>
        <w:top w:val="single" w:sz="8" w:space="0" w:color="000000"/>
        <w:left w:val="single" w:sz="8" w:space="0" w:color="000000"/>
        <w:bottom w:val="single" w:sz="24" w:space="0" w:color="000000"/>
        <w:right w:val="single" w:sz="8" w:space="0" w:color="000000"/>
        <w:insideH w:val="single" w:sz="8" w:space="0" w:color="000000"/>
        <w:insideV w:val="single" w:sz="8" w:space="0" w:color="000000"/>
      </w:tblBorders>
      <w:tblCellMar>
        <w:left w:w="72" w:type="dxa"/>
        <w:right w:w="72" w:type="dxa"/>
      </w:tblCellMar>
    </w:tblPr>
    <w:tblStylePr w:type="firstRow">
      <w:pPr>
        <w:wordWrap/>
        <w:spacing w:beforeLines="0" w:before="40" w:beforeAutospacing="0" w:afterLines="0" w:after="40" w:afterAutospacing="0"/>
        <w:jc w:val="left"/>
      </w:pPr>
      <w:rPr>
        <w:rFonts w:ascii="Arial" w:hAnsi="Arial"/>
        <w:b/>
        <w:i w:val="0"/>
        <w:caps w:val="0"/>
        <w:smallCaps w:val="0"/>
        <w:color w:val="000000"/>
        <w:sz w:val="22"/>
      </w:rPr>
    </w:tblStylePr>
    <w:tblStylePr w:type="firstCol">
      <w:rPr>
        <w:b/>
        <w:color w:val="000000"/>
      </w:rPr>
    </w:tblStylePr>
  </w:style>
  <w:style w:type="table" w:customStyle="1" w:styleId="LightShading12">
    <w:name w:val="Light Shading12"/>
    <w:basedOn w:val="TableNormal"/>
    <w:next w:val="LightShading"/>
    <w:uiPriority w:val="60"/>
    <w:rsid w:val="00C1281D"/>
    <w:pPr>
      <w:spacing w:after="0" w:line="264" w:lineRule="auto"/>
    </w:pPr>
    <w:rPr>
      <w:rFonts w:eastAsia="MS PGothic"/>
      <w:color w:val="000000"/>
      <w:sz w:val="20"/>
      <w:szCs w:val="20"/>
      <w:lang w:eastAsia="ja-JP"/>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GridTable6Colorful-Accent516">
    <w:name w:val="Grid Table 6 Colorful - Accent 516"/>
    <w:basedOn w:val="TableNormal"/>
    <w:next w:val="GridTable6Colorful-Accent54"/>
    <w:uiPriority w:val="51"/>
    <w:rsid w:val="00C1281D"/>
    <w:pPr>
      <w:spacing w:after="0" w:line="264" w:lineRule="auto"/>
    </w:pPr>
    <w:rPr>
      <w:rFonts w:ascii="Calibri" w:eastAsia="Calibri" w:hAnsi="Calibri" w:cs="Times New Roman"/>
      <w:color w:val="474747"/>
      <w:sz w:val="20"/>
      <w:szCs w:val="20"/>
    </w:rPr>
    <w:tblPr>
      <w:tblStyleRowBandSize w:val="1"/>
      <w:tblStyleColBandSize w:val="1"/>
      <w:tblBorders>
        <w:top w:val="single" w:sz="4" w:space="0" w:color="9F9F9F"/>
        <w:left w:val="single" w:sz="4" w:space="0" w:color="9F9F9F"/>
        <w:bottom w:val="single" w:sz="4" w:space="0" w:color="9F9F9F"/>
        <w:right w:val="single" w:sz="4" w:space="0" w:color="9F9F9F"/>
        <w:insideH w:val="single" w:sz="4" w:space="0" w:color="9F9F9F"/>
        <w:insideV w:val="single" w:sz="4" w:space="0" w:color="9F9F9F"/>
      </w:tblBorders>
    </w:tblPr>
    <w:tblStylePr w:type="firstRow">
      <w:rPr>
        <w:b/>
        <w:bCs/>
      </w:rPr>
      <w:tblPr/>
      <w:tcPr>
        <w:tcBorders>
          <w:bottom w:val="single" w:sz="12" w:space="0" w:color="9F9F9F"/>
        </w:tcBorders>
      </w:tcPr>
    </w:tblStylePr>
    <w:tblStylePr w:type="lastRow">
      <w:rPr>
        <w:b/>
        <w:bCs/>
      </w:rPr>
      <w:tblPr/>
      <w:tcPr>
        <w:tcBorders>
          <w:top w:val="double" w:sz="4" w:space="0" w:color="9F9F9F"/>
        </w:tcBorders>
      </w:tcPr>
    </w:tblStylePr>
    <w:tblStylePr w:type="firstCol">
      <w:rPr>
        <w:b/>
        <w:bCs/>
      </w:rPr>
    </w:tblStylePr>
    <w:tblStylePr w:type="lastCol">
      <w:rPr>
        <w:b/>
        <w:bCs/>
      </w:rPr>
    </w:tblStylePr>
    <w:tblStylePr w:type="band1Vert">
      <w:tblPr/>
      <w:tcPr>
        <w:shd w:val="clear" w:color="auto" w:fill="DFDFDF"/>
      </w:tcPr>
    </w:tblStylePr>
    <w:tblStylePr w:type="band1Horz">
      <w:tblPr/>
      <w:tcPr>
        <w:shd w:val="clear" w:color="auto" w:fill="DFDFDF"/>
      </w:tcPr>
    </w:tblStylePr>
  </w:style>
  <w:style w:type="table" w:customStyle="1" w:styleId="LightShading-Accent127">
    <w:name w:val="Light Shading - Accent 127"/>
    <w:basedOn w:val="TableNormal"/>
    <w:uiPriority w:val="60"/>
    <w:rsid w:val="00C1281D"/>
    <w:pPr>
      <w:spacing w:after="0" w:line="264" w:lineRule="auto"/>
    </w:pPr>
    <w:rPr>
      <w:rFonts w:ascii="Cambria" w:eastAsia="Calibri" w:hAnsi="Cambria" w:cs="Times New Roman"/>
      <w:color w:val="A8422A"/>
      <w:sz w:val="20"/>
      <w:szCs w:val="20"/>
      <w:lang w:val="en-GB" w:eastAsia="sr-Cyrl-CS"/>
    </w:rPr>
    <w:tblPr>
      <w:tblStyleRowBandSize w:val="1"/>
      <w:tblStyleColBandSize w:val="1"/>
      <w:tblBorders>
        <w:top w:val="single" w:sz="8" w:space="0" w:color="D16349"/>
        <w:bottom w:val="single" w:sz="8" w:space="0" w:color="D16349"/>
      </w:tblBorders>
    </w:tblPr>
    <w:tblStylePr w:type="fir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la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D8D2"/>
      </w:tcPr>
    </w:tblStylePr>
    <w:tblStylePr w:type="band1Horz">
      <w:tblPr/>
      <w:tcPr>
        <w:tcBorders>
          <w:left w:val="nil"/>
          <w:right w:val="nil"/>
          <w:insideH w:val="nil"/>
          <w:insideV w:val="nil"/>
        </w:tcBorders>
        <w:shd w:val="clear" w:color="auto" w:fill="F3D8D2"/>
      </w:tcPr>
    </w:tblStylePr>
  </w:style>
  <w:style w:type="table" w:customStyle="1" w:styleId="GridTable6Colorful-Accent5113">
    <w:name w:val="Grid Table 6 Colorful - Accent 5113"/>
    <w:basedOn w:val="TableNormal"/>
    <w:uiPriority w:val="51"/>
    <w:rsid w:val="00C1281D"/>
    <w:pPr>
      <w:spacing w:after="0" w:line="264" w:lineRule="auto"/>
    </w:pPr>
    <w:rPr>
      <w:rFonts w:ascii="Calibri" w:eastAsia="Calibri" w:hAnsi="Calibri" w:cs="Times New Roman"/>
      <w:color w:val="387AAA"/>
      <w:sz w:val="20"/>
      <w:szCs w:val="20"/>
    </w:rPr>
    <w:tblPr>
      <w:tblStyleRowBandSize w:val="1"/>
      <w:tblStyleColBandSize w:val="1"/>
      <w:tblBorders>
        <w:top w:val="single" w:sz="4" w:space="0" w:color="A1C5E0"/>
        <w:left w:val="single" w:sz="4" w:space="0" w:color="A1C5E0"/>
        <w:bottom w:val="single" w:sz="4" w:space="0" w:color="A1C5E0"/>
        <w:right w:val="single" w:sz="4" w:space="0" w:color="A1C5E0"/>
        <w:insideH w:val="single" w:sz="4" w:space="0" w:color="A1C5E0"/>
        <w:insideV w:val="single" w:sz="4" w:space="0" w:color="A1C5E0"/>
      </w:tblBorders>
    </w:tblPr>
    <w:tblStylePr w:type="firstRow">
      <w:rPr>
        <w:b/>
        <w:bCs/>
      </w:rPr>
      <w:tblPr/>
      <w:tcPr>
        <w:tcBorders>
          <w:bottom w:val="single" w:sz="12" w:space="0" w:color="A1C5E0"/>
        </w:tcBorders>
      </w:tcPr>
    </w:tblStylePr>
    <w:tblStylePr w:type="lastRow">
      <w:rPr>
        <w:b/>
        <w:bCs/>
      </w:rPr>
      <w:tblPr/>
      <w:tcPr>
        <w:tcBorders>
          <w:top w:val="double" w:sz="4" w:space="0" w:color="A1C5E0"/>
        </w:tcBorders>
      </w:tcPr>
    </w:tblStylePr>
    <w:tblStylePr w:type="firstCol">
      <w:rPr>
        <w:b/>
        <w:bCs/>
      </w:rPr>
    </w:tblStylePr>
    <w:tblStylePr w:type="lastCol">
      <w:rPr>
        <w:b/>
        <w:bCs/>
      </w:rPr>
    </w:tblStylePr>
    <w:tblStylePr w:type="band1Vert">
      <w:tblPr/>
      <w:tcPr>
        <w:shd w:val="clear" w:color="auto" w:fill="DFEBF4"/>
      </w:tcPr>
    </w:tblStylePr>
    <w:tblStylePr w:type="band1Horz">
      <w:tblPr/>
      <w:tcPr>
        <w:shd w:val="clear" w:color="auto" w:fill="DFEBF4"/>
      </w:tcPr>
    </w:tblStylePr>
  </w:style>
  <w:style w:type="table" w:customStyle="1" w:styleId="LightShading-Accent1213">
    <w:name w:val="Light Shading - Accent 1213"/>
    <w:basedOn w:val="TableNormal"/>
    <w:uiPriority w:val="60"/>
    <w:rsid w:val="00C1281D"/>
    <w:pPr>
      <w:spacing w:after="0" w:line="264" w:lineRule="auto"/>
    </w:pPr>
    <w:rPr>
      <w:rFonts w:ascii="Cambria" w:eastAsia="Calibri" w:hAnsi="Cambria" w:cs="Times New Roman"/>
      <w:color w:val="A8422A"/>
      <w:sz w:val="20"/>
      <w:szCs w:val="20"/>
      <w:lang w:val="en-GB" w:eastAsia="sr-Cyrl-CS"/>
    </w:rPr>
    <w:tblPr>
      <w:tblStyleRowBandSize w:val="1"/>
      <w:tblStyleColBandSize w:val="1"/>
      <w:tblBorders>
        <w:top w:val="single" w:sz="8" w:space="0" w:color="D16349"/>
        <w:bottom w:val="single" w:sz="8" w:space="0" w:color="D16349"/>
      </w:tblBorders>
    </w:tblPr>
    <w:tblStylePr w:type="fir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la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D8D2"/>
      </w:tcPr>
    </w:tblStylePr>
    <w:tblStylePr w:type="band1Horz">
      <w:tblPr/>
      <w:tcPr>
        <w:tcBorders>
          <w:left w:val="nil"/>
          <w:right w:val="nil"/>
          <w:insideH w:val="nil"/>
          <w:insideV w:val="nil"/>
        </w:tcBorders>
        <w:shd w:val="clear" w:color="auto" w:fill="F3D8D2"/>
      </w:tcPr>
    </w:tblStylePr>
  </w:style>
  <w:style w:type="table" w:customStyle="1" w:styleId="GridTable6Colorful-Accent112">
    <w:name w:val="Grid Table 6 Colorful - Accent 112"/>
    <w:basedOn w:val="TableNormal"/>
    <w:next w:val="GridTable6Colorful-Accent13"/>
    <w:uiPriority w:val="51"/>
    <w:rsid w:val="00C1281D"/>
    <w:pPr>
      <w:spacing w:after="0" w:line="264" w:lineRule="auto"/>
    </w:pPr>
    <w:rPr>
      <w:rFonts w:eastAsia="MS PGothic"/>
      <w:color w:val="BF2B0E"/>
      <w:sz w:val="20"/>
      <w:szCs w:val="20"/>
      <w:lang w:eastAsia="ja-JP"/>
    </w:rPr>
    <w:tblPr>
      <w:tblStyleRowBandSize w:val="1"/>
      <w:tblStyleColBandSize w:val="1"/>
      <w:tblBorders>
        <w:top w:val="single" w:sz="4" w:space="0" w:color="F58F7A"/>
        <w:left w:val="single" w:sz="4" w:space="0" w:color="F58F7A"/>
        <w:bottom w:val="single" w:sz="4" w:space="0" w:color="F58F7A"/>
        <w:right w:val="single" w:sz="4" w:space="0" w:color="F58F7A"/>
        <w:insideH w:val="single" w:sz="4" w:space="0" w:color="F58F7A"/>
        <w:insideV w:val="single" w:sz="4" w:space="0" w:color="F58F7A"/>
      </w:tblBorders>
    </w:tblPr>
    <w:tblStylePr w:type="firstRow">
      <w:rPr>
        <w:b/>
        <w:bCs/>
      </w:rPr>
      <w:tblPr/>
      <w:tcPr>
        <w:tcBorders>
          <w:bottom w:val="single" w:sz="12" w:space="0" w:color="F58F7A"/>
        </w:tcBorders>
      </w:tcPr>
    </w:tblStylePr>
    <w:tblStylePr w:type="lastRow">
      <w:rPr>
        <w:b/>
        <w:bCs/>
      </w:rPr>
      <w:tblPr/>
      <w:tcPr>
        <w:tcBorders>
          <w:top w:val="double" w:sz="4" w:space="0" w:color="F58F7A"/>
        </w:tcBorders>
      </w:tcPr>
    </w:tblStylePr>
    <w:tblStylePr w:type="firstCol">
      <w:rPr>
        <w:b/>
        <w:bCs/>
      </w:rPr>
    </w:tblStylePr>
    <w:tblStylePr w:type="lastCol">
      <w:rPr>
        <w:b/>
        <w:bCs/>
      </w:rPr>
    </w:tblStylePr>
    <w:tblStylePr w:type="band1Vert">
      <w:tblPr/>
      <w:tcPr>
        <w:shd w:val="clear" w:color="auto" w:fill="FBD9D2"/>
      </w:tcPr>
    </w:tblStylePr>
    <w:tblStylePr w:type="band1Horz">
      <w:tblPr/>
      <w:tcPr>
        <w:shd w:val="clear" w:color="auto" w:fill="FBD9D2"/>
      </w:tcPr>
    </w:tblStylePr>
  </w:style>
  <w:style w:type="table" w:customStyle="1" w:styleId="LightShading-Accent1223">
    <w:name w:val="Light Shading - Accent 1223"/>
    <w:basedOn w:val="TableNormal"/>
    <w:uiPriority w:val="60"/>
    <w:rsid w:val="00C1281D"/>
    <w:pPr>
      <w:spacing w:after="0" w:line="240" w:lineRule="auto"/>
    </w:pPr>
    <w:rPr>
      <w:rFonts w:ascii="Cambria" w:eastAsia="Calibri" w:hAnsi="Cambria" w:cs="Times New Roman"/>
      <w:color w:val="A8422A"/>
      <w:sz w:val="20"/>
      <w:szCs w:val="20"/>
      <w:lang w:val="en-GB" w:eastAsia="sr-Cyrl-CS"/>
    </w:rPr>
    <w:tblPr>
      <w:tblStyleRowBandSize w:val="1"/>
      <w:tblStyleColBandSize w:val="1"/>
      <w:tblBorders>
        <w:top w:val="single" w:sz="8" w:space="0" w:color="D16349"/>
        <w:bottom w:val="single" w:sz="8" w:space="0" w:color="D16349"/>
      </w:tblBorders>
    </w:tblPr>
    <w:tblStylePr w:type="fir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la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D8D2"/>
      </w:tcPr>
    </w:tblStylePr>
    <w:tblStylePr w:type="band1Horz">
      <w:tblPr/>
      <w:tcPr>
        <w:tcBorders>
          <w:left w:val="nil"/>
          <w:right w:val="nil"/>
          <w:insideH w:val="nil"/>
          <w:insideV w:val="nil"/>
        </w:tcBorders>
        <w:shd w:val="clear" w:color="auto" w:fill="F3D8D2"/>
      </w:tcPr>
    </w:tblStylePr>
  </w:style>
  <w:style w:type="table" w:customStyle="1" w:styleId="GridTable6Colorful-Accent523">
    <w:name w:val="Grid Table 6 Colorful - Accent 523"/>
    <w:basedOn w:val="TableNormal"/>
    <w:next w:val="GridTable6Colorful-Accent54"/>
    <w:uiPriority w:val="51"/>
    <w:rsid w:val="00C1281D"/>
    <w:pPr>
      <w:spacing w:after="0" w:line="240" w:lineRule="auto"/>
    </w:pPr>
    <w:rPr>
      <w:rFonts w:ascii="Calibri" w:eastAsia="Calibri" w:hAnsi="Calibri" w:cs="Times New Roman"/>
      <w:color w:val="C19300"/>
      <w:sz w:val="20"/>
      <w:szCs w:val="20"/>
    </w:rPr>
    <w:tblPr>
      <w:tblStyleRowBandSize w:val="1"/>
      <w:tblStyleColBandSize w:val="1"/>
      <w:tblBorders>
        <w:top w:val="single" w:sz="4" w:space="0" w:color="FEDA69"/>
        <w:left w:val="single" w:sz="4" w:space="0" w:color="FEDA69"/>
        <w:bottom w:val="single" w:sz="4" w:space="0" w:color="FEDA69"/>
        <w:right w:val="single" w:sz="4" w:space="0" w:color="FEDA69"/>
        <w:insideH w:val="single" w:sz="4" w:space="0" w:color="FEDA69"/>
        <w:insideV w:val="single" w:sz="4" w:space="0" w:color="FEDA69"/>
      </w:tblBorders>
    </w:tblPr>
    <w:tblStylePr w:type="firstRow">
      <w:rPr>
        <w:b/>
        <w:bCs/>
      </w:rPr>
      <w:tblPr/>
      <w:tcPr>
        <w:tcBorders>
          <w:bottom w:val="single" w:sz="12" w:space="0" w:color="FEDA69"/>
        </w:tcBorders>
      </w:tcPr>
    </w:tblStylePr>
    <w:tblStylePr w:type="lastRow">
      <w:rPr>
        <w:b/>
        <w:bCs/>
      </w:rPr>
      <w:tblPr/>
      <w:tcPr>
        <w:tcBorders>
          <w:top w:val="double" w:sz="4" w:space="0" w:color="FEDA69"/>
        </w:tcBorders>
      </w:tcPr>
    </w:tblStylePr>
    <w:tblStylePr w:type="firstCol">
      <w:rPr>
        <w:b/>
        <w:bCs/>
      </w:rPr>
    </w:tblStylePr>
    <w:tblStylePr w:type="lastCol">
      <w:rPr>
        <w:b/>
        <w:bCs/>
      </w:rPr>
    </w:tblStylePr>
    <w:tblStylePr w:type="band1Vert">
      <w:tblPr/>
      <w:tcPr>
        <w:shd w:val="clear" w:color="auto" w:fill="FEF2CD"/>
      </w:tcPr>
    </w:tblStylePr>
    <w:tblStylePr w:type="band1Horz">
      <w:tblPr/>
      <w:tcPr>
        <w:shd w:val="clear" w:color="auto" w:fill="FEF2CD"/>
      </w:tcPr>
    </w:tblStylePr>
  </w:style>
  <w:style w:type="table" w:customStyle="1" w:styleId="tabele36">
    <w:name w:val="tabele 36"/>
    <w:basedOn w:val="TableNormal"/>
    <w:next w:val="LightList-Accent3"/>
    <w:uiPriority w:val="61"/>
    <w:rsid w:val="00C1281D"/>
    <w:pPr>
      <w:spacing w:after="0" w:line="240" w:lineRule="auto"/>
    </w:pPr>
    <w:rPr>
      <w:rFonts w:ascii="Cambria Math" w:eastAsia="Calibri" w:hAnsi="Cambria Math" w:cs="Times New Roman"/>
      <w:sz w:val="18"/>
      <w:lang w:val="sr-Cyrl-CS"/>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LightShading-Accent1114">
    <w:name w:val="Light Shading - Accent 1114"/>
    <w:basedOn w:val="TableNormal"/>
    <w:uiPriority w:val="60"/>
    <w:rsid w:val="00C1281D"/>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37">
    <w:name w:val="Light Shading - Accent 37"/>
    <w:basedOn w:val="TableNormal"/>
    <w:next w:val="LightShading-Accent3"/>
    <w:uiPriority w:val="60"/>
    <w:rsid w:val="00C1281D"/>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List-Accent57">
    <w:name w:val="Light List - Accent 57"/>
    <w:basedOn w:val="TableNormal"/>
    <w:next w:val="LightList-Accent5"/>
    <w:uiPriority w:val="61"/>
    <w:rsid w:val="00C1281D"/>
    <w:pPr>
      <w:spacing w:after="0" w:line="240" w:lineRule="auto"/>
    </w:pPr>
    <w:rPr>
      <w:rFonts w:ascii="Calibri" w:eastAsia="Calibri" w:hAnsi="Calibri" w:cs="Times New Roman"/>
      <w:sz w:val="20"/>
      <w:szCs w:val="20"/>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Shading-Accent316">
    <w:name w:val="Light Shading - Accent 316"/>
    <w:basedOn w:val="TableNormal"/>
    <w:next w:val="LightShading-Accent3"/>
    <w:uiPriority w:val="60"/>
    <w:rsid w:val="00C1281D"/>
    <w:pPr>
      <w:spacing w:after="0" w:line="240" w:lineRule="auto"/>
    </w:pPr>
    <w:rPr>
      <w:rFonts w:ascii="Constantia" w:eastAsia="Constantia" w:hAnsi="Constantia" w:cs="Times New Roman"/>
      <w:color w:val="8CADAE"/>
      <w:lang w:val="sr-Cyrl-CS"/>
    </w:rPr>
    <w:tblPr>
      <w:tblStyleRowBandSize w:val="1"/>
      <w:tblStyleColBandSize w:val="1"/>
      <w:tblBorders>
        <w:top w:val="single" w:sz="8" w:space="0" w:color="8CADAE"/>
        <w:bottom w:val="single" w:sz="8" w:space="0" w:color="8CADAE"/>
      </w:tblBorders>
    </w:tblPr>
    <w:tblStylePr w:type="fir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la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2EAEB"/>
      </w:tcPr>
    </w:tblStylePr>
    <w:tblStylePr w:type="band1Horz">
      <w:tblPr/>
      <w:tcPr>
        <w:tcBorders>
          <w:left w:val="nil"/>
          <w:right w:val="nil"/>
          <w:insideH w:val="nil"/>
          <w:insideV w:val="nil"/>
        </w:tcBorders>
        <w:shd w:val="clear" w:color="auto" w:fill="E2EAEB"/>
      </w:tcPr>
    </w:tblStylePr>
  </w:style>
  <w:style w:type="table" w:customStyle="1" w:styleId="LightList-Accent317">
    <w:name w:val="Light List - Accent 317"/>
    <w:basedOn w:val="TableNormal"/>
    <w:next w:val="LightList-Accent3"/>
    <w:uiPriority w:val="61"/>
    <w:rsid w:val="00C1281D"/>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TableGrid13">
    <w:name w:val="Table Grid13"/>
    <w:basedOn w:val="TableNormal"/>
    <w:next w:val="TableGrid"/>
    <w:uiPriority w:val="59"/>
    <w:rsid w:val="00C1281D"/>
    <w:pPr>
      <w:spacing w:after="0" w:line="240" w:lineRule="auto"/>
    </w:pPr>
    <w:rPr>
      <w:rFonts w:ascii="Constantia" w:eastAsia="Constantia" w:hAnsi="Constantia" w:cs="Times New Roman"/>
      <w:lang w:val="sr-Cyrl-C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ghtList-Accent516">
    <w:name w:val="Light List - Accent 516"/>
    <w:basedOn w:val="TableNormal"/>
    <w:next w:val="LightList-Accent5"/>
    <w:uiPriority w:val="61"/>
    <w:rsid w:val="00C1281D"/>
    <w:pPr>
      <w:spacing w:after="0" w:line="240" w:lineRule="auto"/>
    </w:pPr>
    <w:rPr>
      <w:rFonts w:ascii="Times New Roman" w:eastAsia="Constantia" w:hAnsi="Times New Roman" w:cs="Times New Roman"/>
      <w:lang w:val="sr-Cyrl-CS"/>
    </w:rPr>
    <w:tblPr>
      <w:tblStyleRowBandSize w:val="1"/>
      <w:tblStyleColBandSize w:val="1"/>
      <w:tblBorders>
        <w:top w:val="single" w:sz="8" w:space="0" w:color="8FB08C"/>
        <w:left w:val="single" w:sz="8" w:space="0" w:color="8FB08C"/>
        <w:bottom w:val="single" w:sz="8" w:space="0" w:color="8FB08C"/>
        <w:right w:val="single" w:sz="8" w:space="0" w:color="8FB08C"/>
      </w:tblBorders>
    </w:tblPr>
    <w:tblStylePr w:type="firstRow">
      <w:pPr>
        <w:spacing w:before="0" w:after="0" w:line="240" w:lineRule="auto"/>
      </w:pPr>
      <w:rPr>
        <w:b/>
        <w:bCs/>
        <w:color w:val="FFFFFF"/>
      </w:rPr>
      <w:tblPr/>
      <w:tcPr>
        <w:shd w:val="clear" w:color="auto" w:fill="8FB08C"/>
      </w:tcPr>
    </w:tblStylePr>
    <w:tblStylePr w:type="lastRow">
      <w:pPr>
        <w:spacing w:before="0" w:after="0" w:line="240" w:lineRule="auto"/>
      </w:pPr>
      <w:rPr>
        <w:b/>
        <w:bCs/>
      </w:rPr>
      <w:tblPr/>
      <w:tcPr>
        <w:tcBorders>
          <w:top w:val="double" w:sz="6" w:space="0" w:color="8FB08C"/>
          <w:left w:val="single" w:sz="8" w:space="0" w:color="8FB08C"/>
          <w:bottom w:val="single" w:sz="8" w:space="0" w:color="8FB08C"/>
          <w:right w:val="single" w:sz="8" w:space="0" w:color="8FB08C"/>
        </w:tcBorders>
      </w:tcPr>
    </w:tblStylePr>
    <w:tblStylePr w:type="firstCol">
      <w:rPr>
        <w:b/>
        <w:bCs/>
      </w:rPr>
    </w:tblStylePr>
    <w:tblStylePr w:type="lastCol">
      <w:rPr>
        <w:b/>
        <w:bCs/>
      </w:rPr>
    </w:tblStylePr>
    <w:tblStylePr w:type="band1Vert">
      <w:tblPr/>
      <w:tcPr>
        <w:tcBorders>
          <w:top w:val="single" w:sz="8" w:space="0" w:color="8FB08C"/>
          <w:left w:val="single" w:sz="8" w:space="0" w:color="8FB08C"/>
          <w:bottom w:val="single" w:sz="8" w:space="0" w:color="8FB08C"/>
          <w:right w:val="single" w:sz="8" w:space="0" w:color="8FB08C"/>
        </w:tcBorders>
      </w:tcPr>
    </w:tblStylePr>
    <w:tblStylePr w:type="band1Horz">
      <w:tblPr/>
      <w:tcPr>
        <w:tcBorders>
          <w:top w:val="single" w:sz="8" w:space="0" w:color="8FB08C"/>
          <w:left w:val="single" w:sz="8" w:space="0" w:color="8FB08C"/>
          <w:bottom w:val="single" w:sz="8" w:space="0" w:color="8FB08C"/>
          <w:right w:val="single" w:sz="8" w:space="0" w:color="8FB08C"/>
        </w:tcBorders>
      </w:tcPr>
    </w:tblStylePr>
  </w:style>
  <w:style w:type="table" w:customStyle="1" w:styleId="MediumList1-Accent513">
    <w:name w:val="Medium List 1 - Accent 513"/>
    <w:basedOn w:val="TableNormal"/>
    <w:next w:val="MediumList1-Accent5"/>
    <w:uiPriority w:val="65"/>
    <w:rsid w:val="00C1281D"/>
    <w:pPr>
      <w:spacing w:after="0" w:line="240" w:lineRule="auto"/>
    </w:pPr>
    <w:rPr>
      <w:rFonts w:ascii="Constantia" w:eastAsia="Constantia" w:hAnsi="Constantia" w:cs="Times New Roman"/>
      <w:color w:val="000000"/>
      <w:lang w:val="sr-Cyrl-CS"/>
    </w:rPr>
    <w:tblPr>
      <w:tblStyleRowBandSize w:val="1"/>
      <w:tblStyleColBandSize w:val="1"/>
      <w:tblBorders>
        <w:top w:val="single" w:sz="8" w:space="0" w:color="8FB08C"/>
        <w:bottom w:val="single" w:sz="8" w:space="0" w:color="8FB08C"/>
      </w:tblBorders>
    </w:tblPr>
    <w:tblStylePr w:type="firstRow">
      <w:rPr>
        <w:rFonts w:ascii="Verdana" w:eastAsia="Times New Roman" w:hAnsi="Verdana" w:cs="Times New Roman"/>
      </w:rPr>
      <w:tblPr/>
      <w:tcPr>
        <w:tcBorders>
          <w:top w:val="nil"/>
          <w:bottom w:val="single" w:sz="8" w:space="0" w:color="8FB08C"/>
        </w:tcBorders>
      </w:tcPr>
    </w:tblStylePr>
    <w:tblStylePr w:type="lastRow">
      <w:rPr>
        <w:b/>
        <w:bCs/>
        <w:color w:val="646B86"/>
      </w:rPr>
      <w:tblPr/>
      <w:tcPr>
        <w:tcBorders>
          <w:top w:val="single" w:sz="8" w:space="0" w:color="8FB08C"/>
          <w:bottom w:val="single" w:sz="8" w:space="0" w:color="8FB08C"/>
        </w:tcBorders>
      </w:tcPr>
    </w:tblStylePr>
    <w:tblStylePr w:type="firstCol">
      <w:rPr>
        <w:b/>
        <w:bCs/>
      </w:rPr>
    </w:tblStylePr>
    <w:tblStylePr w:type="lastCol">
      <w:rPr>
        <w:b/>
        <w:bCs/>
      </w:rPr>
      <w:tblPr/>
      <w:tcPr>
        <w:tcBorders>
          <w:top w:val="single" w:sz="8" w:space="0" w:color="8FB08C"/>
          <w:bottom w:val="single" w:sz="8" w:space="0" w:color="8FB08C"/>
        </w:tcBorders>
      </w:tcPr>
    </w:tblStylePr>
    <w:tblStylePr w:type="band1Vert">
      <w:tblPr/>
      <w:tcPr>
        <w:shd w:val="clear" w:color="auto" w:fill="E3EBE2"/>
      </w:tcPr>
    </w:tblStylePr>
    <w:tblStylePr w:type="band1Horz">
      <w:tblPr/>
      <w:tcPr>
        <w:shd w:val="clear" w:color="auto" w:fill="E3EBE2"/>
      </w:tcPr>
    </w:tblStylePr>
  </w:style>
  <w:style w:type="table" w:customStyle="1" w:styleId="MediumList1-Accent54">
    <w:name w:val="Medium List 1 - Accent 54"/>
    <w:basedOn w:val="TableNormal"/>
    <w:next w:val="MediumList1-Accent5"/>
    <w:uiPriority w:val="65"/>
    <w:rsid w:val="00C1281D"/>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4BACC6"/>
        <w:bottom w:val="single" w:sz="8" w:space="0" w:color="4BACC6"/>
      </w:tblBorders>
    </w:tblPr>
    <w:tblStylePr w:type="firstRow">
      <w:rPr>
        <w:rFonts w:ascii="Times New Roman" w:eastAsia="Times New Roman" w:hAnsi="Times New Roman" w:cs="Times New Roman"/>
      </w:rPr>
      <w:tblPr/>
      <w:tcPr>
        <w:tcBorders>
          <w:top w:val="nil"/>
          <w:bottom w:val="single" w:sz="8" w:space="0" w:color="4BACC6"/>
        </w:tcBorders>
      </w:tcPr>
    </w:tblStylePr>
    <w:tblStylePr w:type="lastRow">
      <w:rPr>
        <w:b/>
        <w:bCs/>
        <w:color w:val="1F497D"/>
      </w:rPr>
      <w:tblPr/>
      <w:tcPr>
        <w:tcBorders>
          <w:top w:val="single" w:sz="8" w:space="0" w:color="4BACC6"/>
          <w:bottom w:val="single" w:sz="8" w:space="0" w:color="4BACC6"/>
        </w:tcBorders>
      </w:tcPr>
    </w:tblStylePr>
    <w:tblStylePr w:type="firstCol">
      <w:rPr>
        <w:b/>
        <w:bCs/>
      </w:rPr>
    </w:tblStylePr>
    <w:tblStylePr w:type="lastCol">
      <w:rPr>
        <w:b/>
        <w:bCs/>
      </w:rPr>
      <w:tblPr/>
      <w:tcPr>
        <w:tcBorders>
          <w:top w:val="single" w:sz="8" w:space="0" w:color="4BACC6"/>
          <w:bottom w:val="single" w:sz="8" w:space="0" w:color="4BACC6"/>
        </w:tcBorders>
      </w:tcPr>
    </w:tblStylePr>
    <w:tblStylePr w:type="band1Vert">
      <w:tblPr/>
      <w:tcPr>
        <w:shd w:val="clear" w:color="auto" w:fill="D2EAF1"/>
      </w:tcPr>
    </w:tblStylePr>
    <w:tblStylePr w:type="band1Horz">
      <w:tblPr/>
      <w:tcPr>
        <w:shd w:val="clear" w:color="auto" w:fill="D2EAF1"/>
      </w:tcPr>
    </w:tblStylePr>
  </w:style>
  <w:style w:type="numbering" w:customStyle="1" w:styleId="NoList113">
    <w:name w:val="No List113"/>
    <w:next w:val="NoList"/>
    <w:uiPriority w:val="99"/>
    <w:semiHidden/>
    <w:unhideWhenUsed/>
    <w:rsid w:val="00C1281D"/>
  </w:style>
  <w:style w:type="table" w:customStyle="1" w:styleId="LightGrid-Accent517">
    <w:name w:val="Light Grid - Accent 517"/>
    <w:basedOn w:val="TableNormal"/>
    <w:next w:val="LightGrid-Accent5"/>
    <w:uiPriority w:val="62"/>
    <w:rsid w:val="00C1281D"/>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omic Sans MS" w:eastAsia="Times New Roman" w:hAnsi="Comic Sans MS"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omic Sans MS" w:eastAsia="Times New Roman" w:hAnsi="Comic Sans MS"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omic Sans MS" w:eastAsia="Times New Roman" w:hAnsi="Comic Sans MS" w:cs="Times New Roman"/>
        <w:b/>
        <w:bCs/>
      </w:rPr>
    </w:tblStylePr>
    <w:tblStylePr w:type="lastCol">
      <w:rPr>
        <w:rFonts w:ascii="Comic Sans MS" w:eastAsia="Times New Roman" w:hAnsi="Comic Sans MS"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116">
    <w:name w:val="Светло сенчење – наглашавање 116"/>
    <w:basedOn w:val="TableNormal"/>
    <w:uiPriority w:val="60"/>
    <w:rsid w:val="00C1281D"/>
    <w:pPr>
      <w:spacing w:after="0" w:line="240" w:lineRule="auto"/>
    </w:pPr>
    <w:rPr>
      <w:rFonts w:ascii="Calibri" w:eastAsia="Calibri" w:hAnsi="Calibri" w:cs="Times New Roman"/>
      <w:color w:val="365F91"/>
      <w:sz w:val="20"/>
      <w:szCs w:val="20"/>
      <w:lang w:val="sr-Latn-CS" w:eastAsia="en-GB"/>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Grid-Accent58">
    <w:name w:val="Light Grid - Accent 58"/>
    <w:basedOn w:val="TableNormal"/>
    <w:next w:val="LightGrid-Accent5"/>
    <w:uiPriority w:val="62"/>
    <w:rsid w:val="00C1281D"/>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Comic Sans MS" w:eastAsia="Times New Roman" w:hAnsi="Comic Sans MS"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Comic Sans MS" w:eastAsia="Times New Roman" w:hAnsi="Comic Sans MS"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Comic Sans MS" w:eastAsia="Times New Roman" w:hAnsi="Comic Sans MS" w:cs="Times New Roman"/>
        <w:b/>
        <w:bCs/>
      </w:rPr>
    </w:tblStylePr>
    <w:tblStylePr w:type="lastCol">
      <w:rPr>
        <w:rFonts w:ascii="Comic Sans MS" w:eastAsia="Times New Roman" w:hAnsi="Comic Sans MS"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tabelezaifs3">
    <w:name w:val="tabele za ifs3"/>
    <w:basedOn w:val="TableNormal"/>
    <w:uiPriority w:val="99"/>
    <w:qFormat/>
    <w:rsid w:val="00C1281D"/>
    <w:pPr>
      <w:spacing w:after="0" w:line="240" w:lineRule="auto"/>
    </w:pPr>
    <w:rPr>
      <w:rFonts w:ascii="Cambria Math" w:eastAsia="Calibri" w:hAnsi="Cambria Math" w:cs="Times New Roman"/>
      <w:sz w:val="20"/>
      <w:szCs w:val="20"/>
      <w:lang w:val="en-GB" w:eastAsia="en-GB"/>
    </w:rPr>
    <w:tblPr/>
  </w:style>
  <w:style w:type="table" w:customStyle="1" w:styleId="tabelezaifs13">
    <w:name w:val="tabele za ifs 13"/>
    <w:basedOn w:val="TableNormal"/>
    <w:uiPriority w:val="66"/>
    <w:rsid w:val="00C1281D"/>
    <w:pPr>
      <w:spacing w:after="0" w:line="240" w:lineRule="auto"/>
    </w:pPr>
    <w:rPr>
      <w:rFonts w:ascii="Cambria Math" w:eastAsia="Times New Roman" w:hAnsi="Cambria Math" w:cs="Times New Roman"/>
      <w:color w:val="000000"/>
      <w:sz w:val="20"/>
      <w:szCs w:val="20"/>
      <w:lang w:val="en-GB" w:eastAsia="en-GB"/>
    </w:rPr>
    <w:tblPr>
      <w:tblStyleRowBandSize w:val="1"/>
      <w:tblStyleColBandSize w:val="1"/>
      <w:tblBorders>
        <w:top w:val="single" w:sz="8" w:space="0" w:color="8CADAE"/>
        <w:left w:val="single" w:sz="8" w:space="0" w:color="8CADAE"/>
        <w:bottom w:val="single" w:sz="8" w:space="0" w:color="8CADAE"/>
        <w:right w:val="single" w:sz="8" w:space="0" w:color="8CADAE"/>
      </w:tblBorders>
    </w:tblPr>
    <w:tcPr>
      <w:vAlign w:val="bottom"/>
    </w:tcPr>
    <w:tblStylePr w:type="firstRow">
      <w:rPr>
        <w:sz w:val="24"/>
        <w:szCs w:val="24"/>
      </w:rPr>
      <w:tblPr/>
      <w:tcPr>
        <w:tcBorders>
          <w:top w:val="nil"/>
          <w:left w:val="nil"/>
          <w:bottom w:val="single" w:sz="24" w:space="0" w:color="8CADAE"/>
          <w:right w:val="nil"/>
          <w:insideH w:val="nil"/>
          <w:insideV w:val="nil"/>
        </w:tcBorders>
        <w:shd w:val="clear" w:color="auto" w:fill="FFFFFF"/>
      </w:tcPr>
    </w:tblStylePr>
    <w:tblStylePr w:type="lastRow">
      <w:tblPr/>
      <w:tcPr>
        <w:tcBorders>
          <w:top w:val="single" w:sz="8" w:space="0" w:color="8CADAE"/>
          <w:left w:val="nil"/>
          <w:bottom w:val="nil"/>
          <w:right w:val="nil"/>
          <w:insideH w:val="nil"/>
          <w:insideV w:val="nil"/>
        </w:tcBorders>
        <w:shd w:val="clear" w:color="auto" w:fill="FFFFFF"/>
      </w:tcPr>
    </w:tblStylePr>
    <w:tblStylePr w:type="firstCol">
      <w:tblPr/>
      <w:tcPr>
        <w:tcBorders>
          <w:top w:val="nil"/>
          <w:left w:val="nil"/>
          <w:bottom w:val="nil"/>
          <w:right w:val="single" w:sz="8" w:space="0" w:color="8CADAE"/>
          <w:insideH w:val="nil"/>
          <w:insideV w:val="nil"/>
        </w:tcBorders>
        <w:shd w:val="clear" w:color="auto" w:fill="FFFFFF"/>
      </w:tcPr>
    </w:tblStylePr>
    <w:tblStylePr w:type="lastCol">
      <w:tblPr/>
      <w:tcPr>
        <w:tcBorders>
          <w:top w:val="nil"/>
          <w:left w:val="single" w:sz="8" w:space="0" w:color="8CADAE"/>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2EAEB"/>
      </w:tcPr>
    </w:tblStylePr>
    <w:tblStylePr w:type="band1Horz">
      <w:tblPr/>
      <w:tcPr>
        <w:tcBorders>
          <w:top w:val="nil"/>
          <w:bottom w:val="nil"/>
          <w:insideH w:val="nil"/>
          <w:insideV w:val="nil"/>
        </w:tcBorders>
        <w:shd w:val="clear" w:color="auto" w:fill="E2EAEB"/>
      </w:tcPr>
    </w:tblStylePr>
    <w:tblStylePr w:type="nwCell">
      <w:tblPr/>
      <w:tcPr>
        <w:shd w:val="clear" w:color="auto" w:fill="FFFFFF"/>
      </w:tcPr>
    </w:tblStylePr>
    <w:tblStylePr w:type="swCell">
      <w:tblPr/>
      <w:tcPr>
        <w:tcBorders>
          <w:top w:val="nil"/>
        </w:tcBorders>
      </w:tcPr>
    </w:tblStylePr>
  </w:style>
  <w:style w:type="table" w:customStyle="1" w:styleId="ColorfulList-Accent13">
    <w:name w:val="Colorful List - Accent 13"/>
    <w:basedOn w:val="TableNormal"/>
    <w:next w:val="ColorfulList-Accent1"/>
    <w:uiPriority w:val="72"/>
    <w:rsid w:val="00C1281D"/>
    <w:pPr>
      <w:spacing w:after="0" w:line="240" w:lineRule="auto"/>
    </w:pPr>
    <w:rPr>
      <w:rFonts w:ascii="Calibri" w:eastAsia="Calibri" w:hAnsi="Calibri" w:cs="Times New Roman"/>
      <w:color w:val="000000"/>
      <w:sz w:val="20"/>
      <w:szCs w:val="20"/>
      <w:lang w:val="en-GB" w:eastAsia="en-GB"/>
    </w:rPr>
    <w:tblPr>
      <w:tblStyleRowBandSize w:val="1"/>
      <w:tblStyleColBandSize w:val="1"/>
    </w:tblPr>
    <w:tcPr>
      <w:shd w:val="clear" w:color="auto" w:fill="FAEFEC"/>
    </w:tcPr>
    <w:tblStylePr w:type="firstRow">
      <w:rPr>
        <w:b/>
        <w:bCs/>
        <w:color w:val="FFFFFF"/>
      </w:rPr>
      <w:tblPr/>
      <w:tcPr>
        <w:tcBorders>
          <w:bottom w:val="single" w:sz="12" w:space="0" w:color="FFFFFF"/>
        </w:tcBorders>
        <w:shd w:val="clear" w:color="auto" w:fill="A38F00"/>
      </w:tcPr>
    </w:tblStylePr>
    <w:tblStylePr w:type="lastRow">
      <w:rPr>
        <w:b/>
        <w:bCs/>
        <w:color w:val="A38F00"/>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3D8D2"/>
      </w:tcPr>
    </w:tblStylePr>
    <w:tblStylePr w:type="band1Horz">
      <w:tblPr/>
      <w:tcPr>
        <w:shd w:val="clear" w:color="auto" w:fill="F5DFDA"/>
      </w:tcPr>
    </w:tblStylePr>
  </w:style>
  <w:style w:type="numbering" w:customStyle="1" w:styleId="NoList23">
    <w:name w:val="No List23"/>
    <w:next w:val="NoList"/>
    <w:uiPriority w:val="99"/>
    <w:semiHidden/>
    <w:unhideWhenUsed/>
    <w:rsid w:val="00C1281D"/>
  </w:style>
  <w:style w:type="table" w:customStyle="1" w:styleId="LightList-Accent326">
    <w:name w:val="Light List - Accent 326"/>
    <w:basedOn w:val="TableNormal"/>
    <w:next w:val="LightList-Accent3"/>
    <w:uiPriority w:val="61"/>
    <w:rsid w:val="00C1281D"/>
    <w:pPr>
      <w:spacing w:after="0" w:line="240" w:lineRule="auto"/>
    </w:pPr>
    <w:rPr>
      <w:rFonts w:ascii="Calibri" w:eastAsia="Calibri" w:hAnsi="Calibri" w:cs="Times New Roman"/>
      <w:sz w:val="20"/>
      <w:szCs w:val="20"/>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3116">
    <w:name w:val="Light List - Accent 3116"/>
    <w:basedOn w:val="TableNormal"/>
    <w:next w:val="LightList-Accent3"/>
    <w:uiPriority w:val="61"/>
    <w:rsid w:val="00C1281D"/>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Shading-Accent1320">
    <w:name w:val="Light Shading - Accent 1320"/>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13">
    <w:name w:val="Light Shading - Accent 13113"/>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26">
    <w:name w:val="Light Shading - Accent 1326"/>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tabele313">
    <w:name w:val="tabele 313"/>
    <w:basedOn w:val="TableNormal"/>
    <w:next w:val="LightList-Accent3"/>
    <w:uiPriority w:val="61"/>
    <w:rsid w:val="00C1281D"/>
    <w:pPr>
      <w:spacing w:after="0" w:line="240" w:lineRule="auto"/>
    </w:pPr>
    <w:rPr>
      <w:rFonts w:ascii="Cambria Math" w:eastAsia="Calibri" w:hAnsi="Cambria Math" w:cs="Times New Roman"/>
      <w:sz w:val="18"/>
      <w:lang w:val="sr-Cyrl-CS"/>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LightShading-Accent1115">
    <w:name w:val="Light Shading - Accent 1115"/>
    <w:basedOn w:val="TableNormal"/>
    <w:uiPriority w:val="60"/>
    <w:rsid w:val="00C1281D"/>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323">
    <w:name w:val="Light Shading - Accent 323"/>
    <w:basedOn w:val="TableNormal"/>
    <w:next w:val="LightShading-Accent3"/>
    <w:uiPriority w:val="60"/>
    <w:rsid w:val="00C1281D"/>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List-Accent523">
    <w:name w:val="Light List - Accent 523"/>
    <w:basedOn w:val="TableNormal"/>
    <w:next w:val="LightList-Accent5"/>
    <w:uiPriority w:val="61"/>
    <w:rsid w:val="00C1281D"/>
    <w:pPr>
      <w:spacing w:after="0" w:line="240" w:lineRule="auto"/>
    </w:pPr>
    <w:rPr>
      <w:rFonts w:ascii="Calibri" w:eastAsia="Calibri" w:hAnsi="Calibri" w:cs="Times New Roman"/>
      <w:sz w:val="20"/>
      <w:szCs w:val="20"/>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Shading-Accent3113">
    <w:name w:val="Light Shading - Accent 3113"/>
    <w:basedOn w:val="TableNormal"/>
    <w:next w:val="LightShading-Accent3"/>
    <w:uiPriority w:val="60"/>
    <w:rsid w:val="00C1281D"/>
    <w:pPr>
      <w:spacing w:after="0" w:line="240" w:lineRule="auto"/>
    </w:pPr>
    <w:rPr>
      <w:rFonts w:ascii="Constantia" w:eastAsia="Constantia" w:hAnsi="Constantia" w:cs="Times New Roman"/>
      <w:color w:val="8CADAE"/>
      <w:lang w:val="sr-Cyrl-CS"/>
    </w:rPr>
    <w:tblPr>
      <w:tblStyleRowBandSize w:val="1"/>
      <w:tblStyleColBandSize w:val="1"/>
      <w:tblBorders>
        <w:top w:val="single" w:sz="8" w:space="0" w:color="8CADAE"/>
        <w:bottom w:val="single" w:sz="8" w:space="0" w:color="8CADAE"/>
      </w:tblBorders>
    </w:tblPr>
    <w:tblStylePr w:type="fir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la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2EAEB"/>
      </w:tcPr>
    </w:tblStylePr>
    <w:tblStylePr w:type="band1Horz">
      <w:tblPr/>
      <w:tcPr>
        <w:tcBorders>
          <w:left w:val="nil"/>
          <w:right w:val="nil"/>
          <w:insideH w:val="nil"/>
          <w:insideV w:val="nil"/>
        </w:tcBorders>
        <w:shd w:val="clear" w:color="auto" w:fill="E2EAEB"/>
      </w:tcPr>
    </w:tblStylePr>
  </w:style>
  <w:style w:type="table" w:customStyle="1" w:styleId="LightList-Accent3123">
    <w:name w:val="Light List - Accent 3123"/>
    <w:basedOn w:val="TableNormal"/>
    <w:next w:val="LightList-Accent3"/>
    <w:uiPriority w:val="61"/>
    <w:rsid w:val="00C1281D"/>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5113">
    <w:name w:val="Light List - Accent 5113"/>
    <w:basedOn w:val="TableNormal"/>
    <w:next w:val="LightList-Accent5"/>
    <w:uiPriority w:val="61"/>
    <w:rsid w:val="00C1281D"/>
    <w:pPr>
      <w:spacing w:after="0" w:line="240" w:lineRule="auto"/>
    </w:pPr>
    <w:rPr>
      <w:rFonts w:ascii="Times New Roman" w:eastAsia="Constantia" w:hAnsi="Times New Roman" w:cs="Times New Roman"/>
      <w:lang w:val="sr-Cyrl-CS"/>
    </w:rPr>
    <w:tblPr>
      <w:tblStyleRowBandSize w:val="1"/>
      <w:tblStyleColBandSize w:val="1"/>
      <w:tblBorders>
        <w:top w:val="single" w:sz="8" w:space="0" w:color="8FB08C"/>
        <w:left w:val="single" w:sz="8" w:space="0" w:color="8FB08C"/>
        <w:bottom w:val="single" w:sz="8" w:space="0" w:color="8FB08C"/>
        <w:right w:val="single" w:sz="8" w:space="0" w:color="8FB08C"/>
      </w:tblBorders>
    </w:tblPr>
    <w:tblStylePr w:type="firstRow">
      <w:pPr>
        <w:spacing w:before="0" w:after="0" w:line="240" w:lineRule="auto"/>
      </w:pPr>
      <w:rPr>
        <w:b/>
        <w:bCs/>
        <w:color w:val="FFFFFF"/>
      </w:rPr>
      <w:tblPr/>
      <w:tcPr>
        <w:shd w:val="clear" w:color="auto" w:fill="8FB08C"/>
      </w:tcPr>
    </w:tblStylePr>
    <w:tblStylePr w:type="lastRow">
      <w:pPr>
        <w:spacing w:before="0" w:after="0" w:line="240" w:lineRule="auto"/>
      </w:pPr>
      <w:rPr>
        <w:b/>
        <w:bCs/>
      </w:rPr>
      <w:tblPr/>
      <w:tcPr>
        <w:tcBorders>
          <w:top w:val="double" w:sz="6" w:space="0" w:color="8FB08C"/>
          <w:left w:val="single" w:sz="8" w:space="0" w:color="8FB08C"/>
          <w:bottom w:val="single" w:sz="8" w:space="0" w:color="8FB08C"/>
          <w:right w:val="single" w:sz="8" w:space="0" w:color="8FB08C"/>
        </w:tcBorders>
      </w:tcPr>
    </w:tblStylePr>
    <w:tblStylePr w:type="firstCol">
      <w:rPr>
        <w:b/>
        <w:bCs/>
      </w:rPr>
    </w:tblStylePr>
    <w:tblStylePr w:type="lastCol">
      <w:rPr>
        <w:b/>
        <w:bCs/>
      </w:rPr>
    </w:tblStylePr>
    <w:tblStylePr w:type="band1Vert">
      <w:tblPr/>
      <w:tcPr>
        <w:tcBorders>
          <w:top w:val="single" w:sz="8" w:space="0" w:color="8FB08C"/>
          <w:left w:val="single" w:sz="8" w:space="0" w:color="8FB08C"/>
          <w:bottom w:val="single" w:sz="8" w:space="0" w:color="8FB08C"/>
          <w:right w:val="single" w:sz="8" w:space="0" w:color="8FB08C"/>
        </w:tcBorders>
      </w:tcPr>
    </w:tblStylePr>
    <w:tblStylePr w:type="band1Horz">
      <w:tblPr/>
      <w:tcPr>
        <w:tcBorders>
          <w:top w:val="single" w:sz="8" w:space="0" w:color="8FB08C"/>
          <w:left w:val="single" w:sz="8" w:space="0" w:color="8FB08C"/>
          <w:bottom w:val="single" w:sz="8" w:space="0" w:color="8FB08C"/>
          <w:right w:val="single" w:sz="8" w:space="0" w:color="8FB08C"/>
        </w:tcBorders>
      </w:tcPr>
    </w:tblStylePr>
  </w:style>
  <w:style w:type="table" w:customStyle="1" w:styleId="LightGrid-Accent5114">
    <w:name w:val="Light Grid - Accent 5114"/>
    <w:basedOn w:val="TableNormal"/>
    <w:next w:val="LightGrid-Accent5"/>
    <w:uiPriority w:val="62"/>
    <w:rsid w:val="00C1281D"/>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omic Sans MS" w:eastAsia="Times New Roman" w:hAnsi="Comic Sans MS"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omic Sans MS" w:eastAsia="Times New Roman" w:hAnsi="Comic Sans MS"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omic Sans MS" w:eastAsia="Times New Roman" w:hAnsi="Comic Sans MS" w:cs="Times New Roman"/>
        <w:b/>
        <w:bCs/>
      </w:rPr>
    </w:tblStylePr>
    <w:tblStylePr w:type="lastCol">
      <w:rPr>
        <w:rFonts w:ascii="Comic Sans MS" w:eastAsia="Times New Roman" w:hAnsi="Comic Sans MS"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1113">
    <w:name w:val="Светло сенчење – наглашавање 1113"/>
    <w:basedOn w:val="TableNormal"/>
    <w:uiPriority w:val="60"/>
    <w:rsid w:val="00C1281D"/>
    <w:pPr>
      <w:spacing w:after="0" w:line="240" w:lineRule="auto"/>
    </w:pPr>
    <w:rPr>
      <w:rFonts w:ascii="Calibri" w:eastAsia="Calibri" w:hAnsi="Calibri" w:cs="Times New Roman"/>
      <w:color w:val="365F91"/>
      <w:sz w:val="20"/>
      <w:szCs w:val="20"/>
      <w:lang w:val="sr-Latn-CS" w:eastAsia="en-GB"/>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Grid-Accent524">
    <w:name w:val="Light Grid - Accent 524"/>
    <w:basedOn w:val="TableNormal"/>
    <w:next w:val="LightGrid-Accent5"/>
    <w:uiPriority w:val="62"/>
    <w:rsid w:val="00C1281D"/>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Comic Sans MS" w:eastAsia="Times New Roman" w:hAnsi="Comic Sans MS"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Comic Sans MS" w:eastAsia="Times New Roman" w:hAnsi="Comic Sans MS"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Comic Sans MS" w:eastAsia="Times New Roman" w:hAnsi="Comic Sans MS" w:cs="Times New Roman"/>
        <w:b/>
        <w:bCs/>
      </w:rPr>
    </w:tblStylePr>
    <w:tblStylePr w:type="lastCol">
      <w:rPr>
        <w:rFonts w:ascii="Comic Sans MS" w:eastAsia="Times New Roman" w:hAnsi="Comic Sans MS"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List-Accent3213">
    <w:name w:val="Light List - Accent 3213"/>
    <w:basedOn w:val="TableNormal"/>
    <w:next w:val="LightList-Accent3"/>
    <w:uiPriority w:val="61"/>
    <w:rsid w:val="00C1281D"/>
    <w:pPr>
      <w:spacing w:after="0" w:line="240" w:lineRule="auto"/>
    </w:pPr>
    <w:rPr>
      <w:rFonts w:ascii="Calibri" w:eastAsia="Calibri" w:hAnsi="Calibri" w:cs="Times New Roman"/>
      <w:sz w:val="20"/>
      <w:szCs w:val="20"/>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31113">
    <w:name w:val="Light List - Accent 31113"/>
    <w:basedOn w:val="TableNormal"/>
    <w:next w:val="LightList-Accent3"/>
    <w:uiPriority w:val="61"/>
    <w:rsid w:val="00C1281D"/>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Shading-Accent1333">
    <w:name w:val="Light Shading - Accent 1333"/>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14">
    <w:name w:val="Light Shading - Accent 13114"/>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213">
    <w:name w:val="Light Shading - Accent 13213"/>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23">
    <w:name w:val="Light Shading - Accent 1123"/>
    <w:basedOn w:val="TableNormal"/>
    <w:uiPriority w:val="60"/>
    <w:rsid w:val="00C1281D"/>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43">
    <w:name w:val="Light Shading - Accent 1343"/>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33">
    <w:name w:val="Light Shading - Accent 1133"/>
    <w:basedOn w:val="TableNormal"/>
    <w:uiPriority w:val="60"/>
    <w:rsid w:val="00C1281D"/>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53">
    <w:name w:val="Light Shading - Accent 1353"/>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64">
    <w:name w:val="Light Shading - Accent 1364"/>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73">
    <w:name w:val="Light Shading - Accent 1373"/>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tabele323">
    <w:name w:val="tabele 323"/>
    <w:basedOn w:val="TableNormal"/>
    <w:next w:val="LightList-Accent3"/>
    <w:uiPriority w:val="61"/>
    <w:rsid w:val="00C1281D"/>
    <w:pPr>
      <w:spacing w:after="0" w:line="240" w:lineRule="auto"/>
    </w:pPr>
    <w:rPr>
      <w:rFonts w:ascii="Cambria Math" w:eastAsia="Calibri" w:hAnsi="Cambria Math" w:cs="Times New Roman"/>
      <w:sz w:val="18"/>
      <w:lang w:val="sr-Cyrl-CS"/>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LightShading-Accent1143">
    <w:name w:val="Light Shading - Accent 1143"/>
    <w:basedOn w:val="TableNormal"/>
    <w:uiPriority w:val="60"/>
    <w:rsid w:val="00C1281D"/>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336">
    <w:name w:val="Light Shading - Accent 336"/>
    <w:basedOn w:val="TableNormal"/>
    <w:next w:val="LightShading-Accent3"/>
    <w:uiPriority w:val="60"/>
    <w:rsid w:val="00C1281D"/>
    <w:pPr>
      <w:spacing w:after="0" w:line="240" w:lineRule="auto"/>
    </w:pPr>
    <w:rPr>
      <w:rFonts w:ascii="Arial" w:eastAsia="Calibri" w:hAnsi="Arial" w:cs="Times New Roman"/>
      <w:color w:val="474747"/>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List-Accent533">
    <w:name w:val="Light List - Accent 533"/>
    <w:basedOn w:val="TableNormal"/>
    <w:next w:val="LightList-Accent5"/>
    <w:uiPriority w:val="61"/>
    <w:rsid w:val="00C1281D"/>
    <w:pPr>
      <w:spacing w:after="0" w:line="240" w:lineRule="auto"/>
    </w:pPr>
    <w:rPr>
      <w:rFonts w:ascii="Calibri" w:eastAsia="Calibri" w:hAnsi="Calibri" w:cs="Times New Roman"/>
      <w:sz w:val="20"/>
      <w:szCs w:val="20"/>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Shading-Accent3123">
    <w:name w:val="Light Shading - Accent 3123"/>
    <w:basedOn w:val="TableNormal"/>
    <w:next w:val="LightShading-Accent3"/>
    <w:uiPriority w:val="60"/>
    <w:rsid w:val="00C1281D"/>
    <w:pPr>
      <w:spacing w:after="0" w:line="240" w:lineRule="auto"/>
    </w:pPr>
    <w:rPr>
      <w:rFonts w:ascii="Constantia" w:eastAsia="Constantia" w:hAnsi="Constantia" w:cs="Times New Roman"/>
      <w:color w:val="8CADAE"/>
      <w:lang w:val="sr-Cyrl-CS"/>
    </w:rPr>
    <w:tblPr>
      <w:tblStyleRowBandSize w:val="1"/>
      <w:tblStyleColBandSize w:val="1"/>
      <w:tblBorders>
        <w:top w:val="single" w:sz="8" w:space="0" w:color="8CADAE"/>
        <w:bottom w:val="single" w:sz="8" w:space="0" w:color="8CADAE"/>
      </w:tblBorders>
    </w:tblPr>
    <w:tblStylePr w:type="fir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la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2EAEB"/>
      </w:tcPr>
    </w:tblStylePr>
    <w:tblStylePr w:type="band1Horz">
      <w:tblPr/>
      <w:tcPr>
        <w:tcBorders>
          <w:left w:val="nil"/>
          <w:right w:val="nil"/>
          <w:insideH w:val="nil"/>
          <w:insideV w:val="nil"/>
        </w:tcBorders>
        <w:shd w:val="clear" w:color="auto" w:fill="E2EAEB"/>
      </w:tcPr>
    </w:tblStylePr>
  </w:style>
  <w:style w:type="table" w:customStyle="1" w:styleId="LightList-Accent3133">
    <w:name w:val="Light List - Accent 3133"/>
    <w:basedOn w:val="TableNormal"/>
    <w:next w:val="LightList-Accent3"/>
    <w:uiPriority w:val="61"/>
    <w:rsid w:val="00C1281D"/>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5123">
    <w:name w:val="Light List - Accent 5123"/>
    <w:basedOn w:val="TableNormal"/>
    <w:next w:val="LightList-Accent5"/>
    <w:uiPriority w:val="61"/>
    <w:rsid w:val="00C1281D"/>
    <w:pPr>
      <w:spacing w:after="0" w:line="240" w:lineRule="auto"/>
    </w:pPr>
    <w:rPr>
      <w:rFonts w:ascii="Times New Roman" w:eastAsia="Constantia" w:hAnsi="Times New Roman" w:cs="Times New Roman"/>
      <w:lang w:val="sr-Cyrl-CS"/>
    </w:rPr>
    <w:tblPr>
      <w:tblStyleRowBandSize w:val="1"/>
      <w:tblStyleColBandSize w:val="1"/>
      <w:tblBorders>
        <w:top w:val="single" w:sz="8" w:space="0" w:color="8FB08C"/>
        <w:left w:val="single" w:sz="8" w:space="0" w:color="8FB08C"/>
        <w:bottom w:val="single" w:sz="8" w:space="0" w:color="8FB08C"/>
        <w:right w:val="single" w:sz="8" w:space="0" w:color="8FB08C"/>
      </w:tblBorders>
    </w:tblPr>
    <w:tblStylePr w:type="firstRow">
      <w:pPr>
        <w:spacing w:before="0" w:after="0" w:line="240" w:lineRule="auto"/>
      </w:pPr>
      <w:rPr>
        <w:b/>
        <w:bCs/>
        <w:color w:val="FFFFFF"/>
      </w:rPr>
      <w:tblPr/>
      <w:tcPr>
        <w:shd w:val="clear" w:color="auto" w:fill="8FB08C"/>
      </w:tcPr>
    </w:tblStylePr>
    <w:tblStylePr w:type="lastRow">
      <w:pPr>
        <w:spacing w:before="0" w:after="0" w:line="240" w:lineRule="auto"/>
      </w:pPr>
      <w:rPr>
        <w:b/>
        <w:bCs/>
      </w:rPr>
      <w:tblPr/>
      <w:tcPr>
        <w:tcBorders>
          <w:top w:val="double" w:sz="6" w:space="0" w:color="8FB08C"/>
          <w:left w:val="single" w:sz="8" w:space="0" w:color="8FB08C"/>
          <w:bottom w:val="single" w:sz="8" w:space="0" w:color="8FB08C"/>
          <w:right w:val="single" w:sz="8" w:space="0" w:color="8FB08C"/>
        </w:tcBorders>
      </w:tcPr>
    </w:tblStylePr>
    <w:tblStylePr w:type="firstCol">
      <w:rPr>
        <w:b/>
        <w:bCs/>
      </w:rPr>
    </w:tblStylePr>
    <w:tblStylePr w:type="lastCol">
      <w:rPr>
        <w:b/>
        <w:bCs/>
      </w:rPr>
    </w:tblStylePr>
    <w:tblStylePr w:type="band1Vert">
      <w:tblPr/>
      <w:tcPr>
        <w:tcBorders>
          <w:top w:val="single" w:sz="8" w:space="0" w:color="8FB08C"/>
          <w:left w:val="single" w:sz="8" w:space="0" w:color="8FB08C"/>
          <w:bottom w:val="single" w:sz="8" w:space="0" w:color="8FB08C"/>
          <w:right w:val="single" w:sz="8" w:space="0" w:color="8FB08C"/>
        </w:tcBorders>
      </w:tcPr>
    </w:tblStylePr>
    <w:tblStylePr w:type="band1Horz">
      <w:tblPr/>
      <w:tcPr>
        <w:tcBorders>
          <w:top w:val="single" w:sz="8" w:space="0" w:color="8FB08C"/>
          <w:left w:val="single" w:sz="8" w:space="0" w:color="8FB08C"/>
          <w:bottom w:val="single" w:sz="8" w:space="0" w:color="8FB08C"/>
          <w:right w:val="single" w:sz="8" w:space="0" w:color="8FB08C"/>
        </w:tcBorders>
      </w:tcPr>
    </w:tblStylePr>
  </w:style>
  <w:style w:type="table" w:customStyle="1" w:styleId="LightGrid-Accent5124">
    <w:name w:val="Light Grid - Accent 5124"/>
    <w:basedOn w:val="TableNormal"/>
    <w:next w:val="LightGrid-Accent5"/>
    <w:uiPriority w:val="62"/>
    <w:rsid w:val="00C1281D"/>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omic Sans MS" w:eastAsia="Times New Roman" w:hAnsi="Comic Sans MS"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omic Sans MS" w:eastAsia="Times New Roman" w:hAnsi="Comic Sans MS"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omic Sans MS" w:eastAsia="Times New Roman" w:hAnsi="Comic Sans MS" w:cs="Times New Roman"/>
        <w:b/>
        <w:bCs/>
      </w:rPr>
    </w:tblStylePr>
    <w:tblStylePr w:type="lastCol">
      <w:rPr>
        <w:rFonts w:ascii="Comic Sans MS" w:eastAsia="Times New Roman" w:hAnsi="Comic Sans MS"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1123">
    <w:name w:val="Светло сенчење – наглашавање 1123"/>
    <w:basedOn w:val="TableNormal"/>
    <w:uiPriority w:val="60"/>
    <w:rsid w:val="00C1281D"/>
    <w:pPr>
      <w:spacing w:after="0" w:line="240" w:lineRule="auto"/>
    </w:pPr>
    <w:rPr>
      <w:rFonts w:ascii="Calibri" w:eastAsia="Calibri" w:hAnsi="Calibri" w:cs="Times New Roman"/>
      <w:color w:val="365F91"/>
      <w:sz w:val="20"/>
      <w:szCs w:val="20"/>
      <w:lang w:val="sr-Latn-CS" w:eastAsia="en-GB"/>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Grid-Accent534">
    <w:name w:val="Light Grid - Accent 534"/>
    <w:basedOn w:val="TableNormal"/>
    <w:next w:val="LightGrid-Accent5"/>
    <w:uiPriority w:val="62"/>
    <w:rsid w:val="00C1281D"/>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Comic Sans MS" w:eastAsia="Times New Roman" w:hAnsi="Comic Sans MS"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Comic Sans MS" w:eastAsia="Times New Roman" w:hAnsi="Comic Sans MS"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Comic Sans MS" w:eastAsia="Times New Roman" w:hAnsi="Comic Sans MS" w:cs="Times New Roman"/>
        <w:b/>
        <w:bCs/>
      </w:rPr>
    </w:tblStylePr>
    <w:tblStylePr w:type="lastCol">
      <w:rPr>
        <w:rFonts w:ascii="Comic Sans MS" w:eastAsia="Times New Roman" w:hAnsi="Comic Sans MS"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List-Accent3223">
    <w:name w:val="Light List - Accent 3223"/>
    <w:basedOn w:val="TableNormal"/>
    <w:next w:val="LightList-Accent3"/>
    <w:uiPriority w:val="61"/>
    <w:rsid w:val="00C1281D"/>
    <w:pPr>
      <w:spacing w:after="0" w:line="240" w:lineRule="auto"/>
    </w:pPr>
    <w:rPr>
      <w:rFonts w:ascii="Calibri" w:eastAsia="Calibri" w:hAnsi="Calibri" w:cs="Times New Roman"/>
      <w:sz w:val="20"/>
      <w:szCs w:val="20"/>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31123">
    <w:name w:val="Light List - Accent 31123"/>
    <w:basedOn w:val="TableNormal"/>
    <w:next w:val="LightList-Accent3"/>
    <w:uiPriority w:val="61"/>
    <w:rsid w:val="00C1281D"/>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Shading-Accent1384">
    <w:name w:val="Light Shading - Accent 1384"/>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23">
    <w:name w:val="Light Shading - Accent 13123"/>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223">
    <w:name w:val="Light Shading - Accent 13223"/>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53">
    <w:name w:val="Light Shading - Accent 1153"/>
    <w:basedOn w:val="TableNormal"/>
    <w:uiPriority w:val="60"/>
    <w:rsid w:val="00C1281D"/>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94">
    <w:name w:val="Light Shading - Accent 1394"/>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64">
    <w:name w:val="Light Shading - Accent 1164"/>
    <w:basedOn w:val="TableNormal"/>
    <w:uiPriority w:val="60"/>
    <w:rsid w:val="00C1281D"/>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04">
    <w:name w:val="Light Shading - Accent 13104"/>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33">
    <w:name w:val="Light Shading - Accent 13133"/>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tabele333">
    <w:name w:val="tabele 333"/>
    <w:basedOn w:val="TableNormal"/>
    <w:next w:val="LightList-Accent3"/>
    <w:uiPriority w:val="61"/>
    <w:rsid w:val="00C1281D"/>
    <w:pPr>
      <w:spacing w:after="0" w:line="240" w:lineRule="auto"/>
    </w:pPr>
    <w:rPr>
      <w:rFonts w:ascii="Cambria Math" w:eastAsia="Calibri" w:hAnsi="Cambria Math" w:cs="Times New Roman"/>
      <w:sz w:val="18"/>
      <w:lang w:val="sr-Cyrl-CS"/>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LightShading-Accent1173">
    <w:name w:val="Light Shading - Accent 1173"/>
    <w:basedOn w:val="TableNormal"/>
    <w:uiPriority w:val="60"/>
    <w:rsid w:val="00C1281D"/>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345">
    <w:name w:val="Light Shading - Accent 345"/>
    <w:basedOn w:val="TableNormal"/>
    <w:next w:val="LightShading-Accent3"/>
    <w:uiPriority w:val="60"/>
    <w:rsid w:val="00C1281D"/>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List-Accent543">
    <w:name w:val="Light List - Accent 543"/>
    <w:basedOn w:val="TableNormal"/>
    <w:next w:val="LightList-Accent5"/>
    <w:uiPriority w:val="61"/>
    <w:rsid w:val="00C1281D"/>
    <w:pPr>
      <w:spacing w:after="0" w:line="240" w:lineRule="auto"/>
    </w:pPr>
    <w:rPr>
      <w:rFonts w:ascii="Calibri" w:eastAsia="Calibri" w:hAnsi="Calibri" w:cs="Times New Roman"/>
      <w:sz w:val="20"/>
      <w:szCs w:val="20"/>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Shading-Accent3133">
    <w:name w:val="Light Shading - Accent 3133"/>
    <w:basedOn w:val="TableNormal"/>
    <w:next w:val="LightShading-Accent3"/>
    <w:uiPriority w:val="60"/>
    <w:rsid w:val="00C1281D"/>
    <w:pPr>
      <w:spacing w:after="0" w:line="240" w:lineRule="auto"/>
    </w:pPr>
    <w:rPr>
      <w:rFonts w:ascii="Constantia" w:eastAsia="Constantia" w:hAnsi="Constantia" w:cs="Times New Roman"/>
      <w:color w:val="8CADAE"/>
      <w:lang w:val="sr-Cyrl-CS"/>
    </w:rPr>
    <w:tblPr>
      <w:tblStyleRowBandSize w:val="1"/>
      <w:tblStyleColBandSize w:val="1"/>
      <w:tblBorders>
        <w:top w:val="single" w:sz="8" w:space="0" w:color="8CADAE"/>
        <w:bottom w:val="single" w:sz="8" w:space="0" w:color="8CADAE"/>
      </w:tblBorders>
    </w:tblPr>
    <w:tblStylePr w:type="fir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la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2EAEB"/>
      </w:tcPr>
    </w:tblStylePr>
    <w:tblStylePr w:type="band1Horz">
      <w:tblPr/>
      <w:tcPr>
        <w:tcBorders>
          <w:left w:val="nil"/>
          <w:right w:val="nil"/>
          <w:insideH w:val="nil"/>
          <w:insideV w:val="nil"/>
        </w:tcBorders>
        <w:shd w:val="clear" w:color="auto" w:fill="E2EAEB"/>
      </w:tcPr>
    </w:tblStylePr>
  </w:style>
  <w:style w:type="table" w:customStyle="1" w:styleId="LightList-Accent3143">
    <w:name w:val="Light List - Accent 3143"/>
    <w:basedOn w:val="TableNormal"/>
    <w:next w:val="LightList-Accent3"/>
    <w:uiPriority w:val="61"/>
    <w:rsid w:val="00C1281D"/>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5133">
    <w:name w:val="Light List - Accent 5133"/>
    <w:basedOn w:val="TableNormal"/>
    <w:next w:val="LightList-Accent5"/>
    <w:uiPriority w:val="61"/>
    <w:rsid w:val="00C1281D"/>
    <w:pPr>
      <w:spacing w:after="0" w:line="240" w:lineRule="auto"/>
    </w:pPr>
    <w:rPr>
      <w:rFonts w:ascii="Times New Roman" w:eastAsia="Constantia" w:hAnsi="Times New Roman" w:cs="Times New Roman"/>
      <w:lang w:val="sr-Cyrl-CS"/>
    </w:rPr>
    <w:tblPr>
      <w:tblStyleRowBandSize w:val="1"/>
      <w:tblStyleColBandSize w:val="1"/>
      <w:tblBorders>
        <w:top w:val="single" w:sz="8" w:space="0" w:color="8FB08C"/>
        <w:left w:val="single" w:sz="8" w:space="0" w:color="8FB08C"/>
        <w:bottom w:val="single" w:sz="8" w:space="0" w:color="8FB08C"/>
        <w:right w:val="single" w:sz="8" w:space="0" w:color="8FB08C"/>
      </w:tblBorders>
    </w:tblPr>
    <w:tblStylePr w:type="firstRow">
      <w:pPr>
        <w:spacing w:before="0" w:after="0" w:line="240" w:lineRule="auto"/>
      </w:pPr>
      <w:rPr>
        <w:b/>
        <w:bCs/>
        <w:color w:val="FFFFFF"/>
      </w:rPr>
      <w:tblPr/>
      <w:tcPr>
        <w:shd w:val="clear" w:color="auto" w:fill="8FB08C"/>
      </w:tcPr>
    </w:tblStylePr>
    <w:tblStylePr w:type="lastRow">
      <w:pPr>
        <w:spacing w:before="0" w:after="0" w:line="240" w:lineRule="auto"/>
      </w:pPr>
      <w:rPr>
        <w:b/>
        <w:bCs/>
      </w:rPr>
      <w:tblPr/>
      <w:tcPr>
        <w:tcBorders>
          <w:top w:val="double" w:sz="6" w:space="0" w:color="8FB08C"/>
          <w:left w:val="single" w:sz="8" w:space="0" w:color="8FB08C"/>
          <w:bottom w:val="single" w:sz="8" w:space="0" w:color="8FB08C"/>
          <w:right w:val="single" w:sz="8" w:space="0" w:color="8FB08C"/>
        </w:tcBorders>
      </w:tcPr>
    </w:tblStylePr>
    <w:tblStylePr w:type="firstCol">
      <w:rPr>
        <w:b/>
        <w:bCs/>
      </w:rPr>
    </w:tblStylePr>
    <w:tblStylePr w:type="lastCol">
      <w:rPr>
        <w:b/>
        <w:bCs/>
      </w:rPr>
    </w:tblStylePr>
    <w:tblStylePr w:type="band1Vert">
      <w:tblPr/>
      <w:tcPr>
        <w:tcBorders>
          <w:top w:val="single" w:sz="8" w:space="0" w:color="8FB08C"/>
          <w:left w:val="single" w:sz="8" w:space="0" w:color="8FB08C"/>
          <w:bottom w:val="single" w:sz="8" w:space="0" w:color="8FB08C"/>
          <w:right w:val="single" w:sz="8" w:space="0" w:color="8FB08C"/>
        </w:tcBorders>
      </w:tcPr>
    </w:tblStylePr>
    <w:tblStylePr w:type="band1Horz">
      <w:tblPr/>
      <w:tcPr>
        <w:tcBorders>
          <w:top w:val="single" w:sz="8" w:space="0" w:color="8FB08C"/>
          <w:left w:val="single" w:sz="8" w:space="0" w:color="8FB08C"/>
          <w:bottom w:val="single" w:sz="8" w:space="0" w:color="8FB08C"/>
          <w:right w:val="single" w:sz="8" w:space="0" w:color="8FB08C"/>
        </w:tcBorders>
      </w:tcPr>
    </w:tblStylePr>
  </w:style>
  <w:style w:type="table" w:customStyle="1" w:styleId="LightGrid-Accent5134">
    <w:name w:val="Light Grid - Accent 5134"/>
    <w:basedOn w:val="TableNormal"/>
    <w:next w:val="LightGrid-Accent5"/>
    <w:uiPriority w:val="62"/>
    <w:rsid w:val="00C1281D"/>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omic Sans MS" w:eastAsia="Times New Roman" w:hAnsi="Comic Sans MS"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omic Sans MS" w:eastAsia="Times New Roman" w:hAnsi="Comic Sans MS"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omic Sans MS" w:eastAsia="Times New Roman" w:hAnsi="Comic Sans MS" w:cs="Times New Roman"/>
        <w:b/>
        <w:bCs/>
      </w:rPr>
    </w:tblStylePr>
    <w:tblStylePr w:type="lastCol">
      <w:rPr>
        <w:rFonts w:ascii="Comic Sans MS" w:eastAsia="Times New Roman" w:hAnsi="Comic Sans MS"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1133">
    <w:name w:val="Светло сенчење – наглашавање 1133"/>
    <w:basedOn w:val="TableNormal"/>
    <w:uiPriority w:val="60"/>
    <w:rsid w:val="00C1281D"/>
    <w:pPr>
      <w:spacing w:after="0" w:line="240" w:lineRule="auto"/>
    </w:pPr>
    <w:rPr>
      <w:rFonts w:ascii="Calibri" w:eastAsia="Calibri" w:hAnsi="Calibri" w:cs="Times New Roman"/>
      <w:color w:val="365F91"/>
      <w:sz w:val="20"/>
      <w:szCs w:val="20"/>
      <w:lang w:val="sr-Latn-CS" w:eastAsia="en-GB"/>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Grid-Accent544">
    <w:name w:val="Light Grid - Accent 544"/>
    <w:basedOn w:val="TableNormal"/>
    <w:next w:val="LightGrid-Accent5"/>
    <w:uiPriority w:val="62"/>
    <w:rsid w:val="00C1281D"/>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Comic Sans MS" w:eastAsia="Times New Roman" w:hAnsi="Comic Sans MS"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Comic Sans MS" w:eastAsia="Times New Roman" w:hAnsi="Comic Sans MS"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Comic Sans MS" w:eastAsia="Times New Roman" w:hAnsi="Comic Sans MS" w:cs="Times New Roman"/>
        <w:b/>
        <w:bCs/>
      </w:rPr>
    </w:tblStylePr>
    <w:tblStylePr w:type="lastCol">
      <w:rPr>
        <w:rFonts w:ascii="Comic Sans MS" w:eastAsia="Times New Roman" w:hAnsi="Comic Sans MS"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Shading-Accent1233">
    <w:name w:val="Light Shading - Accent 1233"/>
    <w:basedOn w:val="TableNormal"/>
    <w:uiPriority w:val="60"/>
    <w:rsid w:val="00C1281D"/>
    <w:pPr>
      <w:spacing w:after="0" w:line="240" w:lineRule="auto"/>
    </w:pPr>
    <w:rPr>
      <w:rFonts w:ascii="Cambria" w:eastAsia="Calibri" w:hAnsi="Cambria" w:cs="Times New Roman"/>
      <w:color w:val="A8422A"/>
      <w:sz w:val="20"/>
      <w:szCs w:val="20"/>
      <w:lang w:val="en-GB" w:eastAsia="sr-Cyrl-CS"/>
    </w:rPr>
    <w:tblPr>
      <w:tblStyleRowBandSize w:val="1"/>
      <w:tblStyleColBandSize w:val="1"/>
      <w:tblBorders>
        <w:top w:val="single" w:sz="8" w:space="0" w:color="D16349"/>
        <w:bottom w:val="single" w:sz="8" w:space="0" w:color="D16349"/>
      </w:tblBorders>
    </w:tblPr>
    <w:tblStylePr w:type="fir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la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D8D2"/>
      </w:tcPr>
    </w:tblStylePr>
    <w:tblStylePr w:type="band1Horz">
      <w:tblPr/>
      <w:tcPr>
        <w:tcBorders>
          <w:left w:val="nil"/>
          <w:right w:val="nil"/>
          <w:insideH w:val="nil"/>
          <w:insideV w:val="nil"/>
        </w:tcBorders>
        <w:shd w:val="clear" w:color="auto" w:fill="F3D8D2"/>
      </w:tcPr>
    </w:tblStylePr>
  </w:style>
  <w:style w:type="table" w:customStyle="1" w:styleId="LightList-Accent3233">
    <w:name w:val="Light List - Accent 3233"/>
    <w:basedOn w:val="TableNormal"/>
    <w:next w:val="LightList-Accent3"/>
    <w:uiPriority w:val="61"/>
    <w:rsid w:val="00C1281D"/>
    <w:pPr>
      <w:spacing w:after="0" w:line="240" w:lineRule="auto"/>
    </w:pPr>
    <w:rPr>
      <w:rFonts w:ascii="Calibri" w:eastAsia="Calibri" w:hAnsi="Calibri" w:cs="Times New Roman"/>
      <w:sz w:val="20"/>
      <w:szCs w:val="20"/>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31133">
    <w:name w:val="Light List - Accent 31133"/>
    <w:basedOn w:val="TableNormal"/>
    <w:next w:val="LightList-Accent3"/>
    <w:uiPriority w:val="61"/>
    <w:rsid w:val="00C1281D"/>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Shading-Accent13143">
    <w:name w:val="Light Shading - Accent 13143"/>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53">
    <w:name w:val="Light Shading - Accent 13153"/>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233">
    <w:name w:val="Light Shading - Accent 13233"/>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63">
    <w:name w:val="Light Shading - Accent 13163"/>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813">
    <w:name w:val="Light Shading - Accent 13813"/>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83">
    <w:name w:val="Light Shading - Accent 1183"/>
    <w:basedOn w:val="TableNormal"/>
    <w:uiPriority w:val="60"/>
    <w:rsid w:val="00C1281D"/>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913">
    <w:name w:val="Light Shading - Accent 13913"/>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613">
    <w:name w:val="Light Shading - Accent 11613"/>
    <w:basedOn w:val="TableNormal"/>
    <w:uiPriority w:val="60"/>
    <w:rsid w:val="00C1281D"/>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013">
    <w:name w:val="Light Shading - Accent 131013"/>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613">
    <w:name w:val="Light Shading - Accent 13613"/>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93">
    <w:name w:val="Light Shading - Accent 1193"/>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42">
    <w:name w:val="Light Shading - Accent 142"/>
    <w:basedOn w:val="TableNormal"/>
    <w:next w:val="LightShading-Accent1"/>
    <w:uiPriority w:val="60"/>
    <w:rsid w:val="00C1281D"/>
    <w:pPr>
      <w:spacing w:after="0" w:line="240" w:lineRule="auto"/>
    </w:pPr>
    <w:rPr>
      <w:color w:val="BF2B0E"/>
    </w:rPr>
    <w:tblPr>
      <w:tblStyleRowBandSize w:val="1"/>
      <w:tblStyleColBandSize w:val="1"/>
      <w:tblBorders>
        <w:top w:val="single" w:sz="8" w:space="0" w:color="EF4623"/>
        <w:bottom w:val="single" w:sz="8" w:space="0" w:color="EF4623"/>
      </w:tblBorders>
    </w:tblPr>
    <w:tblStylePr w:type="firstRow">
      <w:pPr>
        <w:spacing w:before="0" w:after="0" w:line="240" w:lineRule="auto"/>
      </w:pPr>
      <w:rPr>
        <w:b/>
        <w:bCs/>
      </w:rPr>
      <w:tblPr/>
      <w:tcPr>
        <w:tcBorders>
          <w:top w:val="single" w:sz="8" w:space="0" w:color="EF4623"/>
          <w:left w:val="nil"/>
          <w:bottom w:val="single" w:sz="8" w:space="0" w:color="EF4623"/>
          <w:right w:val="nil"/>
          <w:insideH w:val="nil"/>
          <w:insideV w:val="nil"/>
        </w:tcBorders>
      </w:tcPr>
    </w:tblStylePr>
    <w:tblStylePr w:type="lastRow">
      <w:pPr>
        <w:spacing w:before="0" w:after="0" w:line="240" w:lineRule="auto"/>
      </w:pPr>
      <w:rPr>
        <w:b/>
        <w:bCs/>
      </w:rPr>
      <w:tblPr/>
      <w:tcPr>
        <w:tcBorders>
          <w:top w:val="single" w:sz="8" w:space="0" w:color="EF4623"/>
          <w:left w:val="nil"/>
          <w:bottom w:val="single" w:sz="8" w:space="0" w:color="EF462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BD1C8"/>
      </w:tcPr>
    </w:tblStylePr>
    <w:tblStylePr w:type="band1Horz">
      <w:tblPr/>
      <w:tcPr>
        <w:tcBorders>
          <w:left w:val="nil"/>
          <w:right w:val="nil"/>
          <w:insideH w:val="nil"/>
          <w:insideV w:val="nil"/>
        </w:tcBorders>
        <w:shd w:val="clear" w:color="auto" w:fill="FBD1C8"/>
      </w:tcPr>
    </w:tblStylePr>
  </w:style>
  <w:style w:type="table" w:customStyle="1" w:styleId="LightShading-Accent3313">
    <w:name w:val="Light Shading - Accent 3313"/>
    <w:basedOn w:val="TableNormal"/>
    <w:next w:val="LightShading-Accent3"/>
    <w:uiPriority w:val="60"/>
    <w:rsid w:val="00C1281D"/>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Shading-Accent3323">
    <w:name w:val="Light Shading - Accent 3323"/>
    <w:basedOn w:val="TableNormal"/>
    <w:next w:val="LightShading-Accent3"/>
    <w:uiPriority w:val="60"/>
    <w:rsid w:val="00C1281D"/>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Shading-Accent3333">
    <w:name w:val="Light Shading - Accent 3333"/>
    <w:basedOn w:val="TableNormal"/>
    <w:next w:val="LightShading-Accent3"/>
    <w:uiPriority w:val="60"/>
    <w:rsid w:val="00C1281D"/>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Shading-Accent3413">
    <w:name w:val="Light Shading - Accent 3413"/>
    <w:basedOn w:val="TableNormal"/>
    <w:next w:val="LightShading-Accent3"/>
    <w:uiPriority w:val="60"/>
    <w:rsid w:val="00C1281D"/>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Shading-Accent3423">
    <w:name w:val="Light Shading - Accent 3423"/>
    <w:basedOn w:val="TableNormal"/>
    <w:next w:val="LightShading-Accent3"/>
    <w:uiPriority w:val="60"/>
    <w:rsid w:val="00C1281D"/>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Grid-Accent5143">
    <w:name w:val="Light Grid - Accent 5143"/>
    <w:basedOn w:val="TableNormal"/>
    <w:next w:val="LightGrid-Accent5"/>
    <w:uiPriority w:val="62"/>
    <w:rsid w:val="00C1281D"/>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553">
    <w:name w:val="Light Grid - Accent 553"/>
    <w:basedOn w:val="TableNormal"/>
    <w:next w:val="LightGrid-Accent5"/>
    <w:uiPriority w:val="62"/>
    <w:rsid w:val="00C1281D"/>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Grid-Accent51113">
    <w:name w:val="Light Grid - Accent 51113"/>
    <w:basedOn w:val="TableNormal"/>
    <w:next w:val="LightGrid-Accent5"/>
    <w:uiPriority w:val="62"/>
    <w:rsid w:val="00C1281D"/>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5213">
    <w:name w:val="Light Grid - Accent 5213"/>
    <w:basedOn w:val="TableNormal"/>
    <w:next w:val="LightGrid-Accent5"/>
    <w:uiPriority w:val="62"/>
    <w:rsid w:val="00C1281D"/>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Grid-Accent51213">
    <w:name w:val="Light Grid - Accent 51213"/>
    <w:basedOn w:val="TableNormal"/>
    <w:next w:val="LightGrid-Accent5"/>
    <w:uiPriority w:val="62"/>
    <w:rsid w:val="00C1281D"/>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5313">
    <w:name w:val="Light Grid - Accent 5313"/>
    <w:basedOn w:val="TableNormal"/>
    <w:next w:val="LightGrid-Accent5"/>
    <w:uiPriority w:val="62"/>
    <w:rsid w:val="00C1281D"/>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Grid-Accent51313">
    <w:name w:val="Light Grid - Accent 51313"/>
    <w:basedOn w:val="TableNormal"/>
    <w:next w:val="LightGrid-Accent5"/>
    <w:uiPriority w:val="62"/>
    <w:rsid w:val="00C1281D"/>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5413">
    <w:name w:val="Light Grid - Accent 5413"/>
    <w:basedOn w:val="TableNormal"/>
    <w:next w:val="LightGrid-Accent5"/>
    <w:uiPriority w:val="62"/>
    <w:rsid w:val="00C1281D"/>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Shading-Accent613">
    <w:name w:val="Light Shading - Accent 613"/>
    <w:basedOn w:val="TableNormal"/>
    <w:next w:val="LightShading-Accent6"/>
    <w:uiPriority w:val="60"/>
    <w:rsid w:val="00C1281D"/>
    <w:pPr>
      <w:spacing w:after="0" w:line="240" w:lineRule="auto"/>
    </w:pPr>
    <w:rPr>
      <w:rFonts w:ascii="Calibri" w:eastAsia="Calibri" w:hAnsi="Calibri" w:cs="Times New Roman"/>
      <w:color w:val="393939"/>
      <w:sz w:val="20"/>
      <w:szCs w:val="20"/>
    </w:rPr>
    <w:tblPr>
      <w:tblStyleRowBandSize w:val="1"/>
      <w:tblStyleColBandSize w:val="1"/>
      <w:tblBorders>
        <w:top w:val="single" w:sz="8" w:space="0" w:color="4D4D4D"/>
        <w:bottom w:val="single" w:sz="8" w:space="0" w:color="4D4D4D"/>
      </w:tblBorders>
    </w:tblPr>
    <w:tblStylePr w:type="firstRow">
      <w:pPr>
        <w:spacing w:beforeLines="0" w:before="0" w:beforeAutospacing="0" w:afterLines="0" w:after="0" w:afterAutospacing="0" w:line="240" w:lineRule="auto"/>
      </w:pPr>
      <w:rPr>
        <w:b/>
        <w:bCs/>
      </w:rPr>
      <w:tblPr/>
      <w:tcPr>
        <w:tcBorders>
          <w:top w:val="single" w:sz="8" w:space="0" w:color="4D4D4D"/>
          <w:left w:val="nil"/>
          <w:bottom w:val="single" w:sz="8" w:space="0" w:color="4D4D4D"/>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4D4D4D"/>
          <w:left w:val="nil"/>
          <w:bottom w:val="single" w:sz="8" w:space="0" w:color="4D4D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3D3"/>
      </w:tcPr>
    </w:tblStylePr>
    <w:tblStylePr w:type="band1Horz">
      <w:tblPr/>
      <w:tcPr>
        <w:tcBorders>
          <w:left w:val="nil"/>
          <w:right w:val="nil"/>
          <w:insideH w:val="nil"/>
          <w:insideV w:val="nil"/>
        </w:tcBorders>
        <w:shd w:val="clear" w:color="auto" w:fill="D3D3D3"/>
      </w:tcPr>
    </w:tblStylePr>
  </w:style>
  <w:style w:type="table" w:customStyle="1" w:styleId="GridTable6Colorful-Accent413">
    <w:name w:val="Grid Table 6 Colorful - Accent 413"/>
    <w:basedOn w:val="TableNormal"/>
    <w:next w:val="GridTable6Colorful-Accent43"/>
    <w:uiPriority w:val="51"/>
    <w:rsid w:val="00C1281D"/>
    <w:pPr>
      <w:spacing w:after="0" w:line="240" w:lineRule="auto"/>
    </w:pPr>
    <w:rPr>
      <w:color w:val="5F5F5F"/>
    </w:rPr>
    <w:tblPr>
      <w:tblStyleRowBandSize w:val="1"/>
      <w:tblStyleColBandSize w:val="1"/>
      <w:tblBorders>
        <w:top w:val="single" w:sz="4" w:space="0" w:color="B2B2B2"/>
        <w:left w:val="single" w:sz="4" w:space="0" w:color="B2B2B2"/>
        <w:bottom w:val="single" w:sz="4" w:space="0" w:color="B2B2B2"/>
        <w:right w:val="single" w:sz="4" w:space="0" w:color="B2B2B2"/>
        <w:insideH w:val="single" w:sz="4" w:space="0" w:color="B2B2B2"/>
        <w:insideV w:val="single" w:sz="4" w:space="0" w:color="B2B2B2"/>
      </w:tblBorders>
    </w:tblPr>
    <w:tblStylePr w:type="firstRow">
      <w:rPr>
        <w:b/>
        <w:bCs/>
      </w:rPr>
      <w:tblPr/>
      <w:tcPr>
        <w:tcBorders>
          <w:bottom w:val="single" w:sz="12" w:space="0" w:color="B2B2B2"/>
        </w:tcBorders>
      </w:tcPr>
    </w:tblStylePr>
    <w:tblStylePr w:type="lastRow">
      <w:rPr>
        <w:b/>
        <w:bCs/>
      </w:rPr>
      <w:tblPr/>
      <w:tcPr>
        <w:tcBorders>
          <w:top w:val="double" w:sz="4" w:space="0" w:color="B2B2B2"/>
        </w:tcBorders>
      </w:tcPr>
    </w:tblStylePr>
    <w:tblStylePr w:type="firstCol">
      <w:rPr>
        <w:b/>
        <w:bCs/>
      </w:rPr>
    </w:tblStylePr>
    <w:tblStylePr w:type="lastCol">
      <w:rPr>
        <w:b/>
        <w:bCs/>
      </w:rPr>
    </w:tblStylePr>
    <w:tblStylePr w:type="band1Vert">
      <w:tblPr/>
      <w:tcPr>
        <w:shd w:val="clear" w:color="auto" w:fill="E5E5E5"/>
      </w:tcPr>
    </w:tblStylePr>
    <w:tblStylePr w:type="band1Horz">
      <w:tblPr/>
      <w:tcPr>
        <w:shd w:val="clear" w:color="auto" w:fill="E5E5E5"/>
      </w:tcPr>
    </w:tblStylePr>
  </w:style>
  <w:style w:type="table" w:customStyle="1" w:styleId="LightShading-Accent6112">
    <w:name w:val="Light Shading - Accent 6112"/>
    <w:basedOn w:val="TableNormal"/>
    <w:next w:val="LightShading-Accent6"/>
    <w:uiPriority w:val="60"/>
    <w:rsid w:val="00C1281D"/>
    <w:pPr>
      <w:spacing w:after="0" w:line="240" w:lineRule="auto"/>
    </w:pPr>
    <w:rPr>
      <w:rFonts w:ascii="Calibri" w:eastAsia="Calibri" w:hAnsi="Calibri" w:cs="Times New Roman"/>
      <w:color w:val="E36C0A"/>
      <w:sz w:val="20"/>
      <w:szCs w:val="20"/>
    </w:rPr>
    <w:tblPr>
      <w:tblStyleRowBandSize w:val="1"/>
      <w:tblStyleColBandSize w:val="1"/>
      <w:tblBorders>
        <w:top w:val="single" w:sz="8" w:space="0" w:color="F79646"/>
        <w:bottom w:val="single" w:sz="8" w:space="0" w:color="F79646"/>
      </w:tblBorders>
    </w:tblPr>
    <w:tblStylePr w:type="firstRow">
      <w:pPr>
        <w:spacing w:beforeLines="0" w:before="0" w:beforeAutospacing="0" w:afterLines="0" w:after="0" w:afterAutospacing="0" w:line="240" w:lineRule="auto"/>
      </w:pPr>
      <w:rPr>
        <w:b/>
        <w:bCs/>
      </w:rPr>
      <w:tblPr/>
      <w:tcPr>
        <w:tcBorders>
          <w:top w:val="single" w:sz="8" w:space="0" w:color="F79646"/>
          <w:left w:val="nil"/>
          <w:bottom w:val="single" w:sz="8" w:space="0" w:color="F79646"/>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F79646"/>
          <w:left w:val="nil"/>
          <w:bottom w:val="single" w:sz="8" w:space="0" w:color="F7964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cPr>
    </w:tblStylePr>
    <w:tblStylePr w:type="band1Horz">
      <w:tblPr/>
      <w:tcPr>
        <w:tcBorders>
          <w:left w:val="nil"/>
          <w:right w:val="nil"/>
          <w:insideH w:val="nil"/>
          <w:insideV w:val="nil"/>
        </w:tcBorders>
        <w:shd w:val="clear" w:color="auto" w:fill="FDE4D0"/>
      </w:tcPr>
    </w:tblStylePr>
  </w:style>
  <w:style w:type="table" w:customStyle="1" w:styleId="GridTable6Colorful-Accent313">
    <w:name w:val="Grid Table 6 Colorful - Accent 313"/>
    <w:basedOn w:val="TableNormal"/>
    <w:next w:val="GridTable6Colorful-Accent33"/>
    <w:uiPriority w:val="51"/>
    <w:rsid w:val="00C1281D"/>
    <w:pPr>
      <w:spacing w:after="0" w:line="240" w:lineRule="auto"/>
    </w:pPr>
    <w:rPr>
      <w:rFonts w:ascii="Calibri" w:eastAsia="Calibri" w:hAnsi="Calibri" w:cs="Times New Roman"/>
      <w:color w:val="707070"/>
      <w:sz w:val="20"/>
      <w:szCs w:val="20"/>
    </w:rPr>
    <w:tblPr>
      <w:tblStyleRowBandSize w:val="1"/>
      <w:tblStyleColBandSize w:val="1"/>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Pr>
    <w:tblStylePr w:type="firstRow">
      <w:rPr>
        <w:b/>
        <w:bCs/>
      </w:rPr>
      <w:tblPr/>
      <w:tcPr>
        <w:tcBorders>
          <w:bottom w:val="single" w:sz="12" w:space="0" w:color="C0C0C0"/>
        </w:tcBorders>
      </w:tcPr>
    </w:tblStylePr>
    <w:tblStylePr w:type="lastRow">
      <w:rPr>
        <w:b/>
        <w:bCs/>
      </w:rPr>
      <w:tblPr/>
      <w:tcPr>
        <w:tcBorders>
          <w:top w:val="double" w:sz="4" w:space="0" w:color="C0C0C0"/>
        </w:tcBorders>
      </w:tcPr>
    </w:tblStylePr>
    <w:tblStylePr w:type="firstCol">
      <w:rPr>
        <w:b/>
        <w:bCs/>
      </w:rPr>
    </w:tblStylePr>
    <w:tblStylePr w:type="lastCol">
      <w:rPr>
        <w:b/>
        <w:bCs/>
      </w:rPr>
    </w:tblStylePr>
    <w:tblStylePr w:type="band1Vert">
      <w:tblPr/>
      <w:tcPr>
        <w:shd w:val="clear" w:color="auto" w:fill="EAEAEA"/>
      </w:tcPr>
    </w:tblStylePr>
    <w:tblStylePr w:type="band1Horz">
      <w:tblPr/>
      <w:tcPr>
        <w:shd w:val="clear" w:color="auto" w:fill="EAEAEA"/>
      </w:tcPr>
    </w:tblStylePr>
  </w:style>
  <w:style w:type="table" w:customStyle="1" w:styleId="GridTable4-Accent512">
    <w:name w:val="Grid Table 4 - Accent 512"/>
    <w:basedOn w:val="TableNormal"/>
    <w:next w:val="GridTable4-Accent53"/>
    <w:uiPriority w:val="49"/>
    <w:rsid w:val="00C1281D"/>
    <w:pPr>
      <w:spacing w:after="0" w:line="240" w:lineRule="auto"/>
    </w:pPr>
    <w:rPr>
      <w:rFonts w:ascii="Calibri" w:eastAsia="Calibri" w:hAnsi="Calibri" w:cs="Times New Roman"/>
      <w:sz w:val="20"/>
      <w:szCs w:val="20"/>
    </w:rPr>
    <w:tblPr>
      <w:tblStyleRowBandSize w:val="1"/>
      <w:tblStyleColBandSize w:val="1"/>
      <w:tblBorders>
        <w:top w:val="single" w:sz="4" w:space="0" w:color="9F9F9F"/>
        <w:left w:val="single" w:sz="4" w:space="0" w:color="9F9F9F"/>
        <w:bottom w:val="single" w:sz="4" w:space="0" w:color="9F9F9F"/>
        <w:right w:val="single" w:sz="4" w:space="0" w:color="9F9F9F"/>
        <w:insideH w:val="single" w:sz="4" w:space="0" w:color="9F9F9F"/>
        <w:insideV w:val="single" w:sz="4" w:space="0" w:color="9F9F9F"/>
      </w:tblBorders>
    </w:tblPr>
    <w:tblStylePr w:type="firstRow">
      <w:rPr>
        <w:b/>
        <w:bCs/>
        <w:color w:val="FFFFFF"/>
      </w:rPr>
      <w:tblPr/>
      <w:tcPr>
        <w:tcBorders>
          <w:top w:val="single" w:sz="4" w:space="0" w:color="5F5F5F"/>
          <w:left w:val="single" w:sz="4" w:space="0" w:color="5F5F5F"/>
          <w:bottom w:val="single" w:sz="4" w:space="0" w:color="5F5F5F"/>
          <w:right w:val="single" w:sz="4" w:space="0" w:color="5F5F5F"/>
          <w:insideH w:val="nil"/>
          <w:insideV w:val="nil"/>
        </w:tcBorders>
        <w:shd w:val="clear" w:color="auto" w:fill="5F5F5F"/>
      </w:tcPr>
    </w:tblStylePr>
    <w:tblStylePr w:type="lastRow">
      <w:rPr>
        <w:b/>
        <w:bCs/>
      </w:rPr>
      <w:tblPr/>
      <w:tcPr>
        <w:tcBorders>
          <w:top w:val="double" w:sz="4" w:space="0" w:color="5F5F5F"/>
        </w:tcBorders>
      </w:tcPr>
    </w:tblStylePr>
    <w:tblStylePr w:type="firstCol">
      <w:rPr>
        <w:b/>
        <w:bCs/>
      </w:rPr>
    </w:tblStylePr>
    <w:tblStylePr w:type="lastCol">
      <w:rPr>
        <w:b/>
        <w:bCs/>
      </w:rPr>
    </w:tblStylePr>
    <w:tblStylePr w:type="band1Vert">
      <w:tblPr/>
      <w:tcPr>
        <w:shd w:val="clear" w:color="auto" w:fill="DFDFDF"/>
      </w:tcPr>
    </w:tblStylePr>
    <w:tblStylePr w:type="band1Horz">
      <w:tblPr/>
      <w:tcPr>
        <w:shd w:val="clear" w:color="auto" w:fill="DFDFDF"/>
      </w:tcPr>
    </w:tblStylePr>
  </w:style>
  <w:style w:type="table" w:customStyle="1" w:styleId="GridTable5Dark-Accent512">
    <w:name w:val="Grid Table 5 Dark - Accent 512"/>
    <w:basedOn w:val="TableNormal"/>
    <w:next w:val="GridTable5Dark-Accent53"/>
    <w:uiPriority w:val="50"/>
    <w:rsid w:val="00C1281D"/>
    <w:pPr>
      <w:spacing w:after="0" w:line="240" w:lineRule="auto"/>
    </w:pPr>
    <w:rPr>
      <w:rFonts w:ascii="Calibri" w:eastAsia="Calibri" w:hAnsi="Calibri" w:cs="Times New Roman"/>
      <w:sz w:val="20"/>
      <w:szCs w:val="20"/>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DFDFDF"/>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5F5F5F"/>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5F5F5F"/>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5F5F5F"/>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5F5F5F"/>
      </w:tcPr>
    </w:tblStylePr>
    <w:tblStylePr w:type="band1Vert">
      <w:tblPr/>
      <w:tcPr>
        <w:shd w:val="clear" w:color="auto" w:fill="BFBFBF"/>
      </w:tcPr>
    </w:tblStylePr>
    <w:tblStylePr w:type="band1Horz">
      <w:tblPr/>
      <w:tcPr>
        <w:shd w:val="clear" w:color="auto" w:fill="BFBFBF"/>
      </w:tcPr>
    </w:tblStylePr>
  </w:style>
  <w:style w:type="table" w:customStyle="1" w:styleId="3">
    <w:name w:val="ФС3"/>
    <w:basedOn w:val="TableNormal"/>
    <w:uiPriority w:val="99"/>
    <w:rsid w:val="00C1281D"/>
    <w:pPr>
      <w:spacing w:after="0" w:line="240" w:lineRule="auto"/>
    </w:pPr>
    <w:rPr>
      <w:rFonts w:ascii="Calibri" w:eastAsia="Calibri" w:hAnsi="Calibri" w:cs="Times New Roman"/>
      <w:sz w:val="20"/>
      <w:szCs w:val="20"/>
    </w:rPr>
    <w:tblPr/>
  </w:style>
  <w:style w:type="table" w:customStyle="1" w:styleId="ListTable6Colorful-Accent312">
    <w:name w:val="List Table 6 Colorful - Accent 312"/>
    <w:basedOn w:val="TableNormal"/>
    <w:next w:val="ListTable6Colorful-Accent33"/>
    <w:uiPriority w:val="51"/>
    <w:rsid w:val="00C1281D"/>
    <w:pPr>
      <w:spacing w:after="0" w:line="240" w:lineRule="auto"/>
    </w:pPr>
    <w:rPr>
      <w:rFonts w:ascii="Calibri" w:eastAsia="Calibri" w:hAnsi="Calibri" w:cs="Times New Roman"/>
      <w:color w:val="707070"/>
      <w:sz w:val="20"/>
      <w:szCs w:val="20"/>
    </w:rPr>
    <w:tblPr>
      <w:tblStyleRowBandSize w:val="1"/>
      <w:tblStyleColBandSize w:val="1"/>
      <w:tblBorders>
        <w:top w:val="single" w:sz="4" w:space="0" w:color="969696"/>
        <w:bottom w:val="single" w:sz="4" w:space="0" w:color="969696"/>
      </w:tblBorders>
    </w:tblPr>
    <w:tblStylePr w:type="firstRow">
      <w:rPr>
        <w:b/>
        <w:bCs/>
      </w:rPr>
      <w:tblPr/>
      <w:tcPr>
        <w:tcBorders>
          <w:bottom w:val="single" w:sz="4" w:space="0" w:color="969696"/>
        </w:tcBorders>
      </w:tcPr>
    </w:tblStylePr>
    <w:tblStylePr w:type="lastRow">
      <w:rPr>
        <w:b/>
        <w:bCs/>
      </w:rPr>
      <w:tblPr/>
      <w:tcPr>
        <w:tcBorders>
          <w:top w:val="double" w:sz="4" w:space="0" w:color="969696"/>
        </w:tcBorders>
      </w:tcPr>
    </w:tblStylePr>
    <w:tblStylePr w:type="firstCol">
      <w:rPr>
        <w:b/>
        <w:bCs/>
      </w:rPr>
    </w:tblStylePr>
    <w:tblStylePr w:type="lastCol">
      <w:rPr>
        <w:b/>
        <w:bCs/>
      </w:rPr>
    </w:tblStylePr>
    <w:tblStylePr w:type="band1Vert">
      <w:tblPr/>
      <w:tcPr>
        <w:shd w:val="clear" w:color="auto" w:fill="EAEAEA"/>
      </w:tcPr>
    </w:tblStylePr>
    <w:tblStylePr w:type="band1Horz">
      <w:tblPr/>
      <w:tcPr>
        <w:shd w:val="clear" w:color="auto" w:fill="EAEAEA"/>
      </w:tcPr>
    </w:tblStylePr>
  </w:style>
  <w:style w:type="table" w:customStyle="1" w:styleId="GridTable1Light-Accent112">
    <w:name w:val="Grid Table 1 Light - Accent 112"/>
    <w:basedOn w:val="TableNormal"/>
    <w:next w:val="GridTable1Light-Accent13"/>
    <w:uiPriority w:val="46"/>
    <w:rsid w:val="00C1281D"/>
    <w:pPr>
      <w:spacing w:after="0" w:line="240" w:lineRule="auto"/>
    </w:pPr>
    <w:tblPr>
      <w:tblStyleRowBandSize w:val="1"/>
      <w:tblStyleColBandSize w:val="1"/>
      <w:tblBorders>
        <w:top w:val="single" w:sz="4" w:space="0" w:color="F8B4A6"/>
        <w:left w:val="single" w:sz="4" w:space="0" w:color="F8B4A6"/>
        <w:bottom w:val="single" w:sz="4" w:space="0" w:color="F8B4A6"/>
        <w:right w:val="single" w:sz="4" w:space="0" w:color="F8B4A6"/>
        <w:insideH w:val="single" w:sz="4" w:space="0" w:color="F8B4A6"/>
        <w:insideV w:val="single" w:sz="4" w:space="0" w:color="F8B4A6"/>
      </w:tblBorders>
    </w:tblPr>
    <w:tblStylePr w:type="firstRow">
      <w:rPr>
        <w:b/>
        <w:bCs/>
      </w:rPr>
      <w:tblPr/>
      <w:tcPr>
        <w:tcBorders>
          <w:bottom w:val="single" w:sz="12" w:space="0" w:color="F58F7A"/>
        </w:tcBorders>
      </w:tcPr>
    </w:tblStylePr>
    <w:tblStylePr w:type="lastRow">
      <w:rPr>
        <w:b/>
        <w:bCs/>
      </w:rPr>
      <w:tblPr/>
      <w:tcPr>
        <w:tcBorders>
          <w:top w:val="double" w:sz="2" w:space="0" w:color="F58F7A"/>
        </w:tcBorders>
      </w:tcPr>
    </w:tblStylePr>
    <w:tblStylePr w:type="firstCol">
      <w:rPr>
        <w:b/>
        <w:bCs/>
      </w:rPr>
    </w:tblStylePr>
    <w:tblStylePr w:type="lastCol">
      <w:rPr>
        <w:b/>
        <w:bCs/>
      </w:rPr>
    </w:tblStylePr>
  </w:style>
  <w:style w:type="table" w:customStyle="1" w:styleId="ListTable1Light-Accent112">
    <w:name w:val="List Table 1 Light - Accent 112"/>
    <w:basedOn w:val="TableNormal"/>
    <w:next w:val="ListTable1Light-Accent13"/>
    <w:uiPriority w:val="46"/>
    <w:rsid w:val="00C1281D"/>
    <w:pPr>
      <w:spacing w:after="0" w:line="240" w:lineRule="auto"/>
    </w:pPr>
    <w:tblPr>
      <w:tblStyleRowBandSize w:val="1"/>
      <w:tblStyleColBandSize w:val="1"/>
    </w:tblPr>
    <w:tblStylePr w:type="firstRow">
      <w:rPr>
        <w:b/>
        <w:bCs/>
      </w:rPr>
      <w:tblPr/>
      <w:tcPr>
        <w:tcBorders>
          <w:bottom w:val="single" w:sz="4" w:space="0" w:color="F58F7A"/>
        </w:tcBorders>
      </w:tcPr>
    </w:tblStylePr>
    <w:tblStylePr w:type="lastRow">
      <w:rPr>
        <w:b/>
        <w:bCs/>
      </w:rPr>
      <w:tblPr/>
      <w:tcPr>
        <w:tcBorders>
          <w:top w:val="single" w:sz="4" w:space="0" w:color="F58F7A"/>
        </w:tcBorders>
      </w:tcPr>
    </w:tblStylePr>
    <w:tblStylePr w:type="firstCol">
      <w:rPr>
        <w:b/>
        <w:bCs/>
      </w:rPr>
    </w:tblStylePr>
    <w:tblStylePr w:type="lastCol">
      <w:rPr>
        <w:b/>
        <w:bCs/>
      </w:rPr>
    </w:tblStylePr>
    <w:tblStylePr w:type="band1Vert">
      <w:tblPr/>
      <w:tcPr>
        <w:shd w:val="clear" w:color="auto" w:fill="FBD9D2"/>
      </w:tcPr>
    </w:tblStylePr>
    <w:tblStylePr w:type="band1Horz">
      <w:tblPr/>
      <w:tcPr>
        <w:shd w:val="clear" w:color="auto" w:fill="FBD9D2"/>
      </w:tcPr>
    </w:tblStylePr>
  </w:style>
  <w:style w:type="table" w:customStyle="1" w:styleId="ListTable2-Accent112">
    <w:name w:val="List Table 2 - Accent 112"/>
    <w:basedOn w:val="TableNormal"/>
    <w:next w:val="ListTable2-Accent13"/>
    <w:uiPriority w:val="47"/>
    <w:rsid w:val="00C1281D"/>
    <w:pPr>
      <w:spacing w:after="0" w:line="240" w:lineRule="auto"/>
    </w:pPr>
    <w:tblPr>
      <w:tblStyleRowBandSize w:val="1"/>
      <w:tblStyleColBandSize w:val="1"/>
      <w:tblBorders>
        <w:top w:val="single" w:sz="4" w:space="0" w:color="F58F7A"/>
        <w:bottom w:val="single" w:sz="4" w:space="0" w:color="F58F7A"/>
        <w:insideH w:val="single" w:sz="4" w:space="0" w:color="F58F7A"/>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BD9D2"/>
      </w:tcPr>
    </w:tblStylePr>
    <w:tblStylePr w:type="band1Horz">
      <w:tblPr/>
      <w:tcPr>
        <w:shd w:val="clear" w:color="auto" w:fill="FBD9D2"/>
      </w:tcPr>
    </w:tblStylePr>
  </w:style>
  <w:style w:type="table" w:customStyle="1" w:styleId="ListTable2-Accent512">
    <w:name w:val="List Table 2 - Accent 512"/>
    <w:basedOn w:val="TableNormal"/>
    <w:next w:val="ListTable2-Accent53"/>
    <w:uiPriority w:val="47"/>
    <w:rsid w:val="00C1281D"/>
    <w:pPr>
      <w:spacing w:after="0" w:line="240" w:lineRule="auto"/>
    </w:pPr>
    <w:tblPr>
      <w:tblStyleRowBandSize w:val="1"/>
      <w:tblStyleColBandSize w:val="1"/>
      <w:tblBorders>
        <w:top w:val="single" w:sz="4" w:space="0" w:color="9F9F9F"/>
        <w:bottom w:val="single" w:sz="4" w:space="0" w:color="9F9F9F"/>
        <w:insideH w:val="single" w:sz="4" w:space="0" w:color="9F9F9F"/>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FDFDF"/>
      </w:tcPr>
    </w:tblStylePr>
    <w:tblStylePr w:type="band1Horz">
      <w:tblPr/>
      <w:tcPr>
        <w:shd w:val="clear" w:color="auto" w:fill="DFDFDF"/>
      </w:tcPr>
    </w:tblStylePr>
  </w:style>
  <w:style w:type="table" w:customStyle="1" w:styleId="GridTable2-Accent512">
    <w:name w:val="Grid Table 2 - Accent 512"/>
    <w:basedOn w:val="TableNormal"/>
    <w:next w:val="GridTable2-Accent53"/>
    <w:uiPriority w:val="47"/>
    <w:rsid w:val="00C1281D"/>
    <w:pPr>
      <w:spacing w:after="0" w:line="240" w:lineRule="auto"/>
    </w:pPr>
    <w:tblPr>
      <w:tblStyleRowBandSize w:val="1"/>
      <w:tblStyleColBandSize w:val="1"/>
      <w:tblBorders>
        <w:top w:val="single" w:sz="2" w:space="0" w:color="9F9F9F"/>
        <w:bottom w:val="single" w:sz="2" w:space="0" w:color="9F9F9F"/>
        <w:insideH w:val="single" w:sz="2" w:space="0" w:color="9F9F9F"/>
        <w:insideV w:val="single" w:sz="2" w:space="0" w:color="9F9F9F"/>
      </w:tblBorders>
    </w:tblPr>
    <w:tblStylePr w:type="firstRow">
      <w:rPr>
        <w:b/>
        <w:bCs/>
      </w:rPr>
      <w:tblPr/>
      <w:tcPr>
        <w:tcBorders>
          <w:top w:val="nil"/>
          <w:bottom w:val="single" w:sz="12" w:space="0" w:color="9F9F9F"/>
          <w:insideH w:val="nil"/>
          <w:insideV w:val="nil"/>
        </w:tcBorders>
        <w:shd w:val="clear" w:color="auto" w:fill="FFFFFF"/>
      </w:tcPr>
    </w:tblStylePr>
    <w:tblStylePr w:type="lastRow">
      <w:rPr>
        <w:b/>
        <w:bCs/>
      </w:rPr>
      <w:tblPr/>
      <w:tcPr>
        <w:tcBorders>
          <w:top w:val="double" w:sz="2" w:space="0" w:color="9F9F9F"/>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FDFDF"/>
      </w:tcPr>
    </w:tblStylePr>
    <w:tblStylePr w:type="band1Horz">
      <w:tblPr/>
      <w:tcPr>
        <w:shd w:val="clear" w:color="auto" w:fill="DFDFDF"/>
      </w:tcPr>
    </w:tblStylePr>
  </w:style>
  <w:style w:type="table" w:customStyle="1" w:styleId="TableGrid23">
    <w:name w:val="Table Grid23"/>
    <w:basedOn w:val="TableNormal"/>
    <w:next w:val="TableGrid"/>
    <w:uiPriority w:val="39"/>
    <w:rsid w:val="00C1281D"/>
    <w:pPr>
      <w:spacing w:before="120" w:after="120" w:line="264" w:lineRule="auto"/>
      <w:ind w:left="115" w:right="115"/>
    </w:pPr>
    <w:rPr>
      <w:rFonts w:eastAsia="MS PGothic"/>
      <w:sz w:val="20"/>
      <w:szCs w:val="20"/>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
    <w:tcPr>
      <w:vAlign w:val="center"/>
    </w:tcPr>
    <w:tblStylePr w:type="firstRow">
      <w:pPr>
        <w:wordWrap/>
        <w:jc w:val="center"/>
      </w:pPr>
      <w:rPr>
        <w:b/>
        <w:i w:val="0"/>
        <w:sz w:val="22"/>
      </w:rPr>
    </w:tblStylePr>
    <w:tblStylePr w:type="lastRow">
      <w:rPr>
        <w:b/>
        <w:i w:val="0"/>
        <w:sz w:val="22"/>
      </w:rPr>
      <w:tblPr/>
      <w:tcPr>
        <w:tcBorders>
          <w:top w:val="double" w:sz="4" w:space="0" w:color="auto"/>
          <w:left w:val="single" w:sz="4" w:space="0" w:color="auto"/>
          <w:bottom w:val="single" w:sz="18" w:space="0" w:color="auto"/>
          <w:right w:val="single" w:sz="4" w:space="0" w:color="auto"/>
          <w:insideH w:val="nil"/>
          <w:insideV w:val="single" w:sz="4" w:space="0" w:color="auto"/>
          <w:tl2br w:val="nil"/>
          <w:tr2bl w:val="nil"/>
        </w:tcBorders>
      </w:tcPr>
    </w:tblStylePr>
  </w:style>
  <w:style w:type="table" w:customStyle="1" w:styleId="LightShading-Accent1243">
    <w:name w:val="Light Shading - Accent 1243"/>
    <w:basedOn w:val="TableNormal"/>
    <w:uiPriority w:val="60"/>
    <w:rsid w:val="00C1281D"/>
    <w:pPr>
      <w:spacing w:after="0" w:line="264" w:lineRule="auto"/>
    </w:pPr>
    <w:rPr>
      <w:rFonts w:ascii="Cambria" w:eastAsia="Calibri" w:hAnsi="Cambria" w:cs="Times New Roman"/>
      <w:color w:val="A8422A"/>
      <w:sz w:val="20"/>
      <w:szCs w:val="20"/>
      <w:lang w:val="en-GB" w:eastAsia="sr-Cyrl-CS"/>
    </w:rPr>
    <w:tblPr>
      <w:tblStyleRowBandSize w:val="1"/>
      <w:tblStyleColBandSize w:val="1"/>
      <w:tblBorders>
        <w:top w:val="single" w:sz="8" w:space="0" w:color="D16349"/>
        <w:bottom w:val="single" w:sz="8" w:space="0" w:color="D16349"/>
      </w:tblBorders>
    </w:tblPr>
    <w:tblStylePr w:type="fir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la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D8D2"/>
      </w:tcPr>
    </w:tblStylePr>
    <w:tblStylePr w:type="band1Horz">
      <w:tblPr/>
      <w:tcPr>
        <w:tcBorders>
          <w:left w:val="nil"/>
          <w:right w:val="nil"/>
          <w:insideH w:val="nil"/>
          <w:insideV w:val="nil"/>
        </w:tcBorders>
        <w:shd w:val="clear" w:color="auto" w:fill="F3D8D2"/>
      </w:tcPr>
    </w:tblStylePr>
  </w:style>
  <w:style w:type="table" w:customStyle="1" w:styleId="GridTable6Colorful-Accent5122">
    <w:name w:val="Grid Table 6 Colorful - Accent 5122"/>
    <w:basedOn w:val="TableNormal"/>
    <w:next w:val="GridTable6Colorful-Accent54"/>
    <w:uiPriority w:val="51"/>
    <w:rsid w:val="00C1281D"/>
    <w:pPr>
      <w:spacing w:after="0" w:line="240" w:lineRule="auto"/>
    </w:pPr>
    <w:rPr>
      <w:rFonts w:ascii="Calibri" w:eastAsia="Calibri" w:hAnsi="Calibri" w:cs="Times New Roman"/>
      <w:color w:val="C19300"/>
      <w:sz w:val="20"/>
      <w:szCs w:val="20"/>
    </w:rPr>
    <w:tblPr>
      <w:tblStyleRowBandSize w:val="1"/>
      <w:tblStyleColBandSize w:val="1"/>
      <w:tblBorders>
        <w:top w:val="single" w:sz="4" w:space="0" w:color="FEDA69"/>
        <w:left w:val="single" w:sz="4" w:space="0" w:color="FEDA69"/>
        <w:bottom w:val="single" w:sz="4" w:space="0" w:color="FEDA69"/>
        <w:right w:val="single" w:sz="4" w:space="0" w:color="FEDA69"/>
        <w:insideH w:val="single" w:sz="4" w:space="0" w:color="FEDA69"/>
        <w:insideV w:val="single" w:sz="4" w:space="0" w:color="FEDA69"/>
      </w:tblBorders>
    </w:tblPr>
    <w:tblStylePr w:type="firstRow">
      <w:rPr>
        <w:b/>
        <w:bCs/>
      </w:rPr>
      <w:tblPr/>
      <w:tcPr>
        <w:tcBorders>
          <w:bottom w:val="single" w:sz="12" w:space="0" w:color="FEDA69"/>
        </w:tcBorders>
      </w:tcPr>
    </w:tblStylePr>
    <w:tblStylePr w:type="lastRow">
      <w:rPr>
        <w:b/>
        <w:bCs/>
      </w:rPr>
      <w:tblPr/>
      <w:tcPr>
        <w:tcBorders>
          <w:top w:val="double" w:sz="4" w:space="0" w:color="FEDA69"/>
        </w:tcBorders>
      </w:tcPr>
    </w:tblStylePr>
    <w:tblStylePr w:type="firstCol">
      <w:rPr>
        <w:b/>
        <w:bCs/>
      </w:rPr>
    </w:tblStylePr>
    <w:tblStylePr w:type="lastCol">
      <w:rPr>
        <w:b/>
        <w:bCs/>
      </w:rPr>
    </w:tblStylePr>
    <w:tblStylePr w:type="band1Vert">
      <w:tblPr/>
      <w:tcPr>
        <w:shd w:val="clear" w:color="auto" w:fill="FEF2CD"/>
      </w:tcPr>
    </w:tblStylePr>
    <w:tblStylePr w:type="band1Horz">
      <w:tblPr/>
      <w:tcPr>
        <w:shd w:val="clear" w:color="auto" w:fill="FEF2CD"/>
      </w:tcPr>
    </w:tblStylePr>
  </w:style>
  <w:style w:type="table" w:customStyle="1" w:styleId="GridTable6Colorful-Accent5132">
    <w:name w:val="Grid Table 6 Colorful - Accent 5132"/>
    <w:basedOn w:val="TableNormal"/>
    <w:uiPriority w:val="51"/>
    <w:rsid w:val="00C1281D"/>
    <w:pPr>
      <w:spacing w:after="0" w:line="264" w:lineRule="auto"/>
    </w:pPr>
    <w:rPr>
      <w:rFonts w:ascii="Calibri" w:eastAsia="Calibri" w:hAnsi="Calibri" w:cs="Times New Roman"/>
      <w:color w:val="474747"/>
      <w:sz w:val="20"/>
      <w:szCs w:val="20"/>
    </w:rPr>
    <w:tblPr>
      <w:tblStyleRowBandSize w:val="1"/>
      <w:tblStyleColBandSize w:val="1"/>
      <w:tblBorders>
        <w:top w:val="single" w:sz="4" w:space="0" w:color="9F9F9F"/>
        <w:left w:val="single" w:sz="4" w:space="0" w:color="9F9F9F"/>
        <w:bottom w:val="single" w:sz="4" w:space="0" w:color="9F9F9F"/>
        <w:right w:val="single" w:sz="4" w:space="0" w:color="9F9F9F"/>
        <w:insideH w:val="single" w:sz="4" w:space="0" w:color="9F9F9F"/>
        <w:insideV w:val="single" w:sz="4" w:space="0" w:color="9F9F9F"/>
      </w:tblBorders>
    </w:tblPr>
    <w:tblStylePr w:type="firstRow">
      <w:rPr>
        <w:b/>
        <w:bCs/>
      </w:rPr>
      <w:tblPr/>
      <w:tcPr>
        <w:tcBorders>
          <w:bottom w:val="single" w:sz="12" w:space="0" w:color="9F9F9F"/>
        </w:tcBorders>
      </w:tcPr>
    </w:tblStylePr>
    <w:tblStylePr w:type="lastRow">
      <w:rPr>
        <w:b/>
        <w:bCs/>
      </w:rPr>
      <w:tblPr/>
      <w:tcPr>
        <w:tcBorders>
          <w:top w:val="double" w:sz="4" w:space="0" w:color="9F9F9F"/>
        </w:tcBorders>
      </w:tcPr>
    </w:tblStylePr>
    <w:tblStylePr w:type="firstCol">
      <w:rPr>
        <w:b/>
        <w:bCs/>
      </w:rPr>
    </w:tblStylePr>
    <w:tblStylePr w:type="lastCol">
      <w:rPr>
        <w:b/>
        <w:bCs/>
      </w:rPr>
    </w:tblStylePr>
    <w:tblStylePr w:type="band1Vert">
      <w:tblPr/>
      <w:tcPr>
        <w:shd w:val="clear" w:color="auto" w:fill="DFDFDF"/>
      </w:tcPr>
    </w:tblStylePr>
    <w:tblStylePr w:type="band1Horz">
      <w:tblPr/>
      <w:tcPr>
        <w:shd w:val="clear" w:color="auto" w:fill="DFDFDF"/>
      </w:tcPr>
    </w:tblStylePr>
  </w:style>
  <w:style w:type="numbering" w:customStyle="1" w:styleId="NoList32">
    <w:name w:val="No List32"/>
    <w:next w:val="NoList"/>
    <w:uiPriority w:val="99"/>
    <w:semiHidden/>
    <w:unhideWhenUsed/>
    <w:rsid w:val="00C1281D"/>
  </w:style>
  <w:style w:type="table" w:customStyle="1" w:styleId="TableGrid32">
    <w:name w:val="Table Grid32"/>
    <w:basedOn w:val="TableNormal"/>
    <w:next w:val="TableGrid"/>
    <w:uiPriority w:val="39"/>
    <w:rsid w:val="00C1281D"/>
    <w:pPr>
      <w:spacing w:before="120" w:after="120" w:line="264" w:lineRule="auto"/>
      <w:ind w:left="115" w:right="115"/>
    </w:pPr>
    <w:rPr>
      <w:rFonts w:eastAsia="MS PGothic"/>
      <w:sz w:val="20"/>
      <w:szCs w:val="20"/>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
    <w:tcPr>
      <w:vAlign w:val="center"/>
    </w:tcPr>
    <w:tblStylePr w:type="firstRow">
      <w:pPr>
        <w:wordWrap/>
        <w:jc w:val="center"/>
      </w:pPr>
      <w:rPr>
        <w:b/>
        <w:i w:val="0"/>
        <w:sz w:val="22"/>
      </w:rPr>
    </w:tblStylePr>
    <w:tblStylePr w:type="lastRow">
      <w:rPr>
        <w:b/>
        <w:i w:val="0"/>
        <w:sz w:val="22"/>
      </w:rPr>
      <w:tblPr/>
      <w:tcPr>
        <w:tcBorders>
          <w:top w:val="double" w:sz="4" w:space="0" w:color="auto"/>
          <w:left w:val="single" w:sz="4" w:space="0" w:color="auto"/>
          <w:bottom w:val="single" w:sz="18" w:space="0" w:color="auto"/>
          <w:right w:val="single" w:sz="4" w:space="0" w:color="auto"/>
          <w:insideH w:val="nil"/>
          <w:insideV w:val="single" w:sz="4" w:space="0" w:color="auto"/>
          <w:tl2br w:val="nil"/>
          <w:tr2bl w:val="nil"/>
        </w:tcBorders>
      </w:tcPr>
    </w:tblStylePr>
  </w:style>
  <w:style w:type="table" w:customStyle="1" w:styleId="FinancialTable12">
    <w:name w:val="Financial Table12"/>
    <w:basedOn w:val="TableNormal"/>
    <w:uiPriority w:val="99"/>
    <w:rsid w:val="00C1281D"/>
    <w:pPr>
      <w:spacing w:before="60" w:after="60" w:line="264" w:lineRule="auto"/>
    </w:pPr>
    <w:rPr>
      <w:rFonts w:eastAsia="MS PGothic"/>
      <w:sz w:val="20"/>
      <w:szCs w:val="20"/>
      <w:lang w:eastAsia="ja-JP"/>
    </w:rPr>
    <w:tblPr>
      <w:tblBorders>
        <w:top w:val="single" w:sz="8" w:space="0" w:color="000000"/>
        <w:left w:val="single" w:sz="8" w:space="0" w:color="000000"/>
        <w:bottom w:val="single" w:sz="24" w:space="0" w:color="000000"/>
        <w:right w:val="single" w:sz="8" w:space="0" w:color="000000"/>
        <w:insideH w:val="single" w:sz="8" w:space="0" w:color="000000"/>
        <w:insideV w:val="single" w:sz="8" w:space="0" w:color="000000"/>
      </w:tblBorders>
      <w:tblCellMar>
        <w:left w:w="72" w:type="dxa"/>
        <w:right w:w="72" w:type="dxa"/>
      </w:tblCellMar>
    </w:tblPr>
    <w:tblStylePr w:type="firstRow">
      <w:pPr>
        <w:wordWrap/>
        <w:spacing w:beforeLines="0" w:before="40" w:beforeAutospacing="0" w:afterLines="0" w:after="40" w:afterAutospacing="0"/>
        <w:jc w:val="left"/>
      </w:pPr>
      <w:rPr>
        <w:rFonts w:ascii="Arial" w:hAnsi="Arial"/>
        <w:b/>
        <w:i w:val="0"/>
        <w:caps w:val="0"/>
        <w:smallCaps w:val="0"/>
        <w:color w:val="000000"/>
        <w:sz w:val="22"/>
      </w:rPr>
    </w:tblStylePr>
    <w:tblStylePr w:type="firstCol">
      <w:rPr>
        <w:b/>
        <w:color w:val="000000"/>
      </w:rPr>
    </w:tblStylePr>
  </w:style>
  <w:style w:type="table" w:customStyle="1" w:styleId="GridTable6Colorful-Accent532">
    <w:name w:val="Grid Table 6 Colorful - Accent 532"/>
    <w:basedOn w:val="TableNormal"/>
    <w:next w:val="GridTable6Colorful-Accent54"/>
    <w:uiPriority w:val="51"/>
    <w:rsid w:val="00C1281D"/>
    <w:pPr>
      <w:spacing w:after="0" w:line="264" w:lineRule="auto"/>
    </w:pPr>
    <w:rPr>
      <w:rFonts w:ascii="Calibri" w:eastAsia="Calibri" w:hAnsi="Calibri" w:cs="Times New Roman"/>
      <w:color w:val="474747"/>
      <w:sz w:val="20"/>
      <w:szCs w:val="20"/>
    </w:rPr>
    <w:tblPr>
      <w:tblStyleRowBandSize w:val="1"/>
      <w:tblStyleColBandSize w:val="1"/>
      <w:tblBorders>
        <w:top w:val="single" w:sz="4" w:space="0" w:color="9F9F9F"/>
        <w:left w:val="single" w:sz="4" w:space="0" w:color="9F9F9F"/>
        <w:bottom w:val="single" w:sz="4" w:space="0" w:color="9F9F9F"/>
        <w:right w:val="single" w:sz="4" w:space="0" w:color="9F9F9F"/>
        <w:insideH w:val="single" w:sz="4" w:space="0" w:color="9F9F9F"/>
        <w:insideV w:val="single" w:sz="4" w:space="0" w:color="9F9F9F"/>
      </w:tblBorders>
    </w:tblPr>
    <w:tblStylePr w:type="firstRow">
      <w:rPr>
        <w:b/>
        <w:bCs/>
      </w:rPr>
      <w:tblPr/>
      <w:tcPr>
        <w:tcBorders>
          <w:bottom w:val="single" w:sz="12" w:space="0" w:color="9F9F9F"/>
        </w:tcBorders>
      </w:tcPr>
    </w:tblStylePr>
    <w:tblStylePr w:type="lastRow">
      <w:rPr>
        <w:b/>
        <w:bCs/>
      </w:rPr>
      <w:tblPr/>
      <w:tcPr>
        <w:tcBorders>
          <w:top w:val="double" w:sz="4" w:space="0" w:color="9F9F9F"/>
        </w:tcBorders>
      </w:tcPr>
    </w:tblStylePr>
    <w:tblStylePr w:type="firstCol">
      <w:rPr>
        <w:b/>
        <w:bCs/>
      </w:rPr>
    </w:tblStylePr>
    <w:tblStylePr w:type="lastCol">
      <w:rPr>
        <w:b/>
        <w:bCs/>
      </w:rPr>
    </w:tblStylePr>
    <w:tblStylePr w:type="band1Vert">
      <w:tblPr/>
      <w:tcPr>
        <w:shd w:val="clear" w:color="auto" w:fill="DFDFDF"/>
      </w:tcPr>
    </w:tblStylePr>
    <w:tblStylePr w:type="band1Horz">
      <w:tblPr/>
      <w:tcPr>
        <w:shd w:val="clear" w:color="auto" w:fill="DFDFDF"/>
      </w:tcPr>
    </w:tblStylePr>
  </w:style>
  <w:style w:type="table" w:customStyle="1" w:styleId="LightShading-Accent1253">
    <w:name w:val="Light Shading - Accent 1253"/>
    <w:basedOn w:val="TableNormal"/>
    <w:uiPriority w:val="60"/>
    <w:rsid w:val="00C1281D"/>
    <w:pPr>
      <w:spacing w:after="0" w:line="264" w:lineRule="auto"/>
    </w:pPr>
    <w:rPr>
      <w:rFonts w:ascii="Cambria" w:eastAsia="Calibri" w:hAnsi="Cambria" w:cs="Times New Roman"/>
      <w:color w:val="A8422A"/>
      <w:sz w:val="20"/>
      <w:szCs w:val="20"/>
      <w:lang w:val="en-GB" w:eastAsia="sr-Cyrl-CS"/>
    </w:rPr>
    <w:tblPr>
      <w:tblStyleRowBandSize w:val="1"/>
      <w:tblStyleColBandSize w:val="1"/>
      <w:tblBorders>
        <w:top w:val="single" w:sz="8" w:space="0" w:color="D16349"/>
        <w:bottom w:val="single" w:sz="8" w:space="0" w:color="D16349"/>
      </w:tblBorders>
    </w:tblPr>
    <w:tblStylePr w:type="fir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la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D8D2"/>
      </w:tcPr>
    </w:tblStylePr>
    <w:tblStylePr w:type="band1Horz">
      <w:tblPr/>
      <w:tcPr>
        <w:tcBorders>
          <w:left w:val="nil"/>
          <w:right w:val="nil"/>
          <w:insideH w:val="nil"/>
          <w:insideV w:val="nil"/>
        </w:tcBorders>
        <w:shd w:val="clear" w:color="auto" w:fill="F3D8D2"/>
      </w:tcPr>
    </w:tblStylePr>
  </w:style>
  <w:style w:type="table" w:customStyle="1" w:styleId="GridTable6Colorful-Accent5142">
    <w:name w:val="Grid Table 6 Colorful - Accent 5142"/>
    <w:basedOn w:val="TableNormal"/>
    <w:uiPriority w:val="51"/>
    <w:rsid w:val="00C1281D"/>
    <w:pPr>
      <w:spacing w:after="0" w:line="264" w:lineRule="auto"/>
    </w:pPr>
    <w:rPr>
      <w:rFonts w:ascii="Calibri" w:eastAsia="Calibri" w:hAnsi="Calibri" w:cs="Times New Roman"/>
      <w:color w:val="387AAA"/>
      <w:sz w:val="20"/>
      <w:szCs w:val="20"/>
    </w:rPr>
    <w:tblPr>
      <w:tblStyleRowBandSize w:val="1"/>
      <w:tblStyleColBandSize w:val="1"/>
      <w:tblBorders>
        <w:top w:val="single" w:sz="4" w:space="0" w:color="A1C5E0"/>
        <w:left w:val="single" w:sz="4" w:space="0" w:color="A1C5E0"/>
        <w:bottom w:val="single" w:sz="4" w:space="0" w:color="A1C5E0"/>
        <w:right w:val="single" w:sz="4" w:space="0" w:color="A1C5E0"/>
        <w:insideH w:val="single" w:sz="4" w:space="0" w:color="A1C5E0"/>
        <w:insideV w:val="single" w:sz="4" w:space="0" w:color="A1C5E0"/>
      </w:tblBorders>
    </w:tblPr>
    <w:tblStylePr w:type="firstRow">
      <w:rPr>
        <w:b/>
        <w:bCs/>
      </w:rPr>
      <w:tblPr/>
      <w:tcPr>
        <w:tcBorders>
          <w:bottom w:val="single" w:sz="12" w:space="0" w:color="A1C5E0"/>
        </w:tcBorders>
      </w:tcPr>
    </w:tblStylePr>
    <w:tblStylePr w:type="lastRow">
      <w:rPr>
        <w:b/>
        <w:bCs/>
      </w:rPr>
      <w:tblPr/>
      <w:tcPr>
        <w:tcBorders>
          <w:top w:val="double" w:sz="4" w:space="0" w:color="A1C5E0"/>
        </w:tcBorders>
      </w:tcPr>
    </w:tblStylePr>
    <w:tblStylePr w:type="firstCol">
      <w:rPr>
        <w:b/>
        <w:bCs/>
      </w:rPr>
    </w:tblStylePr>
    <w:tblStylePr w:type="lastCol">
      <w:rPr>
        <w:b/>
        <w:bCs/>
      </w:rPr>
    </w:tblStylePr>
    <w:tblStylePr w:type="band1Vert">
      <w:tblPr/>
      <w:tcPr>
        <w:shd w:val="clear" w:color="auto" w:fill="DFEBF4"/>
      </w:tcPr>
    </w:tblStylePr>
    <w:tblStylePr w:type="band1Horz">
      <w:tblPr/>
      <w:tcPr>
        <w:shd w:val="clear" w:color="auto" w:fill="DFEBF4"/>
      </w:tcPr>
    </w:tblStylePr>
  </w:style>
  <w:style w:type="table" w:customStyle="1" w:styleId="LightShading-Accent12112">
    <w:name w:val="Light Shading - Accent 12112"/>
    <w:basedOn w:val="TableNormal"/>
    <w:uiPriority w:val="60"/>
    <w:rsid w:val="00C1281D"/>
    <w:pPr>
      <w:spacing w:after="0" w:line="264" w:lineRule="auto"/>
    </w:pPr>
    <w:rPr>
      <w:rFonts w:ascii="Cambria" w:eastAsia="Calibri" w:hAnsi="Cambria" w:cs="Times New Roman"/>
      <w:color w:val="A8422A"/>
      <w:sz w:val="20"/>
      <w:szCs w:val="20"/>
      <w:lang w:val="en-GB" w:eastAsia="sr-Cyrl-CS"/>
    </w:rPr>
    <w:tblPr>
      <w:tblStyleRowBandSize w:val="1"/>
      <w:tblStyleColBandSize w:val="1"/>
      <w:tblBorders>
        <w:top w:val="single" w:sz="8" w:space="0" w:color="D16349"/>
        <w:bottom w:val="single" w:sz="8" w:space="0" w:color="D16349"/>
      </w:tblBorders>
    </w:tblPr>
    <w:tblStylePr w:type="fir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la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D8D2"/>
      </w:tcPr>
    </w:tblStylePr>
    <w:tblStylePr w:type="band1Horz">
      <w:tblPr/>
      <w:tcPr>
        <w:tcBorders>
          <w:left w:val="nil"/>
          <w:right w:val="nil"/>
          <w:insideH w:val="nil"/>
          <w:insideV w:val="nil"/>
        </w:tcBorders>
        <w:shd w:val="clear" w:color="auto" w:fill="F3D8D2"/>
      </w:tcPr>
    </w:tblStylePr>
  </w:style>
  <w:style w:type="table" w:customStyle="1" w:styleId="GridTable6Colorful-Accent51112">
    <w:name w:val="Grid Table 6 Colorful - Accent 51112"/>
    <w:basedOn w:val="TableNormal"/>
    <w:uiPriority w:val="51"/>
    <w:rsid w:val="00C1281D"/>
    <w:pPr>
      <w:spacing w:after="0" w:line="264" w:lineRule="auto"/>
    </w:pPr>
    <w:rPr>
      <w:rFonts w:ascii="Calibri" w:eastAsia="Calibri" w:hAnsi="Calibri" w:cs="Times New Roman"/>
      <w:color w:val="387AAA"/>
      <w:sz w:val="20"/>
      <w:szCs w:val="20"/>
    </w:rPr>
    <w:tblPr>
      <w:tblStyleRowBandSize w:val="1"/>
      <w:tblStyleColBandSize w:val="1"/>
      <w:tblBorders>
        <w:top w:val="single" w:sz="4" w:space="0" w:color="A1C5E0"/>
        <w:left w:val="single" w:sz="4" w:space="0" w:color="A1C5E0"/>
        <w:bottom w:val="single" w:sz="4" w:space="0" w:color="A1C5E0"/>
        <w:right w:val="single" w:sz="4" w:space="0" w:color="A1C5E0"/>
        <w:insideH w:val="single" w:sz="4" w:space="0" w:color="A1C5E0"/>
        <w:insideV w:val="single" w:sz="4" w:space="0" w:color="A1C5E0"/>
      </w:tblBorders>
    </w:tblPr>
    <w:tblStylePr w:type="firstRow">
      <w:rPr>
        <w:b/>
        <w:bCs/>
      </w:rPr>
      <w:tblPr/>
      <w:tcPr>
        <w:tcBorders>
          <w:bottom w:val="single" w:sz="12" w:space="0" w:color="A1C5E0"/>
        </w:tcBorders>
      </w:tcPr>
    </w:tblStylePr>
    <w:tblStylePr w:type="lastRow">
      <w:rPr>
        <w:b/>
        <w:bCs/>
      </w:rPr>
      <w:tblPr/>
      <w:tcPr>
        <w:tcBorders>
          <w:top w:val="double" w:sz="4" w:space="0" w:color="A1C5E0"/>
        </w:tcBorders>
      </w:tcPr>
    </w:tblStylePr>
    <w:tblStylePr w:type="firstCol">
      <w:rPr>
        <w:b/>
        <w:bCs/>
      </w:rPr>
    </w:tblStylePr>
    <w:tblStylePr w:type="lastCol">
      <w:rPr>
        <w:b/>
        <w:bCs/>
      </w:rPr>
    </w:tblStylePr>
    <w:tblStylePr w:type="band1Vert">
      <w:tblPr/>
      <w:tcPr>
        <w:shd w:val="clear" w:color="auto" w:fill="DFEBF4"/>
      </w:tcPr>
    </w:tblStylePr>
    <w:tblStylePr w:type="band1Horz">
      <w:tblPr/>
      <w:tcPr>
        <w:shd w:val="clear" w:color="auto" w:fill="DFEBF4"/>
      </w:tcPr>
    </w:tblStylePr>
  </w:style>
  <w:style w:type="table" w:customStyle="1" w:styleId="GridTable6Colorful-Accent122">
    <w:name w:val="Grid Table 6 Colorful - Accent 122"/>
    <w:basedOn w:val="TableNormal"/>
    <w:next w:val="GridTable6Colorful-Accent13"/>
    <w:uiPriority w:val="51"/>
    <w:rsid w:val="00C1281D"/>
    <w:pPr>
      <w:spacing w:after="0" w:line="264" w:lineRule="auto"/>
    </w:pPr>
    <w:rPr>
      <w:rFonts w:eastAsia="MS PGothic"/>
      <w:color w:val="BF2B0E"/>
      <w:sz w:val="20"/>
      <w:szCs w:val="20"/>
      <w:lang w:eastAsia="ja-JP"/>
    </w:rPr>
    <w:tblPr>
      <w:tblStyleRowBandSize w:val="1"/>
      <w:tblStyleColBandSize w:val="1"/>
      <w:tblBorders>
        <w:top w:val="single" w:sz="4" w:space="0" w:color="F58F7A"/>
        <w:left w:val="single" w:sz="4" w:space="0" w:color="F58F7A"/>
        <w:bottom w:val="single" w:sz="4" w:space="0" w:color="F58F7A"/>
        <w:right w:val="single" w:sz="4" w:space="0" w:color="F58F7A"/>
        <w:insideH w:val="single" w:sz="4" w:space="0" w:color="F58F7A"/>
        <w:insideV w:val="single" w:sz="4" w:space="0" w:color="F58F7A"/>
      </w:tblBorders>
    </w:tblPr>
    <w:tblStylePr w:type="firstRow">
      <w:rPr>
        <w:b/>
        <w:bCs/>
      </w:rPr>
      <w:tblPr/>
      <w:tcPr>
        <w:tcBorders>
          <w:bottom w:val="single" w:sz="12" w:space="0" w:color="F58F7A"/>
        </w:tcBorders>
      </w:tcPr>
    </w:tblStylePr>
    <w:tblStylePr w:type="lastRow">
      <w:rPr>
        <w:b/>
        <w:bCs/>
      </w:rPr>
      <w:tblPr/>
      <w:tcPr>
        <w:tcBorders>
          <w:top w:val="double" w:sz="4" w:space="0" w:color="F58F7A"/>
        </w:tcBorders>
      </w:tcPr>
    </w:tblStylePr>
    <w:tblStylePr w:type="firstCol">
      <w:rPr>
        <w:b/>
        <w:bCs/>
      </w:rPr>
    </w:tblStylePr>
    <w:tblStylePr w:type="lastCol">
      <w:rPr>
        <w:b/>
        <w:bCs/>
      </w:rPr>
    </w:tblStylePr>
    <w:tblStylePr w:type="band1Vert">
      <w:tblPr/>
      <w:tcPr>
        <w:shd w:val="clear" w:color="auto" w:fill="FBD9D2"/>
      </w:tcPr>
    </w:tblStylePr>
    <w:tblStylePr w:type="band1Horz">
      <w:tblPr/>
      <w:tcPr>
        <w:shd w:val="clear" w:color="auto" w:fill="FBD9D2"/>
      </w:tcPr>
    </w:tblStylePr>
  </w:style>
  <w:style w:type="table" w:customStyle="1" w:styleId="LightShading-Accent12212">
    <w:name w:val="Light Shading - Accent 12212"/>
    <w:basedOn w:val="TableNormal"/>
    <w:uiPriority w:val="60"/>
    <w:rsid w:val="00C1281D"/>
    <w:pPr>
      <w:spacing w:after="0" w:line="240" w:lineRule="auto"/>
    </w:pPr>
    <w:rPr>
      <w:rFonts w:ascii="Cambria" w:eastAsia="Calibri" w:hAnsi="Cambria" w:cs="Times New Roman"/>
      <w:color w:val="A8422A"/>
      <w:sz w:val="20"/>
      <w:szCs w:val="20"/>
      <w:lang w:val="en-GB" w:eastAsia="sr-Cyrl-CS"/>
    </w:rPr>
    <w:tblPr>
      <w:tblStyleRowBandSize w:val="1"/>
      <w:tblStyleColBandSize w:val="1"/>
      <w:tblBorders>
        <w:top w:val="single" w:sz="8" w:space="0" w:color="D16349"/>
        <w:bottom w:val="single" w:sz="8" w:space="0" w:color="D16349"/>
      </w:tblBorders>
    </w:tblPr>
    <w:tblStylePr w:type="fir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la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D8D2"/>
      </w:tcPr>
    </w:tblStylePr>
    <w:tblStylePr w:type="band1Horz">
      <w:tblPr/>
      <w:tcPr>
        <w:tcBorders>
          <w:left w:val="nil"/>
          <w:right w:val="nil"/>
          <w:insideH w:val="nil"/>
          <w:insideV w:val="nil"/>
        </w:tcBorders>
        <w:shd w:val="clear" w:color="auto" w:fill="F3D8D2"/>
      </w:tcPr>
    </w:tblStylePr>
  </w:style>
  <w:style w:type="table" w:customStyle="1" w:styleId="GridTable6Colorful-Accent5212">
    <w:name w:val="Grid Table 6 Colorful - Accent 5212"/>
    <w:basedOn w:val="TableNormal"/>
    <w:next w:val="GridTable6Colorful-Accent54"/>
    <w:uiPriority w:val="51"/>
    <w:rsid w:val="00C1281D"/>
    <w:pPr>
      <w:spacing w:after="0" w:line="240" w:lineRule="auto"/>
    </w:pPr>
    <w:rPr>
      <w:rFonts w:ascii="Calibri" w:eastAsia="Calibri" w:hAnsi="Calibri" w:cs="Times New Roman"/>
      <w:color w:val="C19300"/>
      <w:sz w:val="20"/>
      <w:szCs w:val="20"/>
    </w:rPr>
    <w:tblPr>
      <w:tblStyleRowBandSize w:val="1"/>
      <w:tblStyleColBandSize w:val="1"/>
      <w:tblBorders>
        <w:top w:val="single" w:sz="4" w:space="0" w:color="FEDA69"/>
        <w:left w:val="single" w:sz="4" w:space="0" w:color="FEDA69"/>
        <w:bottom w:val="single" w:sz="4" w:space="0" w:color="FEDA69"/>
        <w:right w:val="single" w:sz="4" w:space="0" w:color="FEDA69"/>
        <w:insideH w:val="single" w:sz="4" w:space="0" w:color="FEDA69"/>
        <w:insideV w:val="single" w:sz="4" w:space="0" w:color="FEDA69"/>
      </w:tblBorders>
    </w:tblPr>
    <w:tblStylePr w:type="firstRow">
      <w:rPr>
        <w:b/>
        <w:bCs/>
      </w:rPr>
      <w:tblPr/>
      <w:tcPr>
        <w:tcBorders>
          <w:bottom w:val="single" w:sz="12" w:space="0" w:color="FEDA69"/>
        </w:tcBorders>
      </w:tcPr>
    </w:tblStylePr>
    <w:tblStylePr w:type="lastRow">
      <w:rPr>
        <w:b/>
        <w:bCs/>
      </w:rPr>
      <w:tblPr/>
      <w:tcPr>
        <w:tcBorders>
          <w:top w:val="double" w:sz="4" w:space="0" w:color="FEDA69"/>
        </w:tcBorders>
      </w:tcPr>
    </w:tblStylePr>
    <w:tblStylePr w:type="firstCol">
      <w:rPr>
        <w:b/>
        <w:bCs/>
      </w:rPr>
    </w:tblStylePr>
    <w:tblStylePr w:type="lastCol">
      <w:rPr>
        <w:b/>
        <w:bCs/>
      </w:rPr>
    </w:tblStylePr>
    <w:tblStylePr w:type="band1Vert">
      <w:tblPr/>
      <w:tcPr>
        <w:shd w:val="clear" w:color="auto" w:fill="FEF2CD"/>
      </w:tcPr>
    </w:tblStylePr>
    <w:tblStylePr w:type="band1Horz">
      <w:tblPr/>
      <w:tcPr>
        <w:shd w:val="clear" w:color="auto" w:fill="FEF2CD"/>
      </w:tcPr>
    </w:tblStylePr>
  </w:style>
  <w:style w:type="table" w:customStyle="1" w:styleId="tabele342">
    <w:name w:val="tabele 342"/>
    <w:basedOn w:val="TableNormal"/>
    <w:next w:val="LightList-Accent3"/>
    <w:uiPriority w:val="61"/>
    <w:rsid w:val="00C1281D"/>
    <w:pPr>
      <w:spacing w:after="0" w:line="240" w:lineRule="auto"/>
    </w:pPr>
    <w:rPr>
      <w:rFonts w:ascii="Cambria Math" w:eastAsia="Calibri" w:hAnsi="Cambria Math" w:cs="Times New Roman"/>
      <w:sz w:val="18"/>
      <w:lang w:val="sr-Cyrl-CS"/>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LightShading-Accent11102">
    <w:name w:val="Light Shading - Accent 11102"/>
    <w:basedOn w:val="TableNormal"/>
    <w:uiPriority w:val="60"/>
    <w:rsid w:val="00C1281D"/>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352">
    <w:name w:val="Light Shading - Accent 352"/>
    <w:basedOn w:val="TableNormal"/>
    <w:next w:val="LightShading-Accent3"/>
    <w:uiPriority w:val="60"/>
    <w:rsid w:val="00C1281D"/>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List-Accent552">
    <w:name w:val="Light List - Accent 552"/>
    <w:basedOn w:val="TableNormal"/>
    <w:next w:val="LightList-Accent5"/>
    <w:uiPriority w:val="61"/>
    <w:rsid w:val="00C1281D"/>
    <w:pPr>
      <w:spacing w:after="0" w:line="240" w:lineRule="auto"/>
    </w:pPr>
    <w:rPr>
      <w:rFonts w:ascii="Calibri" w:eastAsia="Calibri" w:hAnsi="Calibri" w:cs="Times New Roman"/>
      <w:sz w:val="20"/>
      <w:szCs w:val="20"/>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Shading-Accent3142">
    <w:name w:val="Light Shading - Accent 3142"/>
    <w:basedOn w:val="TableNormal"/>
    <w:next w:val="LightShading-Accent3"/>
    <w:uiPriority w:val="60"/>
    <w:rsid w:val="00C1281D"/>
    <w:pPr>
      <w:spacing w:after="0" w:line="240" w:lineRule="auto"/>
    </w:pPr>
    <w:rPr>
      <w:rFonts w:ascii="Constantia" w:eastAsia="Constantia" w:hAnsi="Constantia" w:cs="Times New Roman"/>
      <w:color w:val="8CADAE"/>
      <w:lang w:val="sr-Cyrl-CS"/>
    </w:rPr>
    <w:tblPr>
      <w:tblStyleRowBandSize w:val="1"/>
      <w:tblStyleColBandSize w:val="1"/>
      <w:tblBorders>
        <w:top w:val="single" w:sz="8" w:space="0" w:color="8CADAE"/>
        <w:bottom w:val="single" w:sz="8" w:space="0" w:color="8CADAE"/>
      </w:tblBorders>
    </w:tblPr>
    <w:tblStylePr w:type="fir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la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2EAEB"/>
      </w:tcPr>
    </w:tblStylePr>
    <w:tblStylePr w:type="band1Horz">
      <w:tblPr/>
      <w:tcPr>
        <w:tcBorders>
          <w:left w:val="nil"/>
          <w:right w:val="nil"/>
          <w:insideH w:val="nil"/>
          <w:insideV w:val="nil"/>
        </w:tcBorders>
        <w:shd w:val="clear" w:color="auto" w:fill="E2EAEB"/>
      </w:tcPr>
    </w:tblStylePr>
  </w:style>
  <w:style w:type="table" w:customStyle="1" w:styleId="LightList-Accent3152">
    <w:name w:val="Light List - Accent 3152"/>
    <w:basedOn w:val="TableNormal"/>
    <w:next w:val="LightList-Accent3"/>
    <w:uiPriority w:val="61"/>
    <w:rsid w:val="00C1281D"/>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TableGrid112">
    <w:name w:val="Table Grid112"/>
    <w:basedOn w:val="TableNormal"/>
    <w:next w:val="TableGrid"/>
    <w:uiPriority w:val="59"/>
    <w:rsid w:val="00C1281D"/>
    <w:pPr>
      <w:spacing w:after="0" w:line="240" w:lineRule="auto"/>
    </w:pPr>
    <w:rPr>
      <w:rFonts w:ascii="Constantia" w:eastAsia="Constantia" w:hAnsi="Constantia" w:cs="Times New Roman"/>
      <w:lang w:val="sr-Cyrl-C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ghtList-Accent5142">
    <w:name w:val="Light List - Accent 5142"/>
    <w:basedOn w:val="TableNormal"/>
    <w:next w:val="LightList-Accent5"/>
    <w:uiPriority w:val="61"/>
    <w:rsid w:val="00C1281D"/>
    <w:pPr>
      <w:spacing w:after="0" w:line="240" w:lineRule="auto"/>
    </w:pPr>
    <w:rPr>
      <w:rFonts w:ascii="Times New Roman" w:eastAsia="Constantia" w:hAnsi="Times New Roman" w:cs="Times New Roman"/>
      <w:lang w:val="sr-Cyrl-CS"/>
    </w:rPr>
    <w:tblPr>
      <w:tblStyleRowBandSize w:val="1"/>
      <w:tblStyleColBandSize w:val="1"/>
      <w:tblBorders>
        <w:top w:val="single" w:sz="8" w:space="0" w:color="8FB08C"/>
        <w:left w:val="single" w:sz="8" w:space="0" w:color="8FB08C"/>
        <w:bottom w:val="single" w:sz="8" w:space="0" w:color="8FB08C"/>
        <w:right w:val="single" w:sz="8" w:space="0" w:color="8FB08C"/>
      </w:tblBorders>
    </w:tblPr>
    <w:tblStylePr w:type="firstRow">
      <w:pPr>
        <w:spacing w:before="0" w:after="0" w:line="240" w:lineRule="auto"/>
      </w:pPr>
      <w:rPr>
        <w:b/>
        <w:bCs/>
        <w:color w:val="FFFFFF"/>
      </w:rPr>
      <w:tblPr/>
      <w:tcPr>
        <w:shd w:val="clear" w:color="auto" w:fill="8FB08C"/>
      </w:tcPr>
    </w:tblStylePr>
    <w:tblStylePr w:type="lastRow">
      <w:pPr>
        <w:spacing w:before="0" w:after="0" w:line="240" w:lineRule="auto"/>
      </w:pPr>
      <w:rPr>
        <w:b/>
        <w:bCs/>
      </w:rPr>
      <w:tblPr/>
      <w:tcPr>
        <w:tcBorders>
          <w:top w:val="double" w:sz="6" w:space="0" w:color="8FB08C"/>
          <w:left w:val="single" w:sz="8" w:space="0" w:color="8FB08C"/>
          <w:bottom w:val="single" w:sz="8" w:space="0" w:color="8FB08C"/>
          <w:right w:val="single" w:sz="8" w:space="0" w:color="8FB08C"/>
        </w:tcBorders>
      </w:tcPr>
    </w:tblStylePr>
    <w:tblStylePr w:type="firstCol">
      <w:rPr>
        <w:b/>
        <w:bCs/>
      </w:rPr>
    </w:tblStylePr>
    <w:tblStylePr w:type="lastCol">
      <w:rPr>
        <w:b/>
        <w:bCs/>
      </w:rPr>
    </w:tblStylePr>
    <w:tblStylePr w:type="band1Vert">
      <w:tblPr/>
      <w:tcPr>
        <w:tcBorders>
          <w:top w:val="single" w:sz="8" w:space="0" w:color="8FB08C"/>
          <w:left w:val="single" w:sz="8" w:space="0" w:color="8FB08C"/>
          <w:bottom w:val="single" w:sz="8" w:space="0" w:color="8FB08C"/>
          <w:right w:val="single" w:sz="8" w:space="0" w:color="8FB08C"/>
        </w:tcBorders>
      </w:tcPr>
    </w:tblStylePr>
    <w:tblStylePr w:type="band1Horz">
      <w:tblPr/>
      <w:tcPr>
        <w:tcBorders>
          <w:top w:val="single" w:sz="8" w:space="0" w:color="8FB08C"/>
          <w:left w:val="single" w:sz="8" w:space="0" w:color="8FB08C"/>
          <w:bottom w:val="single" w:sz="8" w:space="0" w:color="8FB08C"/>
          <w:right w:val="single" w:sz="8" w:space="0" w:color="8FB08C"/>
        </w:tcBorders>
      </w:tcPr>
    </w:tblStylePr>
  </w:style>
  <w:style w:type="table" w:customStyle="1" w:styleId="MediumList1-Accent5112">
    <w:name w:val="Medium List 1 - Accent 5112"/>
    <w:basedOn w:val="TableNormal"/>
    <w:next w:val="MediumList1-Accent5"/>
    <w:uiPriority w:val="65"/>
    <w:rsid w:val="00C1281D"/>
    <w:pPr>
      <w:spacing w:after="0" w:line="240" w:lineRule="auto"/>
    </w:pPr>
    <w:rPr>
      <w:rFonts w:ascii="Constantia" w:eastAsia="Constantia" w:hAnsi="Constantia" w:cs="Times New Roman"/>
      <w:color w:val="000000"/>
      <w:lang w:val="sr-Cyrl-CS"/>
    </w:rPr>
    <w:tblPr>
      <w:tblStyleRowBandSize w:val="1"/>
      <w:tblStyleColBandSize w:val="1"/>
      <w:tblBorders>
        <w:top w:val="single" w:sz="8" w:space="0" w:color="8FB08C"/>
        <w:bottom w:val="single" w:sz="8" w:space="0" w:color="8FB08C"/>
      </w:tblBorders>
    </w:tblPr>
    <w:tblStylePr w:type="firstRow">
      <w:rPr>
        <w:rFonts w:ascii="Verdana" w:eastAsia="Times New Roman" w:hAnsi="Verdana" w:cs="Times New Roman"/>
      </w:rPr>
      <w:tblPr/>
      <w:tcPr>
        <w:tcBorders>
          <w:top w:val="nil"/>
          <w:bottom w:val="single" w:sz="8" w:space="0" w:color="8FB08C"/>
        </w:tcBorders>
      </w:tcPr>
    </w:tblStylePr>
    <w:tblStylePr w:type="lastRow">
      <w:rPr>
        <w:b/>
        <w:bCs/>
        <w:color w:val="646B86"/>
      </w:rPr>
      <w:tblPr/>
      <w:tcPr>
        <w:tcBorders>
          <w:top w:val="single" w:sz="8" w:space="0" w:color="8FB08C"/>
          <w:bottom w:val="single" w:sz="8" w:space="0" w:color="8FB08C"/>
        </w:tcBorders>
      </w:tcPr>
    </w:tblStylePr>
    <w:tblStylePr w:type="firstCol">
      <w:rPr>
        <w:b/>
        <w:bCs/>
      </w:rPr>
    </w:tblStylePr>
    <w:tblStylePr w:type="lastCol">
      <w:rPr>
        <w:b/>
        <w:bCs/>
      </w:rPr>
      <w:tblPr/>
      <w:tcPr>
        <w:tcBorders>
          <w:top w:val="single" w:sz="8" w:space="0" w:color="8FB08C"/>
          <w:bottom w:val="single" w:sz="8" w:space="0" w:color="8FB08C"/>
        </w:tcBorders>
      </w:tcPr>
    </w:tblStylePr>
    <w:tblStylePr w:type="band1Vert">
      <w:tblPr/>
      <w:tcPr>
        <w:shd w:val="clear" w:color="auto" w:fill="E3EBE2"/>
      </w:tcPr>
    </w:tblStylePr>
    <w:tblStylePr w:type="band1Horz">
      <w:tblPr/>
      <w:tcPr>
        <w:shd w:val="clear" w:color="auto" w:fill="E3EBE2"/>
      </w:tcPr>
    </w:tblStylePr>
  </w:style>
  <w:style w:type="table" w:customStyle="1" w:styleId="MediumList1-Accent522">
    <w:name w:val="Medium List 1 - Accent 522"/>
    <w:basedOn w:val="TableNormal"/>
    <w:next w:val="MediumList1-Accent5"/>
    <w:uiPriority w:val="65"/>
    <w:rsid w:val="00C1281D"/>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4BACC6"/>
        <w:bottom w:val="single" w:sz="8" w:space="0" w:color="4BACC6"/>
      </w:tblBorders>
    </w:tblPr>
    <w:tblStylePr w:type="firstRow">
      <w:rPr>
        <w:rFonts w:ascii="Times New Roman" w:eastAsia="Times New Roman" w:hAnsi="Times New Roman" w:cs="Times New Roman"/>
      </w:rPr>
      <w:tblPr/>
      <w:tcPr>
        <w:tcBorders>
          <w:top w:val="nil"/>
          <w:bottom w:val="single" w:sz="8" w:space="0" w:color="4BACC6"/>
        </w:tcBorders>
      </w:tcPr>
    </w:tblStylePr>
    <w:tblStylePr w:type="lastRow">
      <w:rPr>
        <w:b/>
        <w:bCs/>
        <w:color w:val="1F497D"/>
      </w:rPr>
      <w:tblPr/>
      <w:tcPr>
        <w:tcBorders>
          <w:top w:val="single" w:sz="8" w:space="0" w:color="4BACC6"/>
          <w:bottom w:val="single" w:sz="8" w:space="0" w:color="4BACC6"/>
        </w:tcBorders>
      </w:tcPr>
    </w:tblStylePr>
    <w:tblStylePr w:type="firstCol">
      <w:rPr>
        <w:b/>
        <w:bCs/>
      </w:rPr>
    </w:tblStylePr>
    <w:tblStylePr w:type="lastCol">
      <w:rPr>
        <w:b/>
        <w:bCs/>
      </w:rPr>
      <w:tblPr/>
      <w:tcPr>
        <w:tcBorders>
          <w:top w:val="single" w:sz="8" w:space="0" w:color="4BACC6"/>
          <w:bottom w:val="single" w:sz="8" w:space="0" w:color="4BACC6"/>
        </w:tcBorders>
      </w:tcPr>
    </w:tblStylePr>
    <w:tblStylePr w:type="band1Vert">
      <w:tblPr/>
      <w:tcPr>
        <w:shd w:val="clear" w:color="auto" w:fill="D2EAF1"/>
      </w:tcPr>
    </w:tblStylePr>
    <w:tblStylePr w:type="band1Horz">
      <w:tblPr/>
      <w:tcPr>
        <w:shd w:val="clear" w:color="auto" w:fill="D2EAF1"/>
      </w:tcPr>
    </w:tblStylePr>
  </w:style>
  <w:style w:type="numbering" w:customStyle="1" w:styleId="NoList1112">
    <w:name w:val="No List1112"/>
    <w:next w:val="NoList"/>
    <w:uiPriority w:val="99"/>
    <w:semiHidden/>
    <w:unhideWhenUsed/>
    <w:rsid w:val="00C1281D"/>
  </w:style>
  <w:style w:type="table" w:customStyle="1" w:styleId="LightGrid-Accent5152">
    <w:name w:val="Light Grid - Accent 5152"/>
    <w:basedOn w:val="TableNormal"/>
    <w:next w:val="LightGrid-Accent5"/>
    <w:uiPriority w:val="62"/>
    <w:rsid w:val="00C1281D"/>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omic Sans MS" w:eastAsia="Times New Roman" w:hAnsi="Comic Sans MS"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omic Sans MS" w:eastAsia="Times New Roman" w:hAnsi="Comic Sans MS"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omic Sans MS" w:eastAsia="Times New Roman" w:hAnsi="Comic Sans MS" w:cs="Times New Roman"/>
        <w:b/>
        <w:bCs/>
      </w:rPr>
    </w:tblStylePr>
    <w:tblStylePr w:type="lastCol">
      <w:rPr>
        <w:rFonts w:ascii="Comic Sans MS" w:eastAsia="Times New Roman" w:hAnsi="Comic Sans MS"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1142">
    <w:name w:val="Светло сенчење – наглашавање 1142"/>
    <w:basedOn w:val="TableNormal"/>
    <w:uiPriority w:val="60"/>
    <w:rsid w:val="00C1281D"/>
    <w:pPr>
      <w:spacing w:after="0" w:line="240" w:lineRule="auto"/>
    </w:pPr>
    <w:rPr>
      <w:rFonts w:ascii="Calibri" w:eastAsia="Calibri" w:hAnsi="Calibri" w:cs="Times New Roman"/>
      <w:color w:val="365F91"/>
      <w:sz w:val="20"/>
      <w:szCs w:val="20"/>
      <w:lang w:val="sr-Latn-CS" w:eastAsia="en-GB"/>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Grid-Accent562">
    <w:name w:val="Light Grid - Accent 562"/>
    <w:basedOn w:val="TableNormal"/>
    <w:next w:val="LightGrid-Accent5"/>
    <w:uiPriority w:val="62"/>
    <w:rsid w:val="00C1281D"/>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Comic Sans MS" w:eastAsia="Times New Roman" w:hAnsi="Comic Sans MS"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Comic Sans MS" w:eastAsia="Times New Roman" w:hAnsi="Comic Sans MS"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Comic Sans MS" w:eastAsia="Times New Roman" w:hAnsi="Comic Sans MS" w:cs="Times New Roman"/>
        <w:b/>
        <w:bCs/>
      </w:rPr>
    </w:tblStylePr>
    <w:tblStylePr w:type="lastCol">
      <w:rPr>
        <w:rFonts w:ascii="Comic Sans MS" w:eastAsia="Times New Roman" w:hAnsi="Comic Sans MS"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tabelezaifs120">
    <w:name w:val="tabele za ifs12"/>
    <w:basedOn w:val="TableNormal"/>
    <w:uiPriority w:val="99"/>
    <w:qFormat/>
    <w:rsid w:val="00C1281D"/>
    <w:pPr>
      <w:spacing w:after="0" w:line="240" w:lineRule="auto"/>
    </w:pPr>
    <w:rPr>
      <w:rFonts w:ascii="Cambria Math" w:eastAsia="Calibri" w:hAnsi="Cambria Math" w:cs="Times New Roman"/>
      <w:sz w:val="20"/>
      <w:szCs w:val="20"/>
      <w:lang w:val="en-GB" w:eastAsia="en-GB"/>
    </w:rPr>
    <w:tblPr/>
  </w:style>
  <w:style w:type="table" w:customStyle="1" w:styleId="tabelezaifs112">
    <w:name w:val="tabele za ifs 112"/>
    <w:basedOn w:val="TableNormal"/>
    <w:uiPriority w:val="66"/>
    <w:rsid w:val="00C1281D"/>
    <w:pPr>
      <w:spacing w:after="0" w:line="240" w:lineRule="auto"/>
    </w:pPr>
    <w:rPr>
      <w:rFonts w:ascii="Cambria Math" w:eastAsia="Times New Roman" w:hAnsi="Cambria Math" w:cs="Times New Roman"/>
      <w:color w:val="000000"/>
      <w:sz w:val="20"/>
      <w:szCs w:val="20"/>
      <w:lang w:val="en-GB" w:eastAsia="en-GB"/>
    </w:rPr>
    <w:tblPr>
      <w:tblStyleRowBandSize w:val="1"/>
      <w:tblStyleColBandSize w:val="1"/>
      <w:tblBorders>
        <w:top w:val="single" w:sz="8" w:space="0" w:color="8CADAE"/>
        <w:left w:val="single" w:sz="8" w:space="0" w:color="8CADAE"/>
        <w:bottom w:val="single" w:sz="8" w:space="0" w:color="8CADAE"/>
        <w:right w:val="single" w:sz="8" w:space="0" w:color="8CADAE"/>
      </w:tblBorders>
    </w:tblPr>
    <w:tcPr>
      <w:vAlign w:val="bottom"/>
    </w:tcPr>
    <w:tblStylePr w:type="firstRow">
      <w:rPr>
        <w:sz w:val="24"/>
        <w:szCs w:val="24"/>
      </w:rPr>
      <w:tblPr/>
      <w:tcPr>
        <w:tcBorders>
          <w:top w:val="nil"/>
          <w:left w:val="nil"/>
          <w:bottom w:val="single" w:sz="24" w:space="0" w:color="8CADAE"/>
          <w:right w:val="nil"/>
          <w:insideH w:val="nil"/>
          <w:insideV w:val="nil"/>
        </w:tcBorders>
        <w:shd w:val="clear" w:color="auto" w:fill="FFFFFF"/>
      </w:tcPr>
    </w:tblStylePr>
    <w:tblStylePr w:type="lastRow">
      <w:tblPr/>
      <w:tcPr>
        <w:tcBorders>
          <w:top w:val="single" w:sz="8" w:space="0" w:color="8CADAE"/>
          <w:left w:val="nil"/>
          <w:bottom w:val="nil"/>
          <w:right w:val="nil"/>
          <w:insideH w:val="nil"/>
          <w:insideV w:val="nil"/>
        </w:tcBorders>
        <w:shd w:val="clear" w:color="auto" w:fill="FFFFFF"/>
      </w:tcPr>
    </w:tblStylePr>
    <w:tblStylePr w:type="firstCol">
      <w:tblPr/>
      <w:tcPr>
        <w:tcBorders>
          <w:top w:val="nil"/>
          <w:left w:val="nil"/>
          <w:bottom w:val="nil"/>
          <w:right w:val="single" w:sz="8" w:space="0" w:color="8CADAE"/>
          <w:insideH w:val="nil"/>
          <w:insideV w:val="nil"/>
        </w:tcBorders>
        <w:shd w:val="clear" w:color="auto" w:fill="FFFFFF"/>
      </w:tcPr>
    </w:tblStylePr>
    <w:tblStylePr w:type="lastCol">
      <w:tblPr/>
      <w:tcPr>
        <w:tcBorders>
          <w:top w:val="nil"/>
          <w:left w:val="single" w:sz="8" w:space="0" w:color="8CADAE"/>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2EAEB"/>
      </w:tcPr>
    </w:tblStylePr>
    <w:tblStylePr w:type="band1Horz">
      <w:tblPr/>
      <w:tcPr>
        <w:tcBorders>
          <w:top w:val="nil"/>
          <w:bottom w:val="nil"/>
          <w:insideH w:val="nil"/>
          <w:insideV w:val="nil"/>
        </w:tcBorders>
        <w:shd w:val="clear" w:color="auto" w:fill="E2EAEB"/>
      </w:tcPr>
    </w:tblStylePr>
    <w:tblStylePr w:type="nwCell">
      <w:tblPr/>
      <w:tcPr>
        <w:shd w:val="clear" w:color="auto" w:fill="FFFFFF"/>
      </w:tcPr>
    </w:tblStylePr>
    <w:tblStylePr w:type="swCell">
      <w:tblPr/>
      <w:tcPr>
        <w:tcBorders>
          <w:top w:val="nil"/>
        </w:tcBorders>
      </w:tcPr>
    </w:tblStylePr>
  </w:style>
  <w:style w:type="table" w:customStyle="1" w:styleId="ColorfulList-Accent112">
    <w:name w:val="Colorful List - Accent 112"/>
    <w:basedOn w:val="TableNormal"/>
    <w:next w:val="ColorfulList-Accent1"/>
    <w:uiPriority w:val="72"/>
    <w:rsid w:val="00C1281D"/>
    <w:pPr>
      <w:spacing w:after="0" w:line="240" w:lineRule="auto"/>
    </w:pPr>
    <w:rPr>
      <w:rFonts w:ascii="Calibri" w:eastAsia="Calibri" w:hAnsi="Calibri" w:cs="Times New Roman"/>
      <w:color w:val="000000"/>
      <w:sz w:val="20"/>
      <w:szCs w:val="20"/>
      <w:lang w:val="en-GB" w:eastAsia="en-GB"/>
    </w:rPr>
    <w:tblPr>
      <w:tblStyleRowBandSize w:val="1"/>
      <w:tblStyleColBandSize w:val="1"/>
    </w:tblPr>
    <w:tcPr>
      <w:shd w:val="clear" w:color="auto" w:fill="FAEFEC"/>
    </w:tcPr>
    <w:tblStylePr w:type="firstRow">
      <w:rPr>
        <w:b/>
        <w:bCs/>
        <w:color w:val="FFFFFF"/>
      </w:rPr>
      <w:tblPr/>
      <w:tcPr>
        <w:tcBorders>
          <w:bottom w:val="single" w:sz="12" w:space="0" w:color="FFFFFF"/>
        </w:tcBorders>
        <w:shd w:val="clear" w:color="auto" w:fill="A38F00"/>
      </w:tcPr>
    </w:tblStylePr>
    <w:tblStylePr w:type="lastRow">
      <w:rPr>
        <w:b/>
        <w:bCs/>
        <w:color w:val="A38F00"/>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3D8D2"/>
      </w:tcPr>
    </w:tblStylePr>
    <w:tblStylePr w:type="band1Horz">
      <w:tblPr/>
      <w:tcPr>
        <w:shd w:val="clear" w:color="auto" w:fill="F5DFDA"/>
      </w:tcPr>
    </w:tblStylePr>
  </w:style>
  <w:style w:type="numbering" w:customStyle="1" w:styleId="NoList212">
    <w:name w:val="No List212"/>
    <w:next w:val="NoList"/>
    <w:uiPriority w:val="99"/>
    <w:semiHidden/>
    <w:unhideWhenUsed/>
    <w:rsid w:val="00C1281D"/>
  </w:style>
  <w:style w:type="table" w:customStyle="1" w:styleId="LightList-Accent3242">
    <w:name w:val="Light List - Accent 3242"/>
    <w:basedOn w:val="TableNormal"/>
    <w:next w:val="LightList-Accent3"/>
    <w:uiPriority w:val="61"/>
    <w:rsid w:val="00C1281D"/>
    <w:pPr>
      <w:spacing w:after="0" w:line="240" w:lineRule="auto"/>
    </w:pPr>
    <w:rPr>
      <w:rFonts w:ascii="Calibri" w:eastAsia="Calibri" w:hAnsi="Calibri" w:cs="Times New Roman"/>
      <w:sz w:val="20"/>
      <w:szCs w:val="20"/>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31142">
    <w:name w:val="Light List - Accent 31142"/>
    <w:basedOn w:val="TableNormal"/>
    <w:next w:val="LightList-Accent3"/>
    <w:uiPriority w:val="61"/>
    <w:rsid w:val="00C1281D"/>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Shading-Accent13172">
    <w:name w:val="Light Shading - Accent 13172"/>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82">
    <w:name w:val="Light Shading - Accent 13182"/>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242">
    <w:name w:val="Light Shading - Accent 13242"/>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tabele3112">
    <w:name w:val="tabele 3112"/>
    <w:basedOn w:val="TableNormal"/>
    <w:next w:val="LightList-Accent3"/>
    <w:uiPriority w:val="61"/>
    <w:rsid w:val="00C1281D"/>
    <w:pPr>
      <w:spacing w:after="0" w:line="240" w:lineRule="auto"/>
    </w:pPr>
    <w:rPr>
      <w:rFonts w:ascii="Cambria Math" w:eastAsia="Calibri" w:hAnsi="Cambria Math" w:cs="Times New Roman"/>
      <w:sz w:val="18"/>
      <w:lang w:val="sr-Cyrl-CS"/>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LightShading-Accent11112">
    <w:name w:val="Light Shading - Accent 11112"/>
    <w:basedOn w:val="TableNormal"/>
    <w:uiPriority w:val="60"/>
    <w:rsid w:val="00C1281D"/>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3212">
    <w:name w:val="Light Shading - Accent 3212"/>
    <w:basedOn w:val="TableNormal"/>
    <w:next w:val="LightShading-Accent3"/>
    <w:uiPriority w:val="60"/>
    <w:rsid w:val="00C1281D"/>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List-Accent5212">
    <w:name w:val="Light List - Accent 5212"/>
    <w:basedOn w:val="TableNormal"/>
    <w:next w:val="LightList-Accent5"/>
    <w:uiPriority w:val="61"/>
    <w:rsid w:val="00C1281D"/>
    <w:pPr>
      <w:spacing w:after="0" w:line="240" w:lineRule="auto"/>
    </w:pPr>
    <w:rPr>
      <w:rFonts w:ascii="Calibri" w:eastAsia="Calibri" w:hAnsi="Calibri" w:cs="Times New Roman"/>
      <w:sz w:val="20"/>
      <w:szCs w:val="20"/>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Shading-Accent31112">
    <w:name w:val="Light Shading - Accent 31112"/>
    <w:basedOn w:val="TableNormal"/>
    <w:next w:val="LightShading-Accent3"/>
    <w:uiPriority w:val="60"/>
    <w:rsid w:val="00C1281D"/>
    <w:pPr>
      <w:spacing w:after="0" w:line="240" w:lineRule="auto"/>
    </w:pPr>
    <w:rPr>
      <w:rFonts w:ascii="Constantia" w:eastAsia="Constantia" w:hAnsi="Constantia" w:cs="Times New Roman"/>
      <w:color w:val="8CADAE"/>
      <w:lang w:val="sr-Cyrl-CS"/>
    </w:rPr>
    <w:tblPr>
      <w:tblStyleRowBandSize w:val="1"/>
      <w:tblStyleColBandSize w:val="1"/>
      <w:tblBorders>
        <w:top w:val="single" w:sz="8" w:space="0" w:color="8CADAE"/>
        <w:bottom w:val="single" w:sz="8" w:space="0" w:color="8CADAE"/>
      </w:tblBorders>
    </w:tblPr>
    <w:tblStylePr w:type="fir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la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2EAEB"/>
      </w:tcPr>
    </w:tblStylePr>
    <w:tblStylePr w:type="band1Horz">
      <w:tblPr/>
      <w:tcPr>
        <w:tcBorders>
          <w:left w:val="nil"/>
          <w:right w:val="nil"/>
          <w:insideH w:val="nil"/>
          <w:insideV w:val="nil"/>
        </w:tcBorders>
        <w:shd w:val="clear" w:color="auto" w:fill="E2EAEB"/>
      </w:tcPr>
    </w:tblStylePr>
  </w:style>
  <w:style w:type="table" w:customStyle="1" w:styleId="LightList-Accent31212">
    <w:name w:val="Light List - Accent 31212"/>
    <w:basedOn w:val="TableNormal"/>
    <w:next w:val="LightList-Accent3"/>
    <w:uiPriority w:val="61"/>
    <w:rsid w:val="00C1281D"/>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51112">
    <w:name w:val="Light List - Accent 51112"/>
    <w:basedOn w:val="TableNormal"/>
    <w:next w:val="LightList-Accent5"/>
    <w:uiPriority w:val="61"/>
    <w:rsid w:val="00C1281D"/>
    <w:pPr>
      <w:spacing w:after="0" w:line="240" w:lineRule="auto"/>
    </w:pPr>
    <w:rPr>
      <w:rFonts w:ascii="Times New Roman" w:eastAsia="Constantia" w:hAnsi="Times New Roman" w:cs="Times New Roman"/>
      <w:lang w:val="sr-Cyrl-CS"/>
    </w:rPr>
    <w:tblPr>
      <w:tblStyleRowBandSize w:val="1"/>
      <w:tblStyleColBandSize w:val="1"/>
      <w:tblBorders>
        <w:top w:val="single" w:sz="8" w:space="0" w:color="8FB08C"/>
        <w:left w:val="single" w:sz="8" w:space="0" w:color="8FB08C"/>
        <w:bottom w:val="single" w:sz="8" w:space="0" w:color="8FB08C"/>
        <w:right w:val="single" w:sz="8" w:space="0" w:color="8FB08C"/>
      </w:tblBorders>
    </w:tblPr>
    <w:tblStylePr w:type="firstRow">
      <w:pPr>
        <w:spacing w:before="0" w:after="0" w:line="240" w:lineRule="auto"/>
      </w:pPr>
      <w:rPr>
        <w:b/>
        <w:bCs/>
        <w:color w:val="FFFFFF"/>
      </w:rPr>
      <w:tblPr/>
      <w:tcPr>
        <w:shd w:val="clear" w:color="auto" w:fill="8FB08C"/>
      </w:tcPr>
    </w:tblStylePr>
    <w:tblStylePr w:type="lastRow">
      <w:pPr>
        <w:spacing w:before="0" w:after="0" w:line="240" w:lineRule="auto"/>
      </w:pPr>
      <w:rPr>
        <w:b/>
        <w:bCs/>
      </w:rPr>
      <w:tblPr/>
      <w:tcPr>
        <w:tcBorders>
          <w:top w:val="double" w:sz="6" w:space="0" w:color="8FB08C"/>
          <w:left w:val="single" w:sz="8" w:space="0" w:color="8FB08C"/>
          <w:bottom w:val="single" w:sz="8" w:space="0" w:color="8FB08C"/>
          <w:right w:val="single" w:sz="8" w:space="0" w:color="8FB08C"/>
        </w:tcBorders>
      </w:tcPr>
    </w:tblStylePr>
    <w:tblStylePr w:type="firstCol">
      <w:rPr>
        <w:b/>
        <w:bCs/>
      </w:rPr>
    </w:tblStylePr>
    <w:tblStylePr w:type="lastCol">
      <w:rPr>
        <w:b/>
        <w:bCs/>
      </w:rPr>
    </w:tblStylePr>
    <w:tblStylePr w:type="band1Vert">
      <w:tblPr/>
      <w:tcPr>
        <w:tcBorders>
          <w:top w:val="single" w:sz="8" w:space="0" w:color="8FB08C"/>
          <w:left w:val="single" w:sz="8" w:space="0" w:color="8FB08C"/>
          <w:bottom w:val="single" w:sz="8" w:space="0" w:color="8FB08C"/>
          <w:right w:val="single" w:sz="8" w:space="0" w:color="8FB08C"/>
        </w:tcBorders>
      </w:tcPr>
    </w:tblStylePr>
    <w:tblStylePr w:type="band1Horz">
      <w:tblPr/>
      <w:tcPr>
        <w:tcBorders>
          <w:top w:val="single" w:sz="8" w:space="0" w:color="8FB08C"/>
          <w:left w:val="single" w:sz="8" w:space="0" w:color="8FB08C"/>
          <w:bottom w:val="single" w:sz="8" w:space="0" w:color="8FB08C"/>
          <w:right w:val="single" w:sz="8" w:space="0" w:color="8FB08C"/>
        </w:tcBorders>
      </w:tcPr>
    </w:tblStylePr>
  </w:style>
  <w:style w:type="table" w:customStyle="1" w:styleId="LightGrid-Accent51122">
    <w:name w:val="Light Grid - Accent 51122"/>
    <w:basedOn w:val="TableNormal"/>
    <w:next w:val="LightGrid-Accent5"/>
    <w:uiPriority w:val="62"/>
    <w:rsid w:val="00C1281D"/>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omic Sans MS" w:eastAsia="Times New Roman" w:hAnsi="Comic Sans MS"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omic Sans MS" w:eastAsia="Times New Roman" w:hAnsi="Comic Sans MS"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omic Sans MS" w:eastAsia="Times New Roman" w:hAnsi="Comic Sans MS" w:cs="Times New Roman"/>
        <w:b/>
        <w:bCs/>
      </w:rPr>
    </w:tblStylePr>
    <w:tblStylePr w:type="lastCol">
      <w:rPr>
        <w:rFonts w:ascii="Comic Sans MS" w:eastAsia="Times New Roman" w:hAnsi="Comic Sans MS"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11112">
    <w:name w:val="Светло сенчење – наглашавање 11112"/>
    <w:basedOn w:val="TableNormal"/>
    <w:uiPriority w:val="60"/>
    <w:rsid w:val="00C1281D"/>
    <w:pPr>
      <w:spacing w:after="0" w:line="240" w:lineRule="auto"/>
    </w:pPr>
    <w:rPr>
      <w:rFonts w:ascii="Calibri" w:eastAsia="Calibri" w:hAnsi="Calibri" w:cs="Times New Roman"/>
      <w:color w:val="365F91"/>
      <w:sz w:val="20"/>
      <w:szCs w:val="20"/>
      <w:lang w:val="sr-Latn-CS" w:eastAsia="en-GB"/>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Grid-Accent5222">
    <w:name w:val="Light Grid - Accent 5222"/>
    <w:basedOn w:val="TableNormal"/>
    <w:next w:val="LightGrid-Accent5"/>
    <w:uiPriority w:val="62"/>
    <w:rsid w:val="00C1281D"/>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Comic Sans MS" w:eastAsia="Times New Roman" w:hAnsi="Comic Sans MS"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Comic Sans MS" w:eastAsia="Times New Roman" w:hAnsi="Comic Sans MS"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Comic Sans MS" w:eastAsia="Times New Roman" w:hAnsi="Comic Sans MS" w:cs="Times New Roman"/>
        <w:b/>
        <w:bCs/>
      </w:rPr>
    </w:tblStylePr>
    <w:tblStylePr w:type="lastCol">
      <w:rPr>
        <w:rFonts w:ascii="Comic Sans MS" w:eastAsia="Times New Roman" w:hAnsi="Comic Sans MS"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List-Accent32112">
    <w:name w:val="Light List - Accent 32112"/>
    <w:basedOn w:val="TableNormal"/>
    <w:next w:val="LightList-Accent3"/>
    <w:uiPriority w:val="61"/>
    <w:rsid w:val="00C1281D"/>
    <w:pPr>
      <w:spacing w:after="0" w:line="240" w:lineRule="auto"/>
    </w:pPr>
    <w:rPr>
      <w:rFonts w:ascii="Calibri" w:eastAsia="Calibri" w:hAnsi="Calibri" w:cs="Times New Roman"/>
      <w:sz w:val="20"/>
      <w:szCs w:val="20"/>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311112">
    <w:name w:val="Light List - Accent 311112"/>
    <w:basedOn w:val="TableNormal"/>
    <w:next w:val="LightList-Accent3"/>
    <w:uiPriority w:val="61"/>
    <w:rsid w:val="00C1281D"/>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Shading-Accent13312">
    <w:name w:val="Light Shading - Accent 13312"/>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112">
    <w:name w:val="Light Shading - Accent 131112"/>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2112">
    <w:name w:val="Light Shading - Accent 132112"/>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212">
    <w:name w:val="Light Shading - Accent 11212"/>
    <w:basedOn w:val="TableNormal"/>
    <w:uiPriority w:val="60"/>
    <w:rsid w:val="00C1281D"/>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412">
    <w:name w:val="Light Shading - Accent 13412"/>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312">
    <w:name w:val="Light Shading - Accent 11312"/>
    <w:basedOn w:val="TableNormal"/>
    <w:uiPriority w:val="60"/>
    <w:rsid w:val="00C1281D"/>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512">
    <w:name w:val="Light Shading - Accent 13512"/>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622">
    <w:name w:val="Light Shading - Accent 13622"/>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712">
    <w:name w:val="Light Shading - Accent 13712"/>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tabele3212">
    <w:name w:val="tabele 3212"/>
    <w:basedOn w:val="TableNormal"/>
    <w:next w:val="LightList-Accent3"/>
    <w:uiPriority w:val="61"/>
    <w:rsid w:val="00C1281D"/>
    <w:pPr>
      <w:spacing w:after="0" w:line="240" w:lineRule="auto"/>
    </w:pPr>
    <w:rPr>
      <w:rFonts w:ascii="Cambria Math" w:eastAsia="Calibri" w:hAnsi="Cambria Math" w:cs="Times New Roman"/>
      <w:sz w:val="18"/>
      <w:lang w:val="sr-Cyrl-CS"/>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LightShading-Accent11412">
    <w:name w:val="Light Shading - Accent 11412"/>
    <w:basedOn w:val="TableNormal"/>
    <w:uiPriority w:val="60"/>
    <w:rsid w:val="00C1281D"/>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3342">
    <w:name w:val="Light Shading - Accent 3342"/>
    <w:basedOn w:val="TableNormal"/>
    <w:next w:val="LightShading-Accent3"/>
    <w:uiPriority w:val="60"/>
    <w:rsid w:val="00C1281D"/>
    <w:pPr>
      <w:spacing w:after="0" w:line="240" w:lineRule="auto"/>
    </w:pPr>
    <w:rPr>
      <w:rFonts w:ascii="Arial" w:eastAsia="Calibri" w:hAnsi="Arial" w:cs="Times New Roman"/>
      <w:color w:val="474747"/>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List-Accent5312">
    <w:name w:val="Light List - Accent 5312"/>
    <w:basedOn w:val="TableNormal"/>
    <w:next w:val="LightList-Accent5"/>
    <w:uiPriority w:val="61"/>
    <w:rsid w:val="00C1281D"/>
    <w:pPr>
      <w:spacing w:after="0" w:line="240" w:lineRule="auto"/>
    </w:pPr>
    <w:rPr>
      <w:rFonts w:ascii="Calibri" w:eastAsia="Calibri" w:hAnsi="Calibri" w:cs="Times New Roman"/>
      <w:sz w:val="20"/>
      <w:szCs w:val="20"/>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Shading-Accent31212">
    <w:name w:val="Light Shading - Accent 31212"/>
    <w:basedOn w:val="TableNormal"/>
    <w:next w:val="LightShading-Accent3"/>
    <w:uiPriority w:val="60"/>
    <w:rsid w:val="00C1281D"/>
    <w:pPr>
      <w:spacing w:after="0" w:line="240" w:lineRule="auto"/>
    </w:pPr>
    <w:rPr>
      <w:rFonts w:ascii="Constantia" w:eastAsia="Constantia" w:hAnsi="Constantia" w:cs="Times New Roman"/>
      <w:color w:val="8CADAE"/>
      <w:lang w:val="sr-Cyrl-CS"/>
    </w:rPr>
    <w:tblPr>
      <w:tblStyleRowBandSize w:val="1"/>
      <w:tblStyleColBandSize w:val="1"/>
      <w:tblBorders>
        <w:top w:val="single" w:sz="8" w:space="0" w:color="8CADAE"/>
        <w:bottom w:val="single" w:sz="8" w:space="0" w:color="8CADAE"/>
      </w:tblBorders>
    </w:tblPr>
    <w:tblStylePr w:type="fir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la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2EAEB"/>
      </w:tcPr>
    </w:tblStylePr>
    <w:tblStylePr w:type="band1Horz">
      <w:tblPr/>
      <w:tcPr>
        <w:tcBorders>
          <w:left w:val="nil"/>
          <w:right w:val="nil"/>
          <w:insideH w:val="nil"/>
          <w:insideV w:val="nil"/>
        </w:tcBorders>
        <w:shd w:val="clear" w:color="auto" w:fill="E2EAEB"/>
      </w:tcPr>
    </w:tblStylePr>
  </w:style>
  <w:style w:type="table" w:customStyle="1" w:styleId="LightList-Accent31312">
    <w:name w:val="Light List - Accent 31312"/>
    <w:basedOn w:val="TableNormal"/>
    <w:next w:val="LightList-Accent3"/>
    <w:uiPriority w:val="61"/>
    <w:rsid w:val="00C1281D"/>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51212">
    <w:name w:val="Light List - Accent 51212"/>
    <w:basedOn w:val="TableNormal"/>
    <w:next w:val="LightList-Accent5"/>
    <w:uiPriority w:val="61"/>
    <w:rsid w:val="00C1281D"/>
    <w:pPr>
      <w:spacing w:after="0" w:line="240" w:lineRule="auto"/>
    </w:pPr>
    <w:rPr>
      <w:rFonts w:ascii="Times New Roman" w:eastAsia="Constantia" w:hAnsi="Times New Roman" w:cs="Times New Roman"/>
      <w:lang w:val="sr-Cyrl-CS"/>
    </w:rPr>
    <w:tblPr>
      <w:tblStyleRowBandSize w:val="1"/>
      <w:tblStyleColBandSize w:val="1"/>
      <w:tblBorders>
        <w:top w:val="single" w:sz="8" w:space="0" w:color="8FB08C"/>
        <w:left w:val="single" w:sz="8" w:space="0" w:color="8FB08C"/>
        <w:bottom w:val="single" w:sz="8" w:space="0" w:color="8FB08C"/>
        <w:right w:val="single" w:sz="8" w:space="0" w:color="8FB08C"/>
      </w:tblBorders>
    </w:tblPr>
    <w:tblStylePr w:type="firstRow">
      <w:pPr>
        <w:spacing w:before="0" w:after="0" w:line="240" w:lineRule="auto"/>
      </w:pPr>
      <w:rPr>
        <w:b/>
        <w:bCs/>
        <w:color w:val="FFFFFF"/>
      </w:rPr>
      <w:tblPr/>
      <w:tcPr>
        <w:shd w:val="clear" w:color="auto" w:fill="8FB08C"/>
      </w:tcPr>
    </w:tblStylePr>
    <w:tblStylePr w:type="lastRow">
      <w:pPr>
        <w:spacing w:before="0" w:after="0" w:line="240" w:lineRule="auto"/>
      </w:pPr>
      <w:rPr>
        <w:b/>
        <w:bCs/>
      </w:rPr>
      <w:tblPr/>
      <w:tcPr>
        <w:tcBorders>
          <w:top w:val="double" w:sz="6" w:space="0" w:color="8FB08C"/>
          <w:left w:val="single" w:sz="8" w:space="0" w:color="8FB08C"/>
          <w:bottom w:val="single" w:sz="8" w:space="0" w:color="8FB08C"/>
          <w:right w:val="single" w:sz="8" w:space="0" w:color="8FB08C"/>
        </w:tcBorders>
      </w:tcPr>
    </w:tblStylePr>
    <w:tblStylePr w:type="firstCol">
      <w:rPr>
        <w:b/>
        <w:bCs/>
      </w:rPr>
    </w:tblStylePr>
    <w:tblStylePr w:type="lastCol">
      <w:rPr>
        <w:b/>
        <w:bCs/>
      </w:rPr>
    </w:tblStylePr>
    <w:tblStylePr w:type="band1Vert">
      <w:tblPr/>
      <w:tcPr>
        <w:tcBorders>
          <w:top w:val="single" w:sz="8" w:space="0" w:color="8FB08C"/>
          <w:left w:val="single" w:sz="8" w:space="0" w:color="8FB08C"/>
          <w:bottom w:val="single" w:sz="8" w:space="0" w:color="8FB08C"/>
          <w:right w:val="single" w:sz="8" w:space="0" w:color="8FB08C"/>
        </w:tcBorders>
      </w:tcPr>
    </w:tblStylePr>
    <w:tblStylePr w:type="band1Horz">
      <w:tblPr/>
      <w:tcPr>
        <w:tcBorders>
          <w:top w:val="single" w:sz="8" w:space="0" w:color="8FB08C"/>
          <w:left w:val="single" w:sz="8" w:space="0" w:color="8FB08C"/>
          <w:bottom w:val="single" w:sz="8" w:space="0" w:color="8FB08C"/>
          <w:right w:val="single" w:sz="8" w:space="0" w:color="8FB08C"/>
        </w:tcBorders>
      </w:tcPr>
    </w:tblStylePr>
  </w:style>
  <w:style w:type="table" w:customStyle="1" w:styleId="LightGrid-Accent51222">
    <w:name w:val="Light Grid - Accent 51222"/>
    <w:basedOn w:val="TableNormal"/>
    <w:next w:val="LightGrid-Accent5"/>
    <w:uiPriority w:val="62"/>
    <w:rsid w:val="00C1281D"/>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omic Sans MS" w:eastAsia="Times New Roman" w:hAnsi="Comic Sans MS"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omic Sans MS" w:eastAsia="Times New Roman" w:hAnsi="Comic Sans MS"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omic Sans MS" w:eastAsia="Times New Roman" w:hAnsi="Comic Sans MS" w:cs="Times New Roman"/>
        <w:b/>
        <w:bCs/>
      </w:rPr>
    </w:tblStylePr>
    <w:tblStylePr w:type="lastCol">
      <w:rPr>
        <w:rFonts w:ascii="Comic Sans MS" w:eastAsia="Times New Roman" w:hAnsi="Comic Sans MS"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11212">
    <w:name w:val="Светло сенчење – наглашавање 11212"/>
    <w:basedOn w:val="TableNormal"/>
    <w:uiPriority w:val="60"/>
    <w:rsid w:val="00C1281D"/>
    <w:pPr>
      <w:spacing w:after="0" w:line="240" w:lineRule="auto"/>
    </w:pPr>
    <w:rPr>
      <w:rFonts w:ascii="Calibri" w:eastAsia="Calibri" w:hAnsi="Calibri" w:cs="Times New Roman"/>
      <w:color w:val="365F91"/>
      <w:sz w:val="20"/>
      <w:szCs w:val="20"/>
      <w:lang w:val="sr-Latn-CS" w:eastAsia="en-GB"/>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Grid-Accent5322">
    <w:name w:val="Light Grid - Accent 5322"/>
    <w:basedOn w:val="TableNormal"/>
    <w:next w:val="LightGrid-Accent5"/>
    <w:uiPriority w:val="62"/>
    <w:rsid w:val="00C1281D"/>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Comic Sans MS" w:eastAsia="Times New Roman" w:hAnsi="Comic Sans MS"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Comic Sans MS" w:eastAsia="Times New Roman" w:hAnsi="Comic Sans MS"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Comic Sans MS" w:eastAsia="Times New Roman" w:hAnsi="Comic Sans MS" w:cs="Times New Roman"/>
        <w:b/>
        <w:bCs/>
      </w:rPr>
    </w:tblStylePr>
    <w:tblStylePr w:type="lastCol">
      <w:rPr>
        <w:rFonts w:ascii="Comic Sans MS" w:eastAsia="Times New Roman" w:hAnsi="Comic Sans MS"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List-Accent32212">
    <w:name w:val="Light List - Accent 32212"/>
    <w:basedOn w:val="TableNormal"/>
    <w:next w:val="LightList-Accent3"/>
    <w:uiPriority w:val="61"/>
    <w:rsid w:val="00C1281D"/>
    <w:pPr>
      <w:spacing w:after="0" w:line="240" w:lineRule="auto"/>
    </w:pPr>
    <w:rPr>
      <w:rFonts w:ascii="Calibri" w:eastAsia="Calibri" w:hAnsi="Calibri" w:cs="Times New Roman"/>
      <w:sz w:val="20"/>
      <w:szCs w:val="20"/>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311212">
    <w:name w:val="Light List - Accent 311212"/>
    <w:basedOn w:val="TableNormal"/>
    <w:next w:val="LightList-Accent3"/>
    <w:uiPriority w:val="61"/>
    <w:rsid w:val="00C1281D"/>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Shading-Accent13822">
    <w:name w:val="Light Shading - Accent 13822"/>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212">
    <w:name w:val="Light Shading - Accent 131212"/>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2212">
    <w:name w:val="Light Shading - Accent 132212"/>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512">
    <w:name w:val="Light Shading - Accent 11512"/>
    <w:basedOn w:val="TableNormal"/>
    <w:uiPriority w:val="60"/>
    <w:rsid w:val="00C1281D"/>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922">
    <w:name w:val="Light Shading - Accent 13922"/>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622">
    <w:name w:val="Light Shading - Accent 11622"/>
    <w:basedOn w:val="TableNormal"/>
    <w:uiPriority w:val="60"/>
    <w:rsid w:val="00C1281D"/>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022">
    <w:name w:val="Light Shading - Accent 131022"/>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312">
    <w:name w:val="Light Shading - Accent 131312"/>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tabele3312">
    <w:name w:val="tabele 3312"/>
    <w:basedOn w:val="TableNormal"/>
    <w:next w:val="LightList-Accent3"/>
    <w:uiPriority w:val="61"/>
    <w:rsid w:val="00C1281D"/>
    <w:pPr>
      <w:spacing w:after="0" w:line="240" w:lineRule="auto"/>
    </w:pPr>
    <w:rPr>
      <w:rFonts w:ascii="Cambria Math" w:eastAsia="Calibri" w:hAnsi="Cambria Math" w:cs="Times New Roman"/>
      <w:sz w:val="18"/>
      <w:lang w:val="sr-Cyrl-CS"/>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LightShading-Accent11712">
    <w:name w:val="Light Shading - Accent 11712"/>
    <w:basedOn w:val="TableNormal"/>
    <w:uiPriority w:val="60"/>
    <w:rsid w:val="00C1281D"/>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3432">
    <w:name w:val="Light Shading - Accent 3432"/>
    <w:basedOn w:val="TableNormal"/>
    <w:next w:val="LightShading-Accent3"/>
    <w:uiPriority w:val="60"/>
    <w:rsid w:val="00C1281D"/>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List-Accent5412">
    <w:name w:val="Light List - Accent 5412"/>
    <w:basedOn w:val="TableNormal"/>
    <w:next w:val="LightList-Accent5"/>
    <w:uiPriority w:val="61"/>
    <w:rsid w:val="00C1281D"/>
    <w:pPr>
      <w:spacing w:after="0" w:line="240" w:lineRule="auto"/>
    </w:pPr>
    <w:rPr>
      <w:rFonts w:ascii="Calibri" w:eastAsia="Calibri" w:hAnsi="Calibri" w:cs="Times New Roman"/>
      <w:sz w:val="20"/>
      <w:szCs w:val="20"/>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Shading-Accent31312">
    <w:name w:val="Light Shading - Accent 31312"/>
    <w:basedOn w:val="TableNormal"/>
    <w:next w:val="LightShading-Accent3"/>
    <w:uiPriority w:val="60"/>
    <w:rsid w:val="00C1281D"/>
    <w:pPr>
      <w:spacing w:after="0" w:line="240" w:lineRule="auto"/>
    </w:pPr>
    <w:rPr>
      <w:rFonts w:ascii="Constantia" w:eastAsia="Constantia" w:hAnsi="Constantia" w:cs="Times New Roman"/>
      <w:color w:val="8CADAE"/>
      <w:lang w:val="sr-Cyrl-CS"/>
    </w:rPr>
    <w:tblPr>
      <w:tblStyleRowBandSize w:val="1"/>
      <w:tblStyleColBandSize w:val="1"/>
      <w:tblBorders>
        <w:top w:val="single" w:sz="8" w:space="0" w:color="8CADAE"/>
        <w:bottom w:val="single" w:sz="8" w:space="0" w:color="8CADAE"/>
      </w:tblBorders>
    </w:tblPr>
    <w:tblStylePr w:type="fir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la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2EAEB"/>
      </w:tcPr>
    </w:tblStylePr>
    <w:tblStylePr w:type="band1Horz">
      <w:tblPr/>
      <w:tcPr>
        <w:tcBorders>
          <w:left w:val="nil"/>
          <w:right w:val="nil"/>
          <w:insideH w:val="nil"/>
          <w:insideV w:val="nil"/>
        </w:tcBorders>
        <w:shd w:val="clear" w:color="auto" w:fill="E2EAEB"/>
      </w:tcPr>
    </w:tblStylePr>
  </w:style>
  <w:style w:type="table" w:customStyle="1" w:styleId="LightList-Accent31412">
    <w:name w:val="Light List - Accent 31412"/>
    <w:basedOn w:val="TableNormal"/>
    <w:next w:val="LightList-Accent3"/>
    <w:uiPriority w:val="61"/>
    <w:rsid w:val="00C1281D"/>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51312">
    <w:name w:val="Light List - Accent 51312"/>
    <w:basedOn w:val="TableNormal"/>
    <w:next w:val="LightList-Accent5"/>
    <w:uiPriority w:val="61"/>
    <w:rsid w:val="00C1281D"/>
    <w:pPr>
      <w:spacing w:after="0" w:line="240" w:lineRule="auto"/>
    </w:pPr>
    <w:rPr>
      <w:rFonts w:ascii="Times New Roman" w:eastAsia="Constantia" w:hAnsi="Times New Roman" w:cs="Times New Roman"/>
      <w:lang w:val="sr-Cyrl-CS"/>
    </w:rPr>
    <w:tblPr>
      <w:tblStyleRowBandSize w:val="1"/>
      <w:tblStyleColBandSize w:val="1"/>
      <w:tblBorders>
        <w:top w:val="single" w:sz="8" w:space="0" w:color="8FB08C"/>
        <w:left w:val="single" w:sz="8" w:space="0" w:color="8FB08C"/>
        <w:bottom w:val="single" w:sz="8" w:space="0" w:color="8FB08C"/>
        <w:right w:val="single" w:sz="8" w:space="0" w:color="8FB08C"/>
      </w:tblBorders>
    </w:tblPr>
    <w:tblStylePr w:type="firstRow">
      <w:pPr>
        <w:spacing w:before="0" w:after="0" w:line="240" w:lineRule="auto"/>
      </w:pPr>
      <w:rPr>
        <w:b/>
        <w:bCs/>
        <w:color w:val="FFFFFF"/>
      </w:rPr>
      <w:tblPr/>
      <w:tcPr>
        <w:shd w:val="clear" w:color="auto" w:fill="8FB08C"/>
      </w:tcPr>
    </w:tblStylePr>
    <w:tblStylePr w:type="lastRow">
      <w:pPr>
        <w:spacing w:before="0" w:after="0" w:line="240" w:lineRule="auto"/>
      </w:pPr>
      <w:rPr>
        <w:b/>
        <w:bCs/>
      </w:rPr>
      <w:tblPr/>
      <w:tcPr>
        <w:tcBorders>
          <w:top w:val="double" w:sz="6" w:space="0" w:color="8FB08C"/>
          <w:left w:val="single" w:sz="8" w:space="0" w:color="8FB08C"/>
          <w:bottom w:val="single" w:sz="8" w:space="0" w:color="8FB08C"/>
          <w:right w:val="single" w:sz="8" w:space="0" w:color="8FB08C"/>
        </w:tcBorders>
      </w:tcPr>
    </w:tblStylePr>
    <w:tblStylePr w:type="firstCol">
      <w:rPr>
        <w:b/>
        <w:bCs/>
      </w:rPr>
    </w:tblStylePr>
    <w:tblStylePr w:type="lastCol">
      <w:rPr>
        <w:b/>
        <w:bCs/>
      </w:rPr>
    </w:tblStylePr>
    <w:tblStylePr w:type="band1Vert">
      <w:tblPr/>
      <w:tcPr>
        <w:tcBorders>
          <w:top w:val="single" w:sz="8" w:space="0" w:color="8FB08C"/>
          <w:left w:val="single" w:sz="8" w:space="0" w:color="8FB08C"/>
          <w:bottom w:val="single" w:sz="8" w:space="0" w:color="8FB08C"/>
          <w:right w:val="single" w:sz="8" w:space="0" w:color="8FB08C"/>
        </w:tcBorders>
      </w:tcPr>
    </w:tblStylePr>
    <w:tblStylePr w:type="band1Horz">
      <w:tblPr/>
      <w:tcPr>
        <w:tcBorders>
          <w:top w:val="single" w:sz="8" w:space="0" w:color="8FB08C"/>
          <w:left w:val="single" w:sz="8" w:space="0" w:color="8FB08C"/>
          <w:bottom w:val="single" w:sz="8" w:space="0" w:color="8FB08C"/>
          <w:right w:val="single" w:sz="8" w:space="0" w:color="8FB08C"/>
        </w:tcBorders>
      </w:tcPr>
    </w:tblStylePr>
  </w:style>
  <w:style w:type="table" w:customStyle="1" w:styleId="LightGrid-Accent51322">
    <w:name w:val="Light Grid - Accent 51322"/>
    <w:basedOn w:val="TableNormal"/>
    <w:next w:val="LightGrid-Accent5"/>
    <w:uiPriority w:val="62"/>
    <w:rsid w:val="00C1281D"/>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omic Sans MS" w:eastAsia="Times New Roman" w:hAnsi="Comic Sans MS"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omic Sans MS" w:eastAsia="Times New Roman" w:hAnsi="Comic Sans MS"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omic Sans MS" w:eastAsia="Times New Roman" w:hAnsi="Comic Sans MS" w:cs="Times New Roman"/>
        <w:b/>
        <w:bCs/>
      </w:rPr>
    </w:tblStylePr>
    <w:tblStylePr w:type="lastCol">
      <w:rPr>
        <w:rFonts w:ascii="Comic Sans MS" w:eastAsia="Times New Roman" w:hAnsi="Comic Sans MS"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11312">
    <w:name w:val="Светло сенчење – наглашавање 11312"/>
    <w:basedOn w:val="TableNormal"/>
    <w:uiPriority w:val="60"/>
    <w:rsid w:val="00C1281D"/>
    <w:pPr>
      <w:spacing w:after="0" w:line="240" w:lineRule="auto"/>
    </w:pPr>
    <w:rPr>
      <w:rFonts w:ascii="Calibri" w:eastAsia="Calibri" w:hAnsi="Calibri" w:cs="Times New Roman"/>
      <w:color w:val="365F91"/>
      <w:sz w:val="20"/>
      <w:szCs w:val="20"/>
      <w:lang w:val="sr-Latn-CS" w:eastAsia="en-GB"/>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Grid-Accent5422">
    <w:name w:val="Light Grid - Accent 5422"/>
    <w:basedOn w:val="TableNormal"/>
    <w:next w:val="LightGrid-Accent5"/>
    <w:uiPriority w:val="62"/>
    <w:rsid w:val="00C1281D"/>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Comic Sans MS" w:eastAsia="Times New Roman" w:hAnsi="Comic Sans MS"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Comic Sans MS" w:eastAsia="Times New Roman" w:hAnsi="Comic Sans MS"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Comic Sans MS" w:eastAsia="Times New Roman" w:hAnsi="Comic Sans MS" w:cs="Times New Roman"/>
        <w:b/>
        <w:bCs/>
      </w:rPr>
    </w:tblStylePr>
    <w:tblStylePr w:type="lastCol">
      <w:rPr>
        <w:rFonts w:ascii="Comic Sans MS" w:eastAsia="Times New Roman" w:hAnsi="Comic Sans MS"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Shading-Accent12312">
    <w:name w:val="Light Shading - Accent 12312"/>
    <w:basedOn w:val="TableNormal"/>
    <w:uiPriority w:val="60"/>
    <w:rsid w:val="00C1281D"/>
    <w:pPr>
      <w:spacing w:after="0" w:line="240" w:lineRule="auto"/>
    </w:pPr>
    <w:rPr>
      <w:rFonts w:ascii="Cambria" w:eastAsia="Calibri" w:hAnsi="Cambria" w:cs="Times New Roman"/>
      <w:color w:val="A8422A"/>
      <w:sz w:val="20"/>
      <w:szCs w:val="20"/>
      <w:lang w:val="en-GB" w:eastAsia="sr-Cyrl-CS"/>
    </w:rPr>
    <w:tblPr>
      <w:tblStyleRowBandSize w:val="1"/>
      <w:tblStyleColBandSize w:val="1"/>
      <w:tblBorders>
        <w:top w:val="single" w:sz="8" w:space="0" w:color="D16349"/>
        <w:bottom w:val="single" w:sz="8" w:space="0" w:color="D16349"/>
      </w:tblBorders>
    </w:tblPr>
    <w:tblStylePr w:type="fir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la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D8D2"/>
      </w:tcPr>
    </w:tblStylePr>
    <w:tblStylePr w:type="band1Horz">
      <w:tblPr/>
      <w:tcPr>
        <w:tcBorders>
          <w:left w:val="nil"/>
          <w:right w:val="nil"/>
          <w:insideH w:val="nil"/>
          <w:insideV w:val="nil"/>
        </w:tcBorders>
        <w:shd w:val="clear" w:color="auto" w:fill="F3D8D2"/>
      </w:tcPr>
    </w:tblStylePr>
  </w:style>
  <w:style w:type="table" w:customStyle="1" w:styleId="LightList-Accent32312">
    <w:name w:val="Light List - Accent 32312"/>
    <w:basedOn w:val="TableNormal"/>
    <w:next w:val="LightList-Accent3"/>
    <w:uiPriority w:val="61"/>
    <w:rsid w:val="00C1281D"/>
    <w:pPr>
      <w:spacing w:after="0" w:line="240" w:lineRule="auto"/>
    </w:pPr>
    <w:rPr>
      <w:rFonts w:ascii="Calibri" w:eastAsia="Calibri" w:hAnsi="Calibri" w:cs="Times New Roman"/>
      <w:sz w:val="20"/>
      <w:szCs w:val="20"/>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311312">
    <w:name w:val="Light List - Accent 311312"/>
    <w:basedOn w:val="TableNormal"/>
    <w:next w:val="LightList-Accent3"/>
    <w:uiPriority w:val="61"/>
    <w:rsid w:val="00C1281D"/>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Shading-Accent131412">
    <w:name w:val="Light Shading - Accent 131412"/>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512">
    <w:name w:val="Light Shading - Accent 131512"/>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2312">
    <w:name w:val="Light Shading - Accent 132312"/>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612">
    <w:name w:val="Light Shading - Accent 131612"/>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8112">
    <w:name w:val="Light Shading - Accent 138112"/>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812">
    <w:name w:val="Light Shading - Accent 11812"/>
    <w:basedOn w:val="TableNormal"/>
    <w:uiPriority w:val="60"/>
    <w:rsid w:val="00C1281D"/>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9112">
    <w:name w:val="Light Shading - Accent 139112"/>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6112">
    <w:name w:val="Light Shading - Accent 116112"/>
    <w:basedOn w:val="TableNormal"/>
    <w:uiPriority w:val="60"/>
    <w:rsid w:val="00C1281D"/>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0112">
    <w:name w:val="Light Shading - Accent 1310112"/>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6112">
    <w:name w:val="Light Shading - Accent 136112"/>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912">
    <w:name w:val="Light Shading - Accent 11912"/>
    <w:basedOn w:val="TableNormal"/>
    <w:uiPriority w:val="60"/>
    <w:rsid w:val="00C1281D"/>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33112">
    <w:name w:val="Light Shading - Accent 33112"/>
    <w:basedOn w:val="TableNormal"/>
    <w:next w:val="LightShading-Accent3"/>
    <w:uiPriority w:val="60"/>
    <w:rsid w:val="00C1281D"/>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Shading-Accent33212">
    <w:name w:val="Light Shading - Accent 33212"/>
    <w:basedOn w:val="TableNormal"/>
    <w:next w:val="LightShading-Accent3"/>
    <w:uiPriority w:val="60"/>
    <w:rsid w:val="00C1281D"/>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Shading-Accent33312">
    <w:name w:val="Light Shading - Accent 33312"/>
    <w:basedOn w:val="TableNormal"/>
    <w:next w:val="LightShading-Accent3"/>
    <w:uiPriority w:val="60"/>
    <w:rsid w:val="00C1281D"/>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Shading-Accent34112">
    <w:name w:val="Light Shading - Accent 34112"/>
    <w:basedOn w:val="TableNormal"/>
    <w:next w:val="LightShading-Accent3"/>
    <w:uiPriority w:val="60"/>
    <w:rsid w:val="00C1281D"/>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Shading-Accent34212">
    <w:name w:val="Light Shading - Accent 34212"/>
    <w:basedOn w:val="TableNormal"/>
    <w:next w:val="LightShading-Accent3"/>
    <w:uiPriority w:val="60"/>
    <w:rsid w:val="00C1281D"/>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Grid-Accent51412">
    <w:name w:val="Light Grid - Accent 51412"/>
    <w:basedOn w:val="TableNormal"/>
    <w:next w:val="LightGrid-Accent5"/>
    <w:uiPriority w:val="62"/>
    <w:rsid w:val="00C1281D"/>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5512">
    <w:name w:val="Light Grid - Accent 5512"/>
    <w:basedOn w:val="TableNormal"/>
    <w:next w:val="LightGrid-Accent5"/>
    <w:uiPriority w:val="62"/>
    <w:rsid w:val="00C1281D"/>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Grid-Accent511112">
    <w:name w:val="Light Grid - Accent 511112"/>
    <w:basedOn w:val="TableNormal"/>
    <w:next w:val="LightGrid-Accent5"/>
    <w:uiPriority w:val="62"/>
    <w:rsid w:val="00C1281D"/>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52112">
    <w:name w:val="Light Grid - Accent 52112"/>
    <w:basedOn w:val="TableNormal"/>
    <w:next w:val="LightGrid-Accent5"/>
    <w:uiPriority w:val="62"/>
    <w:rsid w:val="00C1281D"/>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Grid-Accent512112">
    <w:name w:val="Light Grid - Accent 512112"/>
    <w:basedOn w:val="TableNormal"/>
    <w:next w:val="LightGrid-Accent5"/>
    <w:uiPriority w:val="62"/>
    <w:rsid w:val="00C1281D"/>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53112">
    <w:name w:val="Light Grid - Accent 53112"/>
    <w:basedOn w:val="TableNormal"/>
    <w:next w:val="LightGrid-Accent5"/>
    <w:uiPriority w:val="62"/>
    <w:rsid w:val="00C1281D"/>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Grid-Accent513112">
    <w:name w:val="Light Grid - Accent 513112"/>
    <w:basedOn w:val="TableNormal"/>
    <w:next w:val="LightGrid-Accent5"/>
    <w:uiPriority w:val="62"/>
    <w:rsid w:val="00C1281D"/>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54112">
    <w:name w:val="Light Grid - Accent 54112"/>
    <w:basedOn w:val="TableNormal"/>
    <w:next w:val="LightGrid-Accent5"/>
    <w:uiPriority w:val="62"/>
    <w:rsid w:val="00C1281D"/>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Shading-Accent622">
    <w:name w:val="Light Shading - Accent 622"/>
    <w:basedOn w:val="TableNormal"/>
    <w:next w:val="LightShading-Accent6"/>
    <w:uiPriority w:val="60"/>
    <w:rsid w:val="00C1281D"/>
    <w:pPr>
      <w:spacing w:after="0" w:line="240" w:lineRule="auto"/>
    </w:pPr>
    <w:rPr>
      <w:rFonts w:ascii="Calibri" w:eastAsia="Calibri" w:hAnsi="Calibri" w:cs="Times New Roman"/>
      <w:color w:val="393939"/>
      <w:sz w:val="20"/>
      <w:szCs w:val="20"/>
    </w:rPr>
    <w:tblPr>
      <w:tblStyleRowBandSize w:val="1"/>
      <w:tblStyleColBandSize w:val="1"/>
      <w:tblBorders>
        <w:top w:val="single" w:sz="8" w:space="0" w:color="4D4D4D"/>
        <w:bottom w:val="single" w:sz="8" w:space="0" w:color="4D4D4D"/>
      </w:tblBorders>
    </w:tblPr>
    <w:tblStylePr w:type="firstRow">
      <w:pPr>
        <w:spacing w:beforeLines="0" w:before="0" w:beforeAutospacing="0" w:afterLines="0" w:after="0" w:afterAutospacing="0" w:line="240" w:lineRule="auto"/>
      </w:pPr>
      <w:rPr>
        <w:b/>
        <w:bCs/>
      </w:rPr>
      <w:tblPr/>
      <w:tcPr>
        <w:tcBorders>
          <w:top w:val="single" w:sz="8" w:space="0" w:color="4D4D4D"/>
          <w:left w:val="nil"/>
          <w:bottom w:val="single" w:sz="8" w:space="0" w:color="4D4D4D"/>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4D4D4D"/>
          <w:left w:val="nil"/>
          <w:bottom w:val="single" w:sz="8" w:space="0" w:color="4D4D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3D3"/>
      </w:tcPr>
    </w:tblStylePr>
    <w:tblStylePr w:type="band1Horz">
      <w:tblPr/>
      <w:tcPr>
        <w:tcBorders>
          <w:left w:val="nil"/>
          <w:right w:val="nil"/>
          <w:insideH w:val="nil"/>
          <w:insideV w:val="nil"/>
        </w:tcBorders>
        <w:shd w:val="clear" w:color="auto" w:fill="D3D3D3"/>
      </w:tcPr>
    </w:tblStylePr>
  </w:style>
  <w:style w:type="table" w:customStyle="1" w:styleId="GridTable6Colorful-Accent422">
    <w:name w:val="Grid Table 6 Colorful - Accent 422"/>
    <w:basedOn w:val="TableNormal"/>
    <w:next w:val="GridTable6Colorful-Accent43"/>
    <w:uiPriority w:val="51"/>
    <w:rsid w:val="00C1281D"/>
    <w:pPr>
      <w:spacing w:after="0" w:line="240" w:lineRule="auto"/>
    </w:pPr>
    <w:rPr>
      <w:color w:val="5F5F5F"/>
    </w:rPr>
    <w:tblPr>
      <w:tblStyleRowBandSize w:val="1"/>
      <w:tblStyleColBandSize w:val="1"/>
      <w:tblBorders>
        <w:top w:val="single" w:sz="4" w:space="0" w:color="B2B2B2"/>
        <w:left w:val="single" w:sz="4" w:space="0" w:color="B2B2B2"/>
        <w:bottom w:val="single" w:sz="4" w:space="0" w:color="B2B2B2"/>
        <w:right w:val="single" w:sz="4" w:space="0" w:color="B2B2B2"/>
        <w:insideH w:val="single" w:sz="4" w:space="0" w:color="B2B2B2"/>
        <w:insideV w:val="single" w:sz="4" w:space="0" w:color="B2B2B2"/>
      </w:tblBorders>
    </w:tblPr>
    <w:tblStylePr w:type="firstRow">
      <w:rPr>
        <w:b/>
        <w:bCs/>
      </w:rPr>
      <w:tblPr/>
      <w:tcPr>
        <w:tcBorders>
          <w:bottom w:val="single" w:sz="12" w:space="0" w:color="B2B2B2"/>
        </w:tcBorders>
      </w:tcPr>
    </w:tblStylePr>
    <w:tblStylePr w:type="lastRow">
      <w:rPr>
        <w:b/>
        <w:bCs/>
      </w:rPr>
      <w:tblPr/>
      <w:tcPr>
        <w:tcBorders>
          <w:top w:val="double" w:sz="4" w:space="0" w:color="B2B2B2"/>
        </w:tcBorders>
      </w:tcPr>
    </w:tblStylePr>
    <w:tblStylePr w:type="firstCol">
      <w:rPr>
        <w:b/>
        <w:bCs/>
      </w:rPr>
    </w:tblStylePr>
    <w:tblStylePr w:type="lastCol">
      <w:rPr>
        <w:b/>
        <w:bCs/>
      </w:rPr>
    </w:tblStylePr>
    <w:tblStylePr w:type="band1Vert">
      <w:tblPr/>
      <w:tcPr>
        <w:shd w:val="clear" w:color="auto" w:fill="E5E5E5"/>
      </w:tcPr>
    </w:tblStylePr>
    <w:tblStylePr w:type="band1Horz">
      <w:tblPr/>
      <w:tcPr>
        <w:shd w:val="clear" w:color="auto" w:fill="E5E5E5"/>
      </w:tcPr>
    </w:tblStylePr>
  </w:style>
  <w:style w:type="table" w:customStyle="1" w:styleId="GridTable6Colorful-Accent322">
    <w:name w:val="Grid Table 6 Colorful - Accent 322"/>
    <w:basedOn w:val="TableNormal"/>
    <w:next w:val="GridTable6Colorful-Accent33"/>
    <w:uiPriority w:val="51"/>
    <w:rsid w:val="00C1281D"/>
    <w:pPr>
      <w:spacing w:after="0" w:line="240" w:lineRule="auto"/>
    </w:pPr>
    <w:rPr>
      <w:rFonts w:ascii="Calibri" w:eastAsia="Calibri" w:hAnsi="Calibri" w:cs="Times New Roman"/>
      <w:color w:val="707070"/>
      <w:sz w:val="20"/>
      <w:szCs w:val="20"/>
    </w:rPr>
    <w:tblPr>
      <w:tblStyleRowBandSize w:val="1"/>
      <w:tblStyleColBandSize w:val="1"/>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Pr>
    <w:tblStylePr w:type="firstRow">
      <w:rPr>
        <w:b/>
        <w:bCs/>
      </w:rPr>
      <w:tblPr/>
      <w:tcPr>
        <w:tcBorders>
          <w:bottom w:val="single" w:sz="12" w:space="0" w:color="C0C0C0"/>
        </w:tcBorders>
      </w:tcPr>
    </w:tblStylePr>
    <w:tblStylePr w:type="lastRow">
      <w:rPr>
        <w:b/>
        <w:bCs/>
      </w:rPr>
      <w:tblPr/>
      <w:tcPr>
        <w:tcBorders>
          <w:top w:val="double" w:sz="4" w:space="0" w:color="C0C0C0"/>
        </w:tcBorders>
      </w:tcPr>
    </w:tblStylePr>
    <w:tblStylePr w:type="firstCol">
      <w:rPr>
        <w:b/>
        <w:bCs/>
      </w:rPr>
    </w:tblStylePr>
    <w:tblStylePr w:type="lastCol">
      <w:rPr>
        <w:b/>
        <w:bCs/>
      </w:rPr>
    </w:tblStylePr>
    <w:tblStylePr w:type="band1Vert">
      <w:tblPr/>
      <w:tcPr>
        <w:shd w:val="clear" w:color="auto" w:fill="EAEAEA"/>
      </w:tcPr>
    </w:tblStylePr>
    <w:tblStylePr w:type="band1Horz">
      <w:tblPr/>
      <w:tcPr>
        <w:shd w:val="clear" w:color="auto" w:fill="EAEAEA"/>
      </w:tcPr>
    </w:tblStylePr>
  </w:style>
  <w:style w:type="table" w:customStyle="1" w:styleId="GridTable4-Accent522">
    <w:name w:val="Grid Table 4 - Accent 522"/>
    <w:basedOn w:val="TableNormal"/>
    <w:next w:val="GridTable4-Accent53"/>
    <w:uiPriority w:val="49"/>
    <w:rsid w:val="00C1281D"/>
    <w:pPr>
      <w:spacing w:after="0" w:line="240" w:lineRule="auto"/>
    </w:pPr>
    <w:rPr>
      <w:rFonts w:ascii="Calibri" w:eastAsia="Calibri" w:hAnsi="Calibri" w:cs="Times New Roman"/>
      <w:sz w:val="20"/>
      <w:szCs w:val="20"/>
    </w:rPr>
    <w:tblPr>
      <w:tblStyleRowBandSize w:val="1"/>
      <w:tblStyleColBandSize w:val="1"/>
      <w:tblBorders>
        <w:top w:val="single" w:sz="4" w:space="0" w:color="9F9F9F"/>
        <w:left w:val="single" w:sz="4" w:space="0" w:color="9F9F9F"/>
        <w:bottom w:val="single" w:sz="4" w:space="0" w:color="9F9F9F"/>
        <w:right w:val="single" w:sz="4" w:space="0" w:color="9F9F9F"/>
        <w:insideH w:val="single" w:sz="4" w:space="0" w:color="9F9F9F"/>
        <w:insideV w:val="single" w:sz="4" w:space="0" w:color="9F9F9F"/>
      </w:tblBorders>
    </w:tblPr>
    <w:tblStylePr w:type="firstRow">
      <w:rPr>
        <w:b/>
        <w:bCs/>
        <w:color w:val="FFFFFF"/>
      </w:rPr>
      <w:tblPr/>
      <w:tcPr>
        <w:tcBorders>
          <w:top w:val="single" w:sz="4" w:space="0" w:color="5F5F5F"/>
          <w:left w:val="single" w:sz="4" w:space="0" w:color="5F5F5F"/>
          <w:bottom w:val="single" w:sz="4" w:space="0" w:color="5F5F5F"/>
          <w:right w:val="single" w:sz="4" w:space="0" w:color="5F5F5F"/>
          <w:insideH w:val="nil"/>
          <w:insideV w:val="nil"/>
        </w:tcBorders>
        <w:shd w:val="clear" w:color="auto" w:fill="5F5F5F"/>
      </w:tcPr>
    </w:tblStylePr>
    <w:tblStylePr w:type="lastRow">
      <w:rPr>
        <w:b/>
        <w:bCs/>
      </w:rPr>
      <w:tblPr/>
      <w:tcPr>
        <w:tcBorders>
          <w:top w:val="double" w:sz="4" w:space="0" w:color="5F5F5F"/>
        </w:tcBorders>
      </w:tcPr>
    </w:tblStylePr>
    <w:tblStylePr w:type="firstCol">
      <w:rPr>
        <w:b/>
        <w:bCs/>
      </w:rPr>
    </w:tblStylePr>
    <w:tblStylePr w:type="lastCol">
      <w:rPr>
        <w:b/>
        <w:bCs/>
      </w:rPr>
    </w:tblStylePr>
    <w:tblStylePr w:type="band1Vert">
      <w:tblPr/>
      <w:tcPr>
        <w:shd w:val="clear" w:color="auto" w:fill="DFDFDF"/>
      </w:tcPr>
    </w:tblStylePr>
    <w:tblStylePr w:type="band1Horz">
      <w:tblPr/>
      <w:tcPr>
        <w:shd w:val="clear" w:color="auto" w:fill="DFDFDF"/>
      </w:tcPr>
    </w:tblStylePr>
  </w:style>
  <w:style w:type="table" w:customStyle="1" w:styleId="GridTable5Dark-Accent522">
    <w:name w:val="Grid Table 5 Dark - Accent 522"/>
    <w:basedOn w:val="TableNormal"/>
    <w:next w:val="GridTable5Dark-Accent53"/>
    <w:uiPriority w:val="50"/>
    <w:rsid w:val="00C1281D"/>
    <w:pPr>
      <w:spacing w:after="0" w:line="240" w:lineRule="auto"/>
    </w:pPr>
    <w:rPr>
      <w:rFonts w:ascii="Calibri" w:eastAsia="Calibri" w:hAnsi="Calibri" w:cs="Times New Roman"/>
      <w:sz w:val="20"/>
      <w:szCs w:val="20"/>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DFDFDF"/>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5F5F5F"/>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5F5F5F"/>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5F5F5F"/>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5F5F5F"/>
      </w:tcPr>
    </w:tblStylePr>
    <w:tblStylePr w:type="band1Vert">
      <w:tblPr/>
      <w:tcPr>
        <w:shd w:val="clear" w:color="auto" w:fill="BFBFBF"/>
      </w:tcPr>
    </w:tblStylePr>
    <w:tblStylePr w:type="band1Horz">
      <w:tblPr/>
      <w:tcPr>
        <w:shd w:val="clear" w:color="auto" w:fill="BFBFBF"/>
      </w:tcPr>
    </w:tblStylePr>
  </w:style>
  <w:style w:type="table" w:customStyle="1" w:styleId="12">
    <w:name w:val="ФС12"/>
    <w:basedOn w:val="TableNormal"/>
    <w:uiPriority w:val="99"/>
    <w:rsid w:val="00C1281D"/>
    <w:pPr>
      <w:spacing w:after="0" w:line="240" w:lineRule="auto"/>
    </w:pPr>
    <w:rPr>
      <w:rFonts w:ascii="Calibri" w:eastAsia="Calibri" w:hAnsi="Calibri" w:cs="Times New Roman"/>
      <w:sz w:val="20"/>
      <w:szCs w:val="20"/>
    </w:rPr>
    <w:tblPr/>
  </w:style>
  <w:style w:type="table" w:customStyle="1" w:styleId="ListTable6Colorful-Accent322">
    <w:name w:val="List Table 6 Colorful - Accent 322"/>
    <w:basedOn w:val="TableNormal"/>
    <w:next w:val="ListTable6Colorful-Accent33"/>
    <w:uiPriority w:val="51"/>
    <w:rsid w:val="00C1281D"/>
    <w:pPr>
      <w:spacing w:after="0" w:line="240" w:lineRule="auto"/>
    </w:pPr>
    <w:rPr>
      <w:rFonts w:ascii="Calibri" w:eastAsia="Calibri" w:hAnsi="Calibri" w:cs="Times New Roman"/>
      <w:color w:val="707070"/>
      <w:sz w:val="20"/>
      <w:szCs w:val="20"/>
    </w:rPr>
    <w:tblPr>
      <w:tblStyleRowBandSize w:val="1"/>
      <w:tblStyleColBandSize w:val="1"/>
      <w:tblBorders>
        <w:top w:val="single" w:sz="4" w:space="0" w:color="969696"/>
        <w:bottom w:val="single" w:sz="4" w:space="0" w:color="969696"/>
      </w:tblBorders>
    </w:tblPr>
    <w:tblStylePr w:type="firstRow">
      <w:rPr>
        <w:b/>
        <w:bCs/>
      </w:rPr>
      <w:tblPr/>
      <w:tcPr>
        <w:tcBorders>
          <w:bottom w:val="single" w:sz="4" w:space="0" w:color="969696"/>
        </w:tcBorders>
      </w:tcPr>
    </w:tblStylePr>
    <w:tblStylePr w:type="lastRow">
      <w:rPr>
        <w:b/>
        <w:bCs/>
      </w:rPr>
      <w:tblPr/>
      <w:tcPr>
        <w:tcBorders>
          <w:top w:val="double" w:sz="4" w:space="0" w:color="969696"/>
        </w:tcBorders>
      </w:tcPr>
    </w:tblStylePr>
    <w:tblStylePr w:type="firstCol">
      <w:rPr>
        <w:b/>
        <w:bCs/>
      </w:rPr>
    </w:tblStylePr>
    <w:tblStylePr w:type="lastCol">
      <w:rPr>
        <w:b/>
        <w:bCs/>
      </w:rPr>
    </w:tblStylePr>
    <w:tblStylePr w:type="band1Vert">
      <w:tblPr/>
      <w:tcPr>
        <w:shd w:val="clear" w:color="auto" w:fill="EAEAEA"/>
      </w:tcPr>
    </w:tblStylePr>
    <w:tblStylePr w:type="band1Horz">
      <w:tblPr/>
      <w:tcPr>
        <w:shd w:val="clear" w:color="auto" w:fill="EAEAEA"/>
      </w:tcPr>
    </w:tblStylePr>
  </w:style>
  <w:style w:type="table" w:customStyle="1" w:styleId="GridTable1Light-Accent122">
    <w:name w:val="Grid Table 1 Light - Accent 122"/>
    <w:basedOn w:val="TableNormal"/>
    <w:next w:val="GridTable1Light-Accent13"/>
    <w:uiPriority w:val="46"/>
    <w:rsid w:val="00C1281D"/>
    <w:pPr>
      <w:spacing w:after="0" w:line="240" w:lineRule="auto"/>
    </w:pPr>
    <w:tblPr>
      <w:tblStyleRowBandSize w:val="1"/>
      <w:tblStyleColBandSize w:val="1"/>
      <w:tblBorders>
        <w:top w:val="single" w:sz="4" w:space="0" w:color="F8B4A6"/>
        <w:left w:val="single" w:sz="4" w:space="0" w:color="F8B4A6"/>
        <w:bottom w:val="single" w:sz="4" w:space="0" w:color="F8B4A6"/>
        <w:right w:val="single" w:sz="4" w:space="0" w:color="F8B4A6"/>
        <w:insideH w:val="single" w:sz="4" w:space="0" w:color="F8B4A6"/>
        <w:insideV w:val="single" w:sz="4" w:space="0" w:color="F8B4A6"/>
      </w:tblBorders>
    </w:tblPr>
    <w:tblStylePr w:type="firstRow">
      <w:rPr>
        <w:b/>
        <w:bCs/>
      </w:rPr>
      <w:tblPr/>
      <w:tcPr>
        <w:tcBorders>
          <w:bottom w:val="single" w:sz="12" w:space="0" w:color="F58F7A"/>
        </w:tcBorders>
      </w:tcPr>
    </w:tblStylePr>
    <w:tblStylePr w:type="lastRow">
      <w:rPr>
        <w:b/>
        <w:bCs/>
      </w:rPr>
      <w:tblPr/>
      <w:tcPr>
        <w:tcBorders>
          <w:top w:val="double" w:sz="2" w:space="0" w:color="F58F7A"/>
        </w:tcBorders>
      </w:tcPr>
    </w:tblStylePr>
    <w:tblStylePr w:type="firstCol">
      <w:rPr>
        <w:b/>
        <w:bCs/>
      </w:rPr>
    </w:tblStylePr>
    <w:tblStylePr w:type="lastCol">
      <w:rPr>
        <w:b/>
        <w:bCs/>
      </w:rPr>
    </w:tblStylePr>
  </w:style>
  <w:style w:type="table" w:customStyle="1" w:styleId="ListTable1Light-Accent122">
    <w:name w:val="List Table 1 Light - Accent 122"/>
    <w:basedOn w:val="TableNormal"/>
    <w:next w:val="ListTable1Light-Accent13"/>
    <w:uiPriority w:val="46"/>
    <w:rsid w:val="00C1281D"/>
    <w:pPr>
      <w:spacing w:after="0" w:line="240" w:lineRule="auto"/>
    </w:pPr>
    <w:tblPr>
      <w:tblStyleRowBandSize w:val="1"/>
      <w:tblStyleColBandSize w:val="1"/>
    </w:tblPr>
    <w:tblStylePr w:type="firstRow">
      <w:rPr>
        <w:b/>
        <w:bCs/>
      </w:rPr>
      <w:tblPr/>
      <w:tcPr>
        <w:tcBorders>
          <w:bottom w:val="single" w:sz="4" w:space="0" w:color="F58F7A"/>
        </w:tcBorders>
      </w:tcPr>
    </w:tblStylePr>
    <w:tblStylePr w:type="lastRow">
      <w:rPr>
        <w:b/>
        <w:bCs/>
      </w:rPr>
      <w:tblPr/>
      <w:tcPr>
        <w:tcBorders>
          <w:top w:val="single" w:sz="4" w:space="0" w:color="F58F7A"/>
        </w:tcBorders>
      </w:tcPr>
    </w:tblStylePr>
    <w:tblStylePr w:type="firstCol">
      <w:rPr>
        <w:b/>
        <w:bCs/>
      </w:rPr>
    </w:tblStylePr>
    <w:tblStylePr w:type="lastCol">
      <w:rPr>
        <w:b/>
        <w:bCs/>
      </w:rPr>
    </w:tblStylePr>
    <w:tblStylePr w:type="band1Vert">
      <w:tblPr/>
      <w:tcPr>
        <w:shd w:val="clear" w:color="auto" w:fill="FBD9D2"/>
      </w:tcPr>
    </w:tblStylePr>
    <w:tblStylePr w:type="band1Horz">
      <w:tblPr/>
      <w:tcPr>
        <w:shd w:val="clear" w:color="auto" w:fill="FBD9D2"/>
      </w:tcPr>
    </w:tblStylePr>
  </w:style>
  <w:style w:type="table" w:customStyle="1" w:styleId="ListTable2-Accent122">
    <w:name w:val="List Table 2 - Accent 122"/>
    <w:basedOn w:val="TableNormal"/>
    <w:next w:val="ListTable2-Accent13"/>
    <w:uiPriority w:val="47"/>
    <w:rsid w:val="00C1281D"/>
    <w:pPr>
      <w:spacing w:after="0" w:line="240" w:lineRule="auto"/>
    </w:pPr>
    <w:tblPr>
      <w:tblStyleRowBandSize w:val="1"/>
      <w:tblStyleColBandSize w:val="1"/>
      <w:tblBorders>
        <w:top w:val="single" w:sz="4" w:space="0" w:color="F58F7A"/>
        <w:bottom w:val="single" w:sz="4" w:space="0" w:color="F58F7A"/>
        <w:insideH w:val="single" w:sz="4" w:space="0" w:color="F58F7A"/>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BD9D2"/>
      </w:tcPr>
    </w:tblStylePr>
    <w:tblStylePr w:type="band1Horz">
      <w:tblPr/>
      <w:tcPr>
        <w:shd w:val="clear" w:color="auto" w:fill="FBD9D2"/>
      </w:tcPr>
    </w:tblStylePr>
  </w:style>
  <w:style w:type="table" w:customStyle="1" w:styleId="ListTable2-Accent522">
    <w:name w:val="List Table 2 - Accent 522"/>
    <w:basedOn w:val="TableNormal"/>
    <w:next w:val="ListTable2-Accent53"/>
    <w:uiPriority w:val="47"/>
    <w:rsid w:val="00C1281D"/>
    <w:pPr>
      <w:spacing w:after="0" w:line="240" w:lineRule="auto"/>
    </w:pPr>
    <w:tblPr>
      <w:tblStyleRowBandSize w:val="1"/>
      <w:tblStyleColBandSize w:val="1"/>
      <w:tblBorders>
        <w:top w:val="single" w:sz="4" w:space="0" w:color="9F9F9F"/>
        <w:bottom w:val="single" w:sz="4" w:space="0" w:color="9F9F9F"/>
        <w:insideH w:val="single" w:sz="4" w:space="0" w:color="9F9F9F"/>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FDFDF"/>
      </w:tcPr>
    </w:tblStylePr>
    <w:tblStylePr w:type="band1Horz">
      <w:tblPr/>
      <w:tcPr>
        <w:shd w:val="clear" w:color="auto" w:fill="DFDFDF"/>
      </w:tcPr>
    </w:tblStylePr>
  </w:style>
  <w:style w:type="table" w:customStyle="1" w:styleId="GridTable2-Accent522">
    <w:name w:val="Grid Table 2 - Accent 522"/>
    <w:basedOn w:val="TableNormal"/>
    <w:next w:val="GridTable2-Accent53"/>
    <w:uiPriority w:val="47"/>
    <w:rsid w:val="00C1281D"/>
    <w:pPr>
      <w:spacing w:after="0" w:line="240" w:lineRule="auto"/>
    </w:pPr>
    <w:tblPr>
      <w:tblStyleRowBandSize w:val="1"/>
      <w:tblStyleColBandSize w:val="1"/>
      <w:tblBorders>
        <w:top w:val="single" w:sz="2" w:space="0" w:color="9F9F9F"/>
        <w:bottom w:val="single" w:sz="2" w:space="0" w:color="9F9F9F"/>
        <w:insideH w:val="single" w:sz="2" w:space="0" w:color="9F9F9F"/>
        <w:insideV w:val="single" w:sz="2" w:space="0" w:color="9F9F9F"/>
      </w:tblBorders>
    </w:tblPr>
    <w:tblStylePr w:type="firstRow">
      <w:rPr>
        <w:b/>
        <w:bCs/>
      </w:rPr>
      <w:tblPr/>
      <w:tcPr>
        <w:tcBorders>
          <w:top w:val="nil"/>
          <w:bottom w:val="single" w:sz="12" w:space="0" w:color="9F9F9F"/>
          <w:insideH w:val="nil"/>
          <w:insideV w:val="nil"/>
        </w:tcBorders>
        <w:shd w:val="clear" w:color="auto" w:fill="FFFFFF"/>
      </w:tcPr>
    </w:tblStylePr>
    <w:tblStylePr w:type="lastRow">
      <w:rPr>
        <w:b/>
        <w:bCs/>
      </w:rPr>
      <w:tblPr/>
      <w:tcPr>
        <w:tcBorders>
          <w:top w:val="double" w:sz="2" w:space="0" w:color="9F9F9F"/>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FDFDF"/>
      </w:tcPr>
    </w:tblStylePr>
    <w:tblStylePr w:type="band1Horz">
      <w:tblPr/>
      <w:tcPr>
        <w:shd w:val="clear" w:color="auto" w:fill="DFDFDF"/>
      </w:tcPr>
    </w:tblStylePr>
  </w:style>
  <w:style w:type="table" w:customStyle="1" w:styleId="GridTable6Colorful-Accent4112">
    <w:name w:val="Grid Table 6 Colorful - Accent 4112"/>
    <w:basedOn w:val="TableNormal"/>
    <w:uiPriority w:val="51"/>
    <w:rsid w:val="00C1281D"/>
    <w:pPr>
      <w:spacing w:after="0" w:line="240" w:lineRule="auto"/>
    </w:pPr>
    <w:rPr>
      <w:color w:val="5F5F5F"/>
    </w:rPr>
    <w:tblPr>
      <w:tblStyleRowBandSize w:val="1"/>
      <w:tblStyleColBandSize w:val="1"/>
      <w:tblBorders>
        <w:top w:val="single" w:sz="4" w:space="0" w:color="B2B2B2"/>
        <w:left w:val="single" w:sz="4" w:space="0" w:color="B2B2B2"/>
        <w:bottom w:val="single" w:sz="4" w:space="0" w:color="B2B2B2"/>
        <w:right w:val="single" w:sz="4" w:space="0" w:color="B2B2B2"/>
        <w:insideH w:val="single" w:sz="4" w:space="0" w:color="B2B2B2"/>
        <w:insideV w:val="single" w:sz="4" w:space="0" w:color="B2B2B2"/>
      </w:tblBorders>
    </w:tblPr>
    <w:tblStylePr w:type="firstRow">
      <w:rPr>
        <w:b/>
        <w:bCs/>
      </w:rPr>
      <w:tblPr/>
      <w:tcPr>
        <w:tcBorders>
          <w:bottom w:val="single" w:sz="12" w:space="0" w:color="B2B2B2"/>
        </w:tcBorders>
      </w:tcPr>
    </w:tblStylePr>
    <w:tblStylePr w:type="lastRow">
      <w:rPr>
        <w:b/>
        <w:bCs/>
      </w:rPr>
      <w:tblPr/>
      <w:tcPr>
        <w:tcBorders>
          <w:top w:val="double" w:sz="4" w:space="0" w:color="B2B2B2"/>
        </w:tcBorders>
      </w:tcPr>
    </w:tblStylePr>
    <w:tblStylePr w:type="firstCol">
      <w:rPr>
        <w:b/>
        <w:bCs/>
      </w:rPr>
    </w:tblStylePr>
    <w:tblStylePr w:type="lastCol">
      <w:rPr>
        <w:b/>
        <w:bCs/>
      </w:rPr>
    </w:tblStylePr>
    <w:tblStylePr w:type="band1Vert">
      <w:tblPr/>
      <w:tcPr>
        <w:shd w:val="clear" w:color="auto" w:fill="E5E5E5"/>
      </w:tcPr>
    </w:tblStylePr>
    <w:tblStylePr w:type="band1Horz">
      <w:tblPr/>
      <w:tcPr>
        <w:shd w:val="clear" w:color="auto" w:fill="E5E5E5"/>
      </w:tcPr>
    </w:tblStylePr>
  </w:style>
  <w:style w:type="table" w:customStyle="1" w:styleId="GridTable6Colorful-Accent3112">
    <w:name w:val="Grid Table 6 Colorful - Accent 3112"/>
    <w:basedOn w:val="TableNormal"/>
    <w:uiPriority w:val="51"/>
    <w:rsid w:val="00C1281D"/>
    <w:pPr>
      <w:spacing w:after="0" w:line="240" w:lineRule="auto"/>
    </w:pPr>
    <w:rPr>
      <w:rFonts w:ascii="Calibri" w:eastAsia="Calibri" w:hAnsi="Calibri" w:cs="Times New Roman"/>
      <w:color w:val="707070"/>
      <w:sz w:val="20"/>
      <w:szCs w:val="20"/>
    </w:rPr>
    <w:tblPr>
      <w:tblStyleRowBandSize w:val="1"/>
      <w:tblStyleColBandSize w:val="1"/>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Pr>
    <w:tblStylePr w:type="firstRow">
      <w:rPr>
        <w:b/>
        <w:bCs/>
      </w:rPr>
      <w:tblPr/>
      <w:tcPr>
        <w:tcBorders>
          <w:bottom w:val="single" w:sz="12" w:space="0" w:color="C0C0C0"/>
        </w:tcBorders>
      </w:tcPr>
    </w:tblStylePr>
    <w:tblStylePr w:type="lastRow">
      <w:rPr>
        <w:b/>
        <w:bCs/>
      </w:rPr>
      <w:tblPr/>
      <w:tcPr>
        <w:tcBorders>
          <w:top w:val="double" w:sz="4" w:space="0" w:color="C0C0C0"/>
        </w:tcBorders>
      </w:tcPr>
    </w:tblStylePr>
    <w:tblStylePr w:type="firstCol">
      <w:rPr>
        <w:b/>
        <w:bCs/>
      </w:rPr>
    </w:tblStylePr>
    <w:tblStylePr w:type="lastCol">
      <w:rPr>
        <w:b/>
        <w:bCs/>
      </w:rPr>
    </w:tblStylePr>
    <w:tblStylePr w:type="band1Vert">
      <w:tblPr/>
      <w:tcPr>
        <w:shd w:val="clear" w:color="auto" w:fill="EAEAEA"/>
      </w:tcPr>
    </w:tblStylePr>
    <w:tblStylePr w:type="band1Horz">
      <w:tblPr/>
      <w:tcPr>
        <w:shd w:val="clear" w:color="auto" w:fill="EAEAEA"/>
      </w:tcPr>
    </w:tblStylePr>
  </w:style>
  <w:style w:type="table" w:customStyle="1" w:styleId="TableGrid212">
    <w:name w:val="Table Grid212"/>
    <w:basedOn w:val="TableNormal"/>
    <w:next w:val="TableGrid"/>
    <w:uiPriority w:val="39"/>
    <w:rsid w:val="00C1281D"/>
    <w:pPr>
      <w:spacing w:before="120" w:after="120" w:line="264" w:lineRule="auto"/>
      <w:ind w:left="115" w:right="115"/>
    </w:pPr>
    <w:rPr>
      <w:rFonts w:eastAsia="MS PGothic"/>
      <w:sz w:val="20"/>
      <w:szCs w:val="20"/>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
    <w:tcPr>
      <w:vAlign w:val="center"/>
    </w:tcPr>
    <w:tblStylePr w:type="firstRow">
      <w:pPr>
        <w:wordWrap/>
        <w:jc w:val="center"/>
      </w:pPr>
      <w:rPr>
        <w:b/>
        <w:i w:val="0"/>
        <w:sz w:val="22"/>
      </w:rPr>
    </w:tblStylePr>
    <w:tblStylePr w:type="lastRow">
      <w:rPr>
        <w:b/>
        <w:i w:val="0"/>
        <w:sz w:val="22"/>
      </w:rPr>
      <w:tblPr/>
      <w:tcPr>
        <w:tcBorders>
          <w:top w:val="double" w:sz="4" w:space="0" w:color="auto"/>
          <w:left w:val="single" w:sz="4" w:space="0" w:color="auto"/>
          <w:bottom w:val="single" w:sz="18" w:space="0" w:color="auto"/>
          <w:right w:val="single" w:sz="4" w:space="0" w:color="auto"/>
          <w:insideH w:val="nil"/>
          <w:insideV w:val="single" w:sz="4" w:space="0" w:color="auto"/>
          <w:tl2br w:val="nil"/>
          <w:tr2bl w:val="nil"/>
        </w:tcBorders>
      </w:tcPr>
    </w:tblStylePr>
  </w:style>
  <w:style w:type="table" w:customStyle="1" w:styleId="LightShading-Accent12412">
    <w:name w:val="Light Shading - Accent 12412"/>
    <w:basedOn w:val="TableNormal"/>
    <w:uiPriority w:val="60"/>
    <w:rsid w:val="00C1281D"/>
    <w:pPr>
      <w:spacing w:after="0" w:line="264" w:lineRule="auto"/>
    </w:pPr>
    <w:rPr>
      <w:rFonts w:ascii="Cambria" w:eastAsia="Calibri" w:hAnsi="Cambria" w:cs="Times New Roman"/>
      <w:color w:val="A8422A"/>
      <w:sz w:val="20"/>
      <w:szCs w:val="20"/>
      <w:lang w:val="en-GB" w:eastAsia="sr-Cyrl-CS"/>
    </w:rPr>
    <w:tblPr>
      <w:tblStyleRowBandSize w:val="1"/>
      <w:tblStyleColBandSize w:val="1"/>
      <w:tblBorders>
        <w:top w:val="single" w:sz="8" w:space="0" w:color="D16349"/>
        <w:bottom w:val="single" w:sz="8" w:space="0" w:color="D16349"/>
      </w:tblBorders>
    </w:tblPr>
    <w:tblStylePr w:type="fir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la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D8D2"/>
      </w:tcPr>
    </w:tblStylePr>
    <w:tblStylePr w:type="band1Horz">
      <w:tblPr/>
      <w:tcPr>
        <w:tcBorders>
          <w:left w:val="nil"/>
          <w:right w:val="nil"/>
          <w:insideH w:val="nil"/>
          <w:insideV w:val="nil"/>
        </w:tcBorders>
        <w:shd w:val="clear" w:color="auto" w:fill="F3D8D2"/>
      </w:tcPr>
    </w:tblStylePr>
  </w:style>
  <w:style w:type="table" w:customStyle="1" w:styleId="LightShading-Accent12512">
    <w:name w:val="Light Shading - Accent 12512"/>
    <w:basedOn w:val="TableNormal"/>
    <w:uiPriority w:val="60"/>
    <w:rsid w:val="00C1281D"/>
    <w:pPr>
      <w:spacing w:after="0" w:line="240" w:lineRule="auto"/>
    </w:pPr>
    <w:rPr>
      <w:rFonts w:ascii="Cambria" w:eastAsia="Calibri" w:hAnsi="Cambria" w:cs="Times New Roman"/>
      <w:color w:val="A8422A"/>
      <w:sz w:val="20"/>
      <w:szCs w:val="20"/>
      <w:lang w:val="en-GB" w:eastAsia="sr-Cyrl-CS"/>
    </w:rPr>
    <w:tblPr>
      <w:tblStyleRowBandSize w:val="1"/>
      <w:tblStyleColBandSize w:val="1"/>
      <w:tblBorders>
        <w:top w:val="single" w:sz="8" w:space="0" w:color="D16349"/>
        <w:bottom w:val="single" w:sz="8" w:space="0" w:color="D16349"/>
      </w:tblBorders>
    </w:tblPr>
    <w:tblStylePr w:type="fir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la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D8D2"/>
      </w:tcPr>
    </w:tblStylePr>
    <w:tblStylePr w:type="band1Horz">
      <w:tblPr/>
      <w:tcPr>
        <w:tcBorders>
          <w:left w:val="nil"/>
          <w:right w:val="nil"/>
          <w:insideH w:val="nil"/>
          <w:insideV w:val="nil"/>
        </w:tcBorders>
        <w:shd w:val="clear" w:color="auto" w:fill="F3D8D2"/>
      </w:tcPr>
    </w:tblStylePr>
  </w:style>
  <w:style w:type="table" w:customStyle="1" w:styleId="LightShading3">
    <w:name w:val="Light Shading3"/>
    <w:basedOn w:val="TableNormal"/>
    <w:next w:val="LightShading"/>
    <w:uiPriority w:val="60"/>
    <w:semiHidden/>
    <w:unhideWhenUsed/>
    <w:rsid w:val="00C1281D"/>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GridTable6Colorful-Accent55">
    <w:name w:val="Grid Table 6 Colorful - Accent 55"/>
    <w:basedOn w:val="TableNormal"/>
    <w:next w:val="GridTable6Colorful-Accent54"/>
    <w:uiPriority w:val="51"/>
    <w:rsid w:val="00C1281D"/>
    <w:pPr>
      <w:spacing w:after="0" w:line="240" w:lineRule="auto"/>
    </w:pPr>
    <w:rPr>
      <w:color w:val="2F5496" w:themeColor="accent5" w:themeShade="BF"/>
    </w:r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4" w:space="0" w:color="8EAADB" w:themeColor="accent5" w:themeTint="99"/>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customStyle="1" w:styleId="GridTable6Colorful-Accent14">
    <w:name w:val="Grid Table 6 Colorful - Accent 14"/>
    <w:basedOn w:val="TableNormal"/>
    <w:next w:val="GridTable6Colorful-Accent13"/>
    <w:uiPriority w:val="51"/>
    <w:rsid w:val="00C1281D"/>
    <w:pPr>
      <w:spacing w:after="0" w:line="240" w:lineRule="auto"/>
    </w:pPr>
    <w:rPr>
      <w:color w:val="2E74B5" w:themeColor="accent1" w:themeShade="BF"/>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customStyle="1" w:styleId="LightShading-Accent16">
    <w:name w:val="Light Shading - Accent 16"/>
    <w:basedOn w:val="TableNormal"/>
    <w:next w:val="LightShading-Accent1"/>
    <w:uiPriority w:val="60"/>
    <w:semiHidden/>
    <w:unhideWhenUsed/>
    <w:rsid w:val="00C1281D"/>
    <w:pPr>
      <w:spacing w:after="0" w:line="240" w:lineRule="auto"/>
    </w:pPr>
    <w:rPr>
      <w:color w:val="2E74B5" w:themeColor="accent1" w:themeShade="BF"/>
    </w:rPr>
    <w:tblPr>
      <w:tblStyleRowBandSize w:val="1"/>
      <w:tblStyleColBandSize w:val="1"/>
      <w:tblBorders>
        <w:top w:val="single" w:sz="8" w:space="0" w:color="5B9BD5" w:themeColor="accent1"/>
        <w:bottom w:val="single" w:sz="8" w:space="0" w:color="5B9BD5" w:themeColor="accent1"/>
      </w:tblBorders>
    </w:tblPr>
    <w:tblStylePr w:type="firstRow">
      <w:pPr>
        <w:spacing w:before="0" w:after="0" w:line="240" w:lineRule="auto"/>
      </w:pPr>
      <w:rPr>
        <w:b/>
        <w:bCs/>
      </w:rPr>
      <w:tblPr/>
      <w:tcPr>
        <w:tcBorders>
          <w:top w:val="single" w:sz="8" w:space="0" w:color="5B9BD5" w:themeColor="accent1"/>
          <w:left w:val="nil"/>
          <w:bottom w:val="single" w:sz="8" w:space="0" w:color="5B9BD5" w:themeColor="accent1"/>
          <w:right w:val="nil"/>
          <w:insideH w:val="nil"/>
          <w:insideV w:val="nil"/>
        </w:tcBorders>
      </w:tcPr>
    </w:tblStylePr>
    <w:tblStylePr w:type="lastRow">
      <w:pPr>
        <w:spacing w:before="0" w:after="0" w:line="240" w:lineRule="auto"/>
      </w:pPr>
      <w:rPr>
        <w:b/>
        <w:bCs/>
      </w:rPr>
      <w:tblPr/>
      <w:tcPr>
        <w:tcBorders>
          <w:top w:val="single" w:sz="8" w:space="0" w:color="5B9BD5" w:themeColor="accent1"/>
          <w:left w:val="nil"/>
          <w:bottom w:val="single" w:sz="8" w:space="0" w:color="5B9BD5"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6F4" w:themeFill="accent1" w:themeFillTint="3F"/>
      </w:tcPr>
    </w:tblStylePr>
    <w:tblStylePr w:type="band1Horz">
      <w:tblPr/>
      <w:tcPr>
        <w:tcBorders>
          <w:left w:val="nil"/>
          <w:right w:val="nil"/>
          <w:insideH w:val="nil"/>
          <w:insideV w:val="nil"/>
        </w:tcBorders>
        <w:shd w:val="clear" w:color="auto" w:fill="D6E6F4" w:themeFill="accent1" w:themeFillTint="3F"/>
      </w:tcPr>
    </w:tblStylePr>
  </w:style>
  <w:style w:type="table" w:customStyle="1" w:styleId="LightShading-Accent64">
    <w:name w:val="Light Shading - Accent 64"/>
    <w:basedOn w:val="TableNormal"/>
    <w:next w:val="LightShading-Accent6"/>
    <w:uiPriority w:val="60"/>
    <w:semiHidden/>
    <w:unhideWhenUsed/>
    <w:rsid w:val="00C1281D"/>
    <w:pPr>
      <w:spacing w:after="0" w:line="240" w:lineRule="auto"/>
    </w:pPr>
    <w:rPr>
      <w:color w:val="538135" w:themeColor="accent6" w:themeShade="BF"/>
    </w:rPr>
    <w:tblPr>
      <w:tblStyleRowBandSize w:val="1"/>
      <w:tblStyleColBandSize w:val="1"/>
      <w:tblBorders>
        <w:top w:val="single" w:sz="8" w:space="0" w:color="70AD47" w:themeColor="accent6"/>
        <w:bottom w:val="single" w:sz="8" w:space="0" w:color="70AD47" w:themeColor="accent6"/>
      </w:tblBorders>
    </w:tblPr>
    <w:tblStylePr w:type="firstRow">
      <w:pPr>
        <w:spacing w:before="0" w:after="0" w:line="240" w:lineRule="auto"/>
      </w:pPr>
      <w:rPr>
        <w:b/>
        <w:bCs/>
      </w:rPr>
      <w:tblPr/>
      <w:tcPr>
        <w:tcBorders>
          <w:top w:val="single" w:sz="8" w:space="0" w:color="70AD47" w:themeColor="accent6"/>
          <w:left w:val="nil"/>
          <w:bottom w:val="single" w:sz="8" w:space="0" w:color="70AD47" w:themeColor="accent6"/>
          <w:right w:val="nil"/>
          <w:insideH w:val="nil"/>
          <w:insideV w:val="nil"/>
        </w:tcBorders>
      </w:tcPr>
    </w:tblStylePr>
    <w:tblStylePr w:type="lastRow">
      <w:pPr>
        <w:spacing w:before="0" w:after="0" w:line="240" w:lineRule="auto"/>
      </w:pPr>
      <w:rPr>
        <w:b/>
        <w:bCs/>
      </w:rPr>
      <w:tblPr/>
      <w:tcPr>
        <w:tcBorders>
          <w:top w:val="single" w:sz="8" w:space="0" w:color="70AD47" w:themeColor="accent6"/>
          <w:left w:val="nil"/>
          <w:bottom w:val="single" w:sz="8" w:space="0" w:color="70AD47"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BEBD0" w:themeFill="accent6" w:themeFillTint="3F"/>
      </w:tcPr>
    </w:tblStylePr>
    <w:tblStylePr w:type="band1Horz">
      <w:tblPr/>
      <w:tcPr>
        <w:tcBorders>
          <w:left w:val="nil"/>
          <w:right w:val="nil"/>
          <w:insideH w:val="nil"/>
          <w:insideV w:val="nil"/>
        </w:tcBorders>
        <w:shd w:val="clear" w:color="auto" w:fill="DBEBD0" w:themeFill="accent6" w:themeFillTint="3F"/>
      </w:tcPr>
    </w:tblStylePr>
  </w:style>
  <w:style w:type="table" w:customStyle="1" w:styleId="GridTable6Colorful-Accent44">
    <w:name w:val="Grid Table 6 Colorful - Accent 44"/>
    <w:basedOn w:val="TableNormal"/>
    <w:next w:val="GridTable6Colorful-Accent43"/>
    <w:uiPriority w:val="51"/>
    <w:rsid w:val="00C1281D"/>
    <w:pPr>
      <w:spacing w:after="0" w:line="240" w:lineRule="auto"/>
    </w:pPr>
    <w:rPr>
      <w:color w:val="BF8F00" w:themeColor="accent4" w:themeShade="BF"/>
    </w:rPr>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insideV w:val="single" w:sz="4" w:space="0" w:color="FFD966" w:themeColor="accent4" w:themeTint="99"/>
      </w:tblBorders>
    </w:tblPr>
    <w:tblStylePr w:type="firstRow">
      <w:rPr>
        <w:b/>
        <w:bCs/>
      </w:rPr>
      <w:tblPr/>
      <w:tcPr>
        <w:tcBorders>
          <w:bottom w:val="single" w:sz="12" w:space="0" w:color="FFD966" w:themeColor="accent4" w:themeTint="99"/>
        </w:tcBorders>
      </w:tcPr>
    </w:tblStylePr>
    <w:tblStylePr w:type="lastRow">
      <w:rPr>
        <w:b/>
        <w:bCs/>
      </w:rPr>
      <w:tblPr/>
      <w:tcPr>
        <w:tcBorders>
          <w:top w:val="double" w:sz="4" w:space="0" w:color="FFD966" w:themeColor="accent4" w:themeTint="99"/>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customStyle="1" w:styleId="GridTable6Colorful-Accent34">
    <w:name w:val="Grid Table 6 Colorful - Accent 34"/>
    <w:basedOn w:val="TableNormal"/>
    <w:next w:val="GridTable6Colorful-Accent33"/>
    <w:uiPriority w:val="51"/>
    <w:rsid w:val="00C1281D"/>
    <w:pPr>
      <w:spacing w:after="0" w:line="240" w:lineRule="auto"/>
    </w:pPr>
    <w:rPr>
      <w:color w:val="7B7B7B" w:themeColor="accent3" w:themeShade="BF"/>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customStyle="1" w:styleId="GridTable4-Accent54">
    <w:name w:val="Grid Table 4 - Accent 54"/>
    <w:basedOn w:val="TableNormal"/>
    <w:next w:val="GridTable4-Accent53"/>
    <w:uiPriority w:val="49"/>
    <w:rsid w:val="00C1281D"/>
    <w:pPr>
      <w:spacing w:after="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customStyle="1" w:styleId="GridTable5Dark-Accent54">
    <w:name w:val="Grid Table 5 Dark - Accent 54"/>
    <w:basedOn w:val="TableNormal"/>
    <w:next w:val="GridTable5Dark-Accent53"/>
    <w:uiPriority w:val="50"/>
    <w:rsid w:val="00C1281D"/>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9E2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472C4"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472C4"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472C4"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472C4" w:themeFill="accent5"/>
      </w:tcPr>
    </w:tblStylePr>
    <w:tblStylePr w:type="band1Vert">
      <w:tblPr/>
      <w:tcPr>
        <w:shd w:val="clear" w:color="auto" w:fill="B4C6E7" w:themeFill="accent5" w:themeFillTint="66"/>
      </w:tcPr>
    </w:tblStylePr>
    <w:tblStylePr w:type="band1Horz">
      <w:tblPr/>
      <w:tcPr>
        <w:shd w:val="clear" w:color="auto" w:fill="B4C6E7" w:themeFill="accent5" w:themeFillTint="66"/>
      </w:tcPr>
    </w:tblStylePr>
  </w:style>
  <w:style w:type="table" w:customStyle="1" w:styleId="ListTable6Colorful-Accent34">
    <w:name w:val="List Table 6 Colorful - Accent 34"/>
    <w:basedOn w:val="TableNormal"/>
    <w:next w:val="ListTable6Colorful-Accent33"/>
    <w:uiPriority w:val="51"/>
    <w:rsid w:val="00C1281D"/>
    <w:pPr>
      <w:spacing w:after="0" w:line="240" w:lineRule="auto"/>
    </w:pPr>
    <w:rPr>
      <w:color w:val="7B7B7B" w:themeColor="accent3" w:themeShade="BF"/>
    </w:rPr>
    <w:tblPr>
      <w:tblStyleRowBandSize w:val="1"/>
      <w:tblStyleColBandSize w:val="1"/>
      <w:tblBorders>
        <w:top w:val="single" w:sz="4" w:space="0" w:color="A5A5A5" w:themeColor="accent3"/>
        <w:bottom w:val="single" w:sz="4" w:space="0" w:color="A5A5A5" w:themeColor="accent3"/>
      </w:tblBorders>
    </w:tblPr>
    <w:tblStylePr w:type="firstRow">
      <w:rPr>
        <w:b/>
        <w:bCs/>
      </w:rPr>
      <w:tblPr/>
      <w:tcPr>
        <w:tcBorders>
          <w:bottom w:val="single" w:sz="4" w:space="0" w:color="A5A5A5" w:themeColor="accent3"/>
        </w:tcBorders>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customStyle="1" w:styleId="GridTable1Light-Accent14">
    <w:name w:val="Grid Table 1 Light - Accent 14"/>
    <w:basedOn w:val="TableNormal"/>
    <w:next w:val="GridTable1Light-Accent13"/>
    <w:uiPriority w:val="46"/>
    <w:rsid w:val="00C1281D"/>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customStyle="1" w:styleId="ListTable1Light-Accent14">
    <w:name w:val="List Table 1 Light - Accent 14"/>
    <w:basedOn w:val="TableNormal"/>
    <w:next w:val="ListTable1Light-Accent13"/>
    <w:uiPriority w:val="46"/>
    <w:rsid w:val="00C1281D"/>
    <w:pPr>
      <w:spacing w:after="0" w:line="240" w:lineRule="auto"/>
    </w:pPr>
    <w:tblPr>
      <w:tblStyleRowBandSize w:val="1"/>
      <w:tblStyleColBandSize w:val="1"/>
    </w:tblPr>
    <w:tblStylePr w:type="firstRow">
      <w:rPr>
        <w:b/>
        <w:bCs/>
      </w:rPr>
      <w:tblPr/>
      <w:tcPr>
        <w:tcBorders>
          <w:bottom w:val="single" w:sz="4" w:space="0" w:color="9CC2E5" w:themeColor="accent1" w:themeTint="99"/>
        </w:tcBorders>
      </w:tcPr>
    </w:tblStylePr>
    <w:tblStylePr w:type="lastRow">
      <w:rPr>
        <w:b/>
        <w:bCs/>
      </w:rPr>
      <w:tblPr/>
      <w:tcPr>
        <w:tcBorders>
          <w:top w:val="sing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customStyle="1" w:styleId="ListTable2-Accent14">
    <w:name w:val="List Table 2 - Accent 14"/>
    <w:basedOn w:val="TableNormal"/>
    <w:next w:val="ListTable2-Accent13"/>
    <w:uiPriority w:val="47"/>
    <w:rsid w:val="00C1281D"/>
    <w:pPr>
      <w:spacing w:after="0" w:line="240" w:lineRule="auto"/>
    </w:pPr>
    <w:tblPr>
      <w:tblStyleRowBandSize w:val="1"/>
      <w:tblStyleColBandSize w:val="1"/>
      <w:tblBorders>
        <w:top w:val="single" w:sz="4" w:space="0" w:color="9CC2E5" w:themeColor="accent1" w:themeTint="99"/>
        <w:bottom w:val="single" w:sz="4" w:space="0" w:color="9CC2E5" w:themeColor="accent1" w:themeTint="99"/>
        <w:insideH w:val="single" w:sz="4" w:space="0" w:color="9CC2E5"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customStyle="1" w:styleId="ListTable2-Accent54">
    <w:name w:val="List Table 2 - Accent 54"/>
    <w:basedOn w:val="TableNormal"/>
    <w:next w:val="ListTable2-Accent53"/>
    <w:uiPriority w:val="47"/>
    <w:rsid w:val="00C1281D"/>
    <w:pPr>
      <w:spacing w:after="0" w:line="240" w:lineRule="auto"/>
    </w:pPr>
    <w:tblPr>
      <w:tblStyleRowBandSize w:val="1"/>
      <w:tblStyleColBandSize w:val="1"/>
      <w:tblBorders>
        <w:top w:val="single" w:sz="4" w:space="0" w:color="8EAADB" w:themeColor="accent5" w:themeTint="99"/>
        <w:bottom w:val="single" w:sz="4" w:space="0" w:color="8EAADB" w:themeColor="accent5" w:themeTint="99"/>
        <w:insideH w:val="single" w:sz="4" w:space="0" w:color="8EAADB"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customStyle="1" w:styleId="GridTable2-Accent54">
    <w:name w:val="Grid Table 2 - Accent 54"/>
    <w:basedOn w:val="TableNormal"/>
    <w:next w:val="GridTable2-Accent53"/>
    <w:uiPriority w:val="47"/>
    <w:rsid w:val="00C1281D"/>
    <w:pPr>
      <w:spacing w:after="0" w:line="240" w:lineRule="auto"/>
    </w:pPr>
    <w:tblPr>
      <w:tblStyleRowBandSize w:val="1"/>
      <w:tblStyleColBandSize w:val="1"/>
      <w:tblBorders>
        <w:top w:val="single" w:sz="2" w:space="0" w:color="8EAADB" w:themeColor="accent5" w:themeTint="99"/>
        <w:bottom w:val="single" w:sz="2" w:space="0" w:color="8EAADB" w:themeColor="accent5" w:themeTint="99"/>
        <w:insideH w:val="single" w:sz="2" w:space="0" w:color="8EAADB" w:themeColor="accent5" w:themeTint="99"/>
        <w:insideV w:val="single" w:sz="2" w:space="0" w:color="8EAADB" w:themeColor="accent5" w:themeTint="99"/>
      </w:tblBorders>
    </w:tblPr>
    <w:tblStylePr w:type="firstRow">
      <w:rPr>
        <w:b/>
        <w:bCs/>
      </w:rPr>
      <w:tblPr/>
      <w:tcPr>
        <w:tcBorders>
          <w:top w:val="nil"/>
          <w:bottom w:val="single" w:sz="12" w:space="0" w:color="8EAADB" w:themeColor="accent5" w:themeTint="99"/>
          <w:insideH w:val="nil"/>
          <w:insideV w:val="nil"/>
        </w:tcBorders>
        <w:shd w:val="clear" w:color="auto" w:fill="FFFFFF" w:themeFill="background1"/>
      </w:tcPr>
    </w:tblStylePr>
    <w:tblStylePr w:type="lastRow">
      <w:rPr>
        <w:b/>
        <w:bCs/>
      </w:rPr>
      <w:tblPr/>
      <w:tcPr>
        <w:tcBorders>
          <w:top w:val="double" w:sz="2" w:space="0" w:color="8EAADB"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customStyle="1" w:styleId="LightShading-Accent337">
    <w:name w:val="Light Shading - Accent 337"/>
    <w:basedOn w:val="TableNormal"/>
    <w:next w:val="LightShading-Accent3"/>
    <w:uiPriority w:val="60"/>
    <w:rsid w:val="00C1281D"/>
    <w:pPr>
      <w:spacing w:after="0" w:line="240" w:lineRule="auto"/>
    </w:pPr>
    <w:rPr>
      <w:rFonts w:ascii="Arial" w:eastAsia="Calibri" w:hAnsi="Arial" w:cs="Times New Roman"/>
      <w:color w:val="474747"/>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Shading-Accent338">
    <w:name w:val="Light Shading - Accent 338"/>
    <w:basedOn w:val="TableNormal"/>
    <w:next w:val="LightShading-Accent3"/>
    <w:uiPriority w:val="60"/>
    <w:rsid w:val="00C1281D"/>
    <w:pPr>
      <w:spacing w:after="0" w:line="240" w:lineRule="auto"/>
    </w:pPr>
    <w:rPr>
      <w:rFonts w:ascii="Arial" w:eastAsia="Calibri" w:hAnsi="Arial" w:cs="Times New Roman"/>
      <w:color w:val="474747"/>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paragraph" w:customStyle="1" w:styleId="Normal1">
    <w:name w:val="Normal1"/>
    <w:rsid w:val="00913C14"/>
    <w:pPr>
      <w:pBdr>
        <w:top w:val="nil"/>
        <w:left w:val="nil"/>
        <w:bottom w:val="nil"/>
        <w:right w:val="nil"/>
        <w:between w:val="nil"/>
      </w:pBdr>
    </w:pPr>
    <w:rPr>
      <w:rFonts w:ascii="Calibri" w:eastAsia="Calibri" w:hAnsi="Calibri" w:cs="Calibri"/>
      <w:color w:val="000000"/>
    </w:rPr>
  </w:style>
  <w:style w:type="table" w:customStyle="1" w:styleId="ListTable6Colorful-Accent61">
    <w:name w:val="List Table 6 Colorful - Accent 61"/>
    <w:basedOn w:val="TableNormal"/>
    <w:uiPriority w:val="51"/>
    <w:rsid w:val="008D3366"/>
    <w:pPr>
      <w:spacing w:after="0" w:line="240" w:lineRule="auto"/>
    </w:pPr>
    <w:rPr>
      <w:color w:val="538135" w:themeColor="accent6" w:themeShade="BF"/>
    </w:rPr>
    <w:tblPr>
      <w:tblStyleRowBandSize w:val="1"/>
      <w:tblStyleColBandSize w:val="1"/>
      <w:tblBorders>
        <w:top w:val="single" w:sz="4" w:space="0" w:color="70AD47" w:themeColor="accent6"/>
        <w:bottom w:val="single" w:sz="4" w:space="0" w:color="70AD47" w:themeColor="accent6"/>
      </w:tblBorders>
    </w:tblPr>
    <w:tblStylePr w:type="firstRow">
      <w:rPr>
        <w:b/>
        <w:bCs/>
      </w:rPr>
      <w:tblPr/>
      <w:tcPr>
        <w:tcBorders>
          <w:bottom w:val="single" w:sz="4" w:space="0" w:color="70AD47" w:themeColor="accent6"/>
        </w:tcBorders>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paragraph" w:customStyle="1" w:styleId="GlavnitekstGI">
    <w:name w:val="Glavni tekstGI"/>
    <w:basedOn w:val="Normal"/>
    <w:rsid w:val="00A20FB9"/>
    <w:pPr>
      <w:spacing w:before="40" w:after="40" w:line="300" w:lineRule="exact"/>
      <w:ind w:firstLine="357"/>
    </w:pPr>
    <w:rPr>
      <w:rFonts w:cs="Times New Roman"/>
    </w:rPr>
  </w:style>
  <w:style w:type="table" w:customStyle="1" w:styleId="TableGrid6">
    <w:name w:val="Table Grid6"/>
    <w:basedOn w:val="TableNormal"/>
    <w:next w:val="TableGrid"/>
    <w:uiPriority w:val="39"/>
    <w:rsid w:val="00E84619"/>
    <w:pPr>
      <w:spacing w:after="0" w:line="240" w:lineRule="auto"/>
    </w:pPr>
    <w:rPr>
      <w:rFonts w:ascii="Constantia" w:eastAsia="Constantia" w:hAnsi="Constantia"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noteTextChar1">
    <w:name w:val="Footnote Text Char1"/>
    <w:aliases w:val="Char Char Char Char1,Footnote Text Char Char Char Char1,Footnote Text Char Char Char2,single space Char1,ft Char1,ft Char Char Char Char1,ft Char Char Char2,Fußnote Char1, Char Char Char Char1,footnote text Char1"/>
    <w:basedOn w:val="DefaultParagraphFont"/>
    <w:uiPriority w:val="99"/>
    <w:locked/>
    <w:rsid w:val="00E84619"/>
    <w:rPr>
      <w:rFonts w:cs="Times New Roman"/>
      <w:sz w:val="20"/>
      <w:szCs w:val="20"/>
    </w:rPr>
  </w:style>
  <w:style w:type="paragraph" w:customStyle="1" w:styleId="Glavnitekst">
    <w:name w:val="Glavni tekst"/>
    <w:basedOn w:val="BodyTextIndent"/>
    <w:rsid w:val="00E84619"/>
    <w:pPr>
      <w:spacing w:after="240" w:line="240" w:lineRule="exact"/>
      <w:ind w:firstLine="0"/>
      <w:jc w:val="both"/>
    </w:pPr>
    <w:rPr>
      <w:rFonts w:ascii="Times New Roman" w:eastAsia="Times New Roman" w:hAnsi="Times New Roman"/>
      <w:bCs w:val="0"/>
      <w:color w:val="auto"/>
      <w:sz w:val="20"/>
      <w:szCs w:val="20"/>
      <w:lang w:val="sr-Latn-CS"/>
    </w:rPr>
  </w:style>
  <w:style w:type="paragraph" w:customStyle="1" w:styleId="EFP2012tekst">
    <w:name w:val="EFP 2012 tekst"/>
    <w:basedOn w:val="Normal"/>
    <w:uiPriority w:val="99"/>
    <w:rsid w:val="00E84619"/>
    <w:pPr>
      <w:ind w:firstLine="709"/>
    </w:pPr>
    <w:rPr>
      <w:rFonts w:ascii="Cambria" w:eastAsia="Constantia" w:hAnsi="Cambria" w:cs="Times New Roman"/>
      <w:color w:val="262626"/>
      <w:sz w:val="21"/>
      <w:lang w:val="sr-Cyrl-CS"/>
    </w:rPr>
  </w:style>
  <w:style w:type="paragraph" w:customStyle="1" w:styleId="EFPNaslov2">
    <w:name w:val="EFP Naslov 2"/>
    <w:basedOn w:val="Normal"/>
    <w:link w:val="EFPNaslov2Char"/>
    <w:rsid w:val="00E84619"/>
    <w:pPr>
      <w:keepNext/>
      <w:keepLines/>
      <w:numPr>
        <w:ilvl w:val="1"/>
        <w:numId w:val="8"/>
      </w:numPr>
      <w:spacing w:before="200" w:after="0"/>
      <w:outlineLvl w:val="1"/>
    </w:pPr>
    <w:rPr>
      <w:rFonts w:ascii="Constantia" w:eastAsia="Times New Roman" w:hAnsi="Constantia" w:cs="Times New Roman"/>
      <w:b/>
      <w:bCs/>
      <w:color w:val="76923C"/>
      <w:sz w:val="21"/>
      <w:szCs w:val="26"/>
      <w:lang w:val="sr-Cyrl-CS"/>
    </w:rPr>
  </w:style>
  <w:style w:type="character" w:customStyle="1" w:styleId="EFPNaslov2Char">
    <w:name w:val="EFP Naslov 2 Char"/>
    <w:link w:val="EFPNaslov2"/>
    <w:rsid w:val="00E84619"/>
    <w:rPr>
      <w:rFonts w:ascii="Constantia" w:eastAsia="Times New Roman" w:hAnsi="Constantia" w:cs="Times New Roman"/>
      <w:b/>
      <w:bCs/>
      <w:color w:val="76923C"/>
      <w:sz w:val="21"/>
      <w:szCs w:val="26"/>
      <w:lang w:val="sr-Cyrl-CS"/>
    </w:rPr>
  </w:style>
  <w:style w:type="table" w:customStyle="1" w:styleId="tabele37">
    <w:name w:val="tabele 37"/>
    <w:basedOn w:val="TableNormal"/>
    <w:next w:val="LightList-Accent3"/>
    <w:uiPriority w:val="61"/>
    <w:rsid w:val="00E84619"/>
    <w:pPr>
      <w:spacing w:after="0" w:line="240" w:lineRule="auto"/>
    </w:pPr>
    <w:rPr>
      <w:rFonts w:ascii="Cambria Math" w:eastAsia="Calibri" w:hAnsi="Cambria Math" w:cs="Times New Roman"/>
      <w:sz w:val="18"/>
      <w:szCs w:val="20"/>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LightShading-Accent1116">
    <w:name w:val="Light Shading - Accent 1116"/>
    <w:basedOn w:val="TableNormal"/>
    <w:uiPriority w:val="60"/>
    <w:rsid w:val="00E84619"/>
    <w:pPr>
      <w:spacing w:after="0" w:line="240" w:lineRule="auto"/>
      <w:ind w:left="568" w:hanging="284"/>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317">
    <w:name w:val="Light Shading - Accent 317"/>
    <w:basedOn w:val="TableNormal"/>
    <w:next w:val="LightShading-Accent3"/>
    <w:uiPriority w:val="60"/>
    <w:rsid w:val="00E84619"/>
    <w:pPr>
      <w:spacing w:after="0" w:line="240" w:lineRule="auto"/>
    </w:pPr>
    <w:rPr>
      <w:rFonts w:ascii="Constantia" w:eastAsia="Constantia" w:hAnsi="Constantia" w:cs="Times New Roman"/>
      <w:color w:val="8CADAE"/>
      <w:sz w:val="20"/>
      <w:szCs w:val="20"/>
    </w:rPr>
    <w:tblPr>
      <w:tblStyleRowBandSize w:val="1"/>
      <w:tblStyleColBandSize w:val="1"/>
      <w:tblBorders>
        <w:top w:val="single" w:sz="8" w:space="0" w:color="8CADAE"/>
        <w:bottom w:val="single" w:sz="8" w:space="0" w:color="8CADAE"/>
      </w:tblBorders>
    </w:tblPr>
    <w:tblStylePr w:type="fir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la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2EAEB"/>
      </w:tcPr>
    </w:tblStylePr>
    <w:tblStylePr w:type="band1Horz">
      <w:tblPr/>
      <w:tcPr>
        <w:tcBorders>
          <w:left w:val="nil"/>
          <w:right w:val="nil"/>
          <w:insideH w:val="nil"/>
          <w:insideV w:val="nil"/>
        </w:tcBorders>
        <w:shd w:val="clear" w:color="auto" w:fill="E2EAEB"/>
      </w:tcPr>
    </w:tblStylePr>
  </w:style>
  <w:style w:type="table" w:customStyle="1" w:styleId="LightList-Accent318">
    <w:name w:val="Light List - Accent 318"/>
    <w:basedOn w:val="TableNormal"/>
    <w:next w:val="LightList-Accent3"/>
    <w:uiPriority w:val="61"/>
    <w:rsid w:val="00E84619"/>
    <w:pPr>
      <w:spacing w:after="0" w:line="240" w:lineRule="auto"/>
    </w:pPr>
    <w:rPr>
      <w:rFonts w:ascii="Constantia" w:eastAsia="Constantia" w:hAnsi="Constantia" w:cs="Times New Roman"/>
      <w:sz w:val="20"/>
      <w:szCs w:val="20"/>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TableGrid14">
    <w:name w:val="Table Grid14"/>
    <w:basedOn w:val="TableNormal"/>
    <w:next w:val="TableGrid"/>
    <w:uiPriority w:val="39"/>
    <w:rsid w:val="00E84619"/>
    <w:pPr>
      <w:spacing w:after="0" w:line="240" w:lineRule="auto"/>
    </w:pPr>
    <w:rPr>
      <w:rFonts w:ascii="Constantia" w:eastAsia="Constantia" w:hAnsi="Constantia"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ghtList-Accent517">
    <w:name w:val="Light List - Accent 517"/>
    <w:basedOn w:val="TableNormal"/>
    <w:next w:val="LightList-Accent5"/>
    <w:uiPriority w:val="61"/>
    <w:rsid w:val="00E84619"/>
    <w:pPr>
      <w:spacing w:after="0" w:line="240" w:lineRule="auto"/>
    </w:pPr>
    <w:rPr>
      <w:rFonts w:ascii="Times New Roman" w:eastAsia="Constantia" w:hAnsi="Times New Roman" w:cs="Times New Roman"/>
      <w:sz w:val="20"/>
      <w:szCs w:val="20"/>
    </w:rPr>
    <w:tblPr>
      <w:tblStyleRowBandSize w:val="1"/>
      <w:tblStyleColBandSize w:val="1"/>
      <w:tblBorders>
        <w:top w:val="single" w:sz="8" w:space="0" w:color="8FB08C"/>
        <w:left w:val="single" w:sz="8" w:space="0" w:color="8FB08C"/>
        <w:bottom w:val="single" w:sz="8" w:space="0" w:color="8FB08C"/>
        <w:right w:val="single" w:sz="8" w:space="0" w:color="8FB08C"/>
      </w:tblBorders>
    </w:tblPr>
    <w:tblStylePr w:type="firstRow">
      <w:pPr>
        <w:spacing w:before="0" w:after="0" w:line="240" w:lineRule="auto"/>
      </w:pPr>
      <w:rPr>
        <w:b/>
        <w:bCs/>
        <w:color w:val="FFFFFF"/>
      </w:rPr>
      <w:tblPr/>
      <w:tcPr>
        <w:shd w:val="clear" w:color="auto" w:fill="8FB08C"/>
      </w:tcPr>
    </w:tblStylePr>
    <w:tblStylePr w:type="lastRow">
      <w:pPr>
        <w:spacing w:before="0" w:after="0" w:line="240" w:lineRule="auto"/>
      </w:pPr>
      <w:rPr>
        <w:b/>
        <w:bCs/>
      </w:rPr>
      <w:tblPr/>
      <w:tcPr>
        <w:tcBorders>
          <w:top w:val="double" w:sz="6" w:space="0" w:color="8FB08C"/>
          <w:left w:val="single" w:sz="8" w:space="0" w:color="8FB08C"/>
          <w:bottom w:val="single" w:sz="8" w:space="0" w:color="8FB08C"/>
          <w:right w:val="single" w:sz="8" w:space="0" w:color="8FB08C"/>
        </w:tcBorders>
      </w:tcPr>
    </w:tblStylePr>
    <w:tblStylePr w:type="firstCol">
      <w:rPr>
        <w:b/>
        <w:bCs/>
      </w:rPr>
    </w:tblStylePr>
    <w:tblStylePr w:type="lastCol">
      <w:rPr>
        <w:b/>
        <w:bCs/>
      </w:rPr>
    </w:tblStylePr>
    <w:tblStylePr w:type="band1Vert">
      <w:tblPr/>
      <w:tcPr>
        <w:tcBorders>
          <w:top w:val="single" w:sz="8" w:space="0" w:color="8FB08C"/>
          <w:left w:val="single" w:sz="8" w:space="0" w:color="8FB08C"/>
          <w:bottom w:val="single" w:sz="8" w:space="0" w:color="8FB08C"/>
          <w:right w:val="single" w:sz="8" w:space="0" w:color="8FB08C"/>
        </w:tcBorders>
      </w:tcPr>
    </w:tblStylePr>
    <w:tblStylePr w:type="band1Horz">
      <w:tblPr/>
      <w:tcPr>
        <w:tcBorders>
          <w:top w:val="single" w:sz="8" w:space="0" w:color="8FB08C"/>
          <w:left w:val="single" w:sz="8" w:space="0" w:color="8FB08C"/>
          <w:bottom w:val="single" w:sz="8" w:space="0" w:color="8FB08C"/>
          <w:right w:val="single" w:sz="8" w:space="0" w:color="8FB08C"/>
        </w:tcBorders>
      </w:tcPr>
    </w:tblStylePr>
  </w:style>
  <w:style w:type="table" w:customStyle="1" w:styleId="MediumList1-Accent514">
    <w:name w:val="Medium List 1 - Accent 514"/>
    <w:basedOn w:val="TableNormal"/>
    <w:next w:val="MediumList1-Accent5"/>
    <w:uiPriority w:val="65"/>
    <w:rsid w:val="00E84619"/>
    <w:pPr>
      <w:spacing w:after="0" w:line="240" w:lineRule="auto"/>
    </w:pPr>
    <w:rPr>
      <w:rFonts w:ascii="Constantia" w:eastAsia="Constantia" w:hAnsi="Constantia" w:cs="Times New Roman"/>
      <w:color w:val="000000"/>
      <w:sz w:val="20"/>
      <w:szCs w:val="20"/>
    </w:rPr>
    <w:tblPr>
      <w:tblStyleRowBandSize w:val="1"/>
      <w:tblStyleColBandSize w:val="1"/>
      <w:tblBorders>
        <w:top w:val="single" w:sz="8" w:space="0" w:color="8FB08C"/>
        <w:bottom w:val="single" w:sz="8" w:space="0" w:color="8FB08C"/>
      </w:tblBorders>
    </w:tblPr>
    <w:tblStylePr w:type="firstRow">
      <w:rPr>
        <w:rFonts w:ascii="Constantia" w:eastAsia="Times New Roman" w:hAnsi="Constantia" w:cs="Times New Roman"/>
      </w:rPr>
      <w:tblPr/>
      <w:tcPr>
        <w:tcBorders>
          <w:top w:val="nil"/>
          <w:bottom w:val="single" w:sz="8" w:space="0" w:color="8FB08C"/>
        </w:tcBorders>
      </w:tcPr>
    </w:tblStylePr>
    <w:tblStylePr w:type="lastRow">
      <w:rPr>
        <w:b/>
        <w:bCs/>
        <w:color w:val="646B86"/>
      </w:rPr>
      <w:tblPr/>
      <w:tcPr>
        <w:tcBorders>
          <w:top w:val="single" w:sz="8" w:space="0" w:color="8FB08C"/>
          <w:bottom w:val="single" w:sz="8" w:space="0" w:color="8FB08C"/>
        </w:tcBorders>
      </w:tcPr>
    </w:tblStylePr>
    <w:tblStylePr w:type="firstCol">
      <w:rPr>
        <w:b/>
        <w:bCs/>
      </w:rPr>
    </w:tblStylePr>
    <w:tblStylePr w:type="lastCol">
      <w:rPr>
        <w:b/>
        <w:bCs/>
      </w:rPr>
      <w:tblPr/>
      <w:tcPr>
        <w:tcBorders>
          <w:top w:val="single" w:sz="8" w:space="0" w:color="8FB08C"/>
          <w:bottom w:val="single" w:sz="8" w:space="0" w:color="8FB08C"/>
        </w:tcBorders>
      </w:tcPr>
    </w:tblStylePr>
    <w:tblStylePr w:type="band1Vert">
      <w:tblPr/>
      <w:tcPr>
        <w:shd w:val="clear" w:color="auto" w:fill="E3EBE2"/>
      </w:tcPr>
    </w:tblStylePr>
    <w:tblStylePr w:type="band1Horz">
      <w:tblPr/>
      <w:tcPr>
        <w:shd w:val="clear" w:color="auto" w:fill="E3EBE2"/>
      </w:tcPr>
    </w:tblStylePr>
  </w:style>
  <w:style w:type="table" w:customStyle="1" w:styleId="MediumList1-Accent55">
    <w:name w:val="Medium List 1 - Accent 55"/>
    <w:basedOn w:val="TableNormal"/>
    <w:next w:val="MediumList1-Accent5"/>
    <w:uiPriority w:val="65"/>
    <w:rsid w:val="00E84619"/>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4BACC6"/>
        <w:bottom w:val="single" w:sz="8" w:space="0" w:color="4BACC6"/>
      </w:tblBorders>
    </w:tblPr>
    <w:tblStylePr w:type="firstRow">
      <w:rPr>
        <w:rFonts w:ascii="Constantia" w:eastAsia="Times New Roman" w:hAnsi="Constantia" w:cs="Times New Roman"/>
      </w:rPr>
      <w:tblPr/>
      <w:tcPr>
        <w:tcBorders>
          <w:top w:val="nil"/>
          <w:bottom w:val="single" w:sz="8" w:space="0" w:color="4BACC6"/>
        </w:tcBorders>
      </w:tcPr>
    </w:tblStylePr>
    <w:tblStylePr w:type="lastRow">
      <w:rPr>
        <w:b/>
        <w:bCs/>
        <w:color w:val="1F497D"/>
      </w:rPr>
      <w:tblPr/>
      <w:tcPr>
        <w:tcBorders>
          <w:top w:val="single" w:sz="8" w:space="0" w:color="4BACC6"/>
          <w:bottom w:val="single" w:sz="8" w:space="0" w:color="4BACC6"/>
        </w:tcBorders>
      </w:tcPr>
    </w:tblStylePr>
    <w:tblStylePr w:type="firstCol">
      <w:rPr>
        <w:b/>
        <w:bCs/>
      </w:rPr>
    </w:tblStylePr>
    <w:tblStylePr w:type="lastCol">
      <w:rPr>
        <w:b/>
        <w:bCs/>
      </w:rPr>
      <w:tblPr/>
      <w:tcPr>
        <w:tcBorders>
          <w:top w:val="single" w:sz="8" w:space="0" w:color="4BACC6"/>
          <w:bottom w:val="single" w:sz="8" w:space="0" w:color="4BACC6"/>
        </w:tcBorders>
      </w:tcPr>
    </w:tblStylePr>
    <w:tblStylePr w:type="band1Vert">
      <w:tblPr/>
      <w:tcPr>
        <w:shd w:val="clear" w:color="auto" w:fill="D2EAF1"/>
      </w:tcPr>
    </w:tblStylePr>
    <w:tblStylePr w:type="band1Horz">
      <w:tblPr/>
      <w:tcPr>
        <w:shd w:val="clear" w:color="auto" w:fill="D2EAF1"/>
      </w:tcPr>
    </w:tblStylePr>
  </w:style>
  <w:style w:type="table" w:customStyle="1" w:styleId="LightGrid-Accent518">
    <w:name w:val="Light Grid - Accent 518"/>
    <w:basedOn w:val="TableNormal"/>
    <w:next w:val="LightGrid-Accent5"/>
    <w:uiPriority w:val="62"/>
    <w:rsid w:val="00E84619"/>
    <w:pPr>
      <w:spacing w:after="0" w:line="240" w:lineRule="auto"/>
      <w:jc w:val="both"/>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Tahoma" w:eastAsia="Times New Roman" w:hAnsi="Tahom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Tahoma" w:eastAsia="Times New Roman" w:hAnsi="Tahom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Tahoma" w:eastAsia="Times New Roman" w:hAnsi="Tahoma" w:cs="Times New Roman"/>
        <w:b/>
        <w:bCs/>
      </w:rPr>
    </w:tblStylePr>
    <w:tblStylePr w:type="lastCol">
      <w:rPr>
        <w:rFonts w:ascii="Tahoma" w:eastAsia="Times New Roman" w:hAnsi="Tahom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117">
    <w:name w:val="Светло сенчење – наглашавање 117"/>
    <w:basedOn w:val="TableNormal"/>
    <w:uiPriority w:val="60"/>
    <w:rsid w:val="00E84619"/>
    <w:pPr>
      <w:spacing w:after="0" w:line="240" w:lineRule="auto"/>
      <w:jc w:val="both"/>
    </w:pPr>
    <w:rPr>
      <w:rFonts w:ascii="Calibri" w:eastAsia="Calibri" w:hAnsi="Calibri" w:cs="Times New Roman"/>
      <w:color w:val="365F91"/>
      <w:sz w:val="20"/>
      <w:szCs w:val="20"/>
      <w:lang w:val="sr-Latn-CS" w:eastAsia="en-GB"/>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Grid-Accent59">
    <w:name w:val="Light Grid - Accent 59"/>
    <w:basedOn w:val="TableNormal"/>
    <w:next w:val="LightGrid-Accent5"/>
    <w:uiPriority w:val="62"/>
    <w:rsid w:val="00E84619"/>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Tahoma" w:eastAsia="Times New Roman" w:hAnsi="Tahoma"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Tahoma" w:eastAsia="Times New Roman" w:hAnsi="Tahoma"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Tahoma" w:eastAsia="Times New Roman" w:hAnsi="Tahoma" w:cs="Times New Roman"/>
        <w:b/>
        <w:bCs/>
      </w:rPr>
    </w:tblStylePr>
    <w:tblStylePr w:type="lastCol">
      <w:rPr>
        <w:rFonts w:ascii="Tahoma" w:eastAsia="Times New Roman" w:hAnsi="Tahoma"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Shading-Accent128">
    <w:name w:val="Light Shading - Accent 128"/>
    <w:basedOn w:val="TableNormal"/>
    <w:uiPriority w:val="60"/>
    <w:rsid w:val="00E84619"/>
    <w:pPr>
      <w:spacing w:after="0" w:line="240" w:lineRule="auto"/>
    </w:pPr>
    <w:rPr>
      <w:rFonts w:ascii="Calibri" w:eastAsia="Calibri" w:hAnsi="Calibri" w:cs="Times New Roman"/>
      <w:color w:val="A8422A"/>
      <w:sz w:val="20"/>
      <w:szCs w:val="20"/>
      <w:lang w:val="en-GB" w:eastAsia="sr-Cyrl-CS"/>
    </w:rPr>
    <w:tblPr>
      <w:tblStyleRowBandSize w:val="1"/>
      <w:tblStyleColBandSize w:val="1"/>
      <w:tblBorders>
        <w:top w:val="single" w:sz="8" w:space="0" w:color="D16349"/>
        <w:bottom w:val="single" w:sz="8" w:space="0" w:color="D16349"/>
      </w:tblBorders>
    </w:tblPr>
    <w:tblStylePr w:type="fir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la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D8D2"/>
      </w:tcPr>
    </w:tblStylePr>
    <w:tblStylePr w:type="band1Horz">
      <w:tblPr/>
      <w:tcPr>
        <w:tcBorders>
          <w:left w:val="nil"/>
          <w:right w:val="nil"/>
          <w:insideH w:val="nil"/>
          <w:insideV w:val="nil"/>
        </w:tcBorders>
        <w:shd w:val="clear" w:color="auto" w:fill="F3D8D2"/>
      </w:tcPr>
    </w:tblStylePr>
  </w:style>
  <w:style w:type="table" w:customStyle="1" w:styleId="LightList-Accent3117">
    <w:name w:val="Light List - Accent 3117"/>
    <w:basedOn w:val="TableNormal"/>
    <w:next w:val="LightList-Accent3"/>
    <w:uiPriority w:val="61"/>
    <w:rsid w:val="00E84619"/>
    <w:pPr>
      <w:spacing w:after="0" w:line="240" w:lineRule="auto"/>
    </w:pPr>
    <w:rPr>
      <w:rFonts w:ascii="Constantia" w:eastAsia="Constantia" w:hAnsi="Constantia" w:cs="Times New Roman"/>
      <w:sz w:val="20"/>
      <w:szCs w:val="20"/>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31114">
    <w:name w:val="Light List - Accent 31114"/>
    <w:basedOn w:val="TableNormal"/>
    <w:next w:val="LightList-Accent3"/>
    <w:uiPriority w:val="61"/>
    <w:rsid w:val="00E84619"/>
    <w:pPr>
      <w:spacing w:after="0" w:line="240" w:lineRule="auto"/>
    </w:pPr>
    <w:rPr>
      <w:rFonts w:ascii="Constantia" w:eastAsia="Constantia" w:hAnsi="Constantia" w:cs="Times New Roman"/>
      <w:sz w:val="20"/>
      <w:szCs w:val="20"/>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TableGrid24">
    <w:name w:val="Table Grid24"/>
    <w:basedOn w:val="TableNormal"/>
    <w:next w:val="TableGrid"/>
    <w:uiPriority w:val="39"/>
    <w:rsid w:val="00E84619"/>
    <w:pPr>
      <w:spacing w:after="0" w:line="240" w:lineRule="auto"/>
      <w:jc w:val="both"/>
    </w:pPr>
    <w:rPr>
      <w:rFonts w:ascii="Calibri" w:eastAsia="Calibri" w:hAnsi="Calibri" w:cs="Times New Roman"/>
      <w:sz w:val="20"/>
      <w:szCs w:val="20"/>
      <w:lang w:bidi="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e314">
    <w:name w:val="tabele 314"/>
    <w:basedOn w:val="TableNormal"/>
    <w:next w:val="LightList-Accent3"/>
    <w:uiPriority w:val="61"/>
    <w:rsid w:val="00E84619"/>
    <w:pPr>
      <w:spacing w:after="0" w:line="240" w:lineRule="auto"/>
    </w:pPr>
    <w:rPr>
      <w:rFonts w:ascii="Cambria Math" w:eastAsia="Calibri" w:hAnsi="Cambria Math" w:cs="Times New Roman"/>
      <w:sz w:val="18"/>
      <w:szCs w:val="20"/>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LightShading-Accent1117">
    <w:name w:val="Light Shading - Accent 1117"/>
    <w:basedOn w:val="TableNormal"/>
    <w:uiPriority w:val="60"/>
    <w:rsid w:val="00E84619"/>
    <w:pPr>
      <w:spacing w:after="0" w:line="240" w:lineRule="auto"/>
      <w:ind w:left="568" w:hanging="284"/>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324">
    <w:name w:val="Light Shading - Accent 324"/>
    <w:basedOn w:val="TableNormal"/>
    <w:next w:val="LightShading-Accent3"/>
    <w:uiPriority w:val="60"/>
    <w:rsid w:val="00E84619"/>
    <w:pPr>
      <w:spacing w:after="0" w:line="240" w:lineRule="auto"/>
    </w:pPr>
    <w:rPr>
      <w:rFonts w:ascii="Calibri" w:eastAsia="Calibri" w:hAnsi="Calibri" w:cs="Times New Roman"/>
      <w:color w:val="618889"/>
      <w:sz w:val="20"/>
      <w:szCs w:val="20"/>
    </w:rPr>
    <w:tblPr>
      <w:tblStyleRowBandSize w:val="1"/>
      <w:tblStyleColBandSize w:val="1"/>
      <w:tblBorders>
        <w:top w:val="single" w:sz="8" w:space="0" w:color="8CADAE"/>
        <w:bottom w:val="single" w:sz="8" w:space="0" w:color="8CADAE"/>
      </w:tblBorders>
    </w:tblPr>
    <w:tblStylePr w:type="fir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la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2EAEB"/>
      </w:tcPr>
    </w:tblStylePr>
    <w:tblStylePr w:type="band1Horz">
      <w:tblPr/>
      <w:tcPr>
        <w:tcBorders>
          <w:left w:val="nil"/>
          <w:right w:val="nil"/>
          <w:insideH w:val="nil"/>
          <w:insideV w:val="nil"/>
        </w:tcBorders>
        <w:shd w:val="clear" w:color="auto" w:fill="E2EAEB"/>
      </w:tcPr>
    </w:tblStylePr>
  </w:style>
  <w:style w:type="table" w:customStyle="1" w:styleId="LightList-Accent524">
    <w:name w:val="Light List - Accent 524"/>
    <w:basedOn w:val="TableNormal"/>
    <w:next w:val="LightList-Accent5"/>
    <w:uiPriority w:val="61"/>
    <w:rsid w:val="00E84619"/>
    <w:pPr>
      <w:spacing w:after="0" w:line="240" w:lineRule="auto"/>
    </w:pPr>
    <w:rPr>
      <w:rFonts w:ascii="Calibri" w:eastAsia="Calibri" w:hAnsi="Calibri" w:cs="Times New Roman"/>
      <w:sz w:val="20"/>
      <w:szCs w:val="20"/>
    </w:rPr>
    <w:tblPr>
      <w:tblStyleRowBandSize w:val="1"/>
      <w:tblStyleColBandSize w:val="1"/>
      <w:tblBorders>
        <w:top w:val="single" w:sz="8" w:space="0" w:color="8FB08C"/>
        <w:left w:val="single" w:sz="8" w:space="0" w:color="8FB08C"/>
        <w:bottom w:val="single" w:sz="8" w:space="0" w:color="8FB08C"/>
        <w:right w:val="single" w:sz="8" w:space="0" w:color="8FB08C"/>
      </w:tblBorders>
    </w:tblPr>
    <w:tblStylePr w:type="firstRow">
      <w:pPr>
        <w:spacing w:before="0" w:after="0" w:line="240" w:lineRule="auto"/>
      </w:pPr>
      <w:rPr>
        <w:b/>
        <w:bCs/>
        <w:color w:val="FFFFFF"/>
      </w:rPr>
      <w:tblPr/>
      <w:tcPr>
        <w:shd w:val="clear" w:color="auto" w:fill="8FB08C"/>
      </w:tcPr>
    </w:tblStylePr>
    <w:tblStylePr w:type="lastRow">
      <w:pPr>
        <w:spacing w:before="0" w:after="0" w:line="240" w:lineRule="auto"/>
      </w:pPr>
      <w:rPr>
        <w:b/>
        <w:bCs/>
      </w:rPr>
      <w:tblPr/>
      <w:tcPr>
        <w:tcBorders>
          <w:top w:val="double" w:sz="6" w:space="0" w:color="8FB08C"/>
          <w:left w:val="single" w:sz="8" w:space="0" w:color="8FB08C"/>
          <w:bottom w:val="single" w:sz="8" w:space="0" w:color="8FB08C"/>
          <w:right w:val="single" w:sz="8" w:space="0" w:color="8FB08C"/>
        </w:tcBorders>
      </w:tcPr>
    </w:tblStylePr>
    <w:tblStylePr w:type="firstCol">
      <w:rPr>
        <w:b/>
        <w:bCs/>
      </w:rPr>
    </w:tblStylePr>
    <w:tblStylePr w:type="lastCol">
      <w:rPr>
        <w:b/>
        <w:bCs/>
      </w:rPr>
    </w:tblStylePr>
    <w:tblStylePr w:type="band1Vert">
      <w:tblPr/>
      <w:tcPr>
        <w:tcBorders>
          <w:top w:val="single" w:sz="8" w:space="0" w:color="8FB08C"/>
          <w:left w:val="single" w:sz="8" w:space="0" w:color="8FB08C"/>
          <w:bottom w:val="single" w:sz="8" w:space="0" w:color="8FB08C"/>
          <w:right w:val="single" w:sz="8" w:space="0" w:color="8FB08C"/>
        </w:tcBorders>
      </w:tcPr>
    </w:tblStylePr>
    <w:tblStylePr w:type="band1Horz">
      <w:tblPr/>
      <w:tcPr>
        <w:tcBorders>
          <w:top w:val="single" w:sz="8" w:space="0" w:color="8FB08C"/>
          <w:left w:val="single" w:sz="8" w:space="0" w:color="8FB08C"/>
          <w:bottom w:val="single" w:sz="8" w:space="0" w:color="8FB08C"/>
          <w:right w:val="single" w:sz="8" w:space="0" w:color="8FB08C"/>
        </w:tcBorders>
      </w:tcPr>
    </w:tblStylePr>
  </w:style>
  <w:style w:type="table" w:customStyle="1" w:styleId="LightShading-Accent3114">
    <w:name w:val="Light Shading - Accent 3114"/>
    <w:basedOn w:val="TableNormal"/>
    <w:next w:val="LightShading-Accent3"/>
    <w:uiPriority w:val="60"/>
    <w:rsid w:val="00E84619"/>
    <w:pPr>
      <w:spacing w:after="0" w:line="240" w:lineRule="auto"/>
    </w:pPr>
    <w:rPr>
      <w:rFonts w:ascii="Constantia" w:eastAsia="Constantia" w:hAnsi="Constantia" w:cs="Times New Roman"/>
      <w:color w:val="8CADAE"/>
      <w:sz w:val="20"/>
      <w:szCs w:val="20"/>
    </w:rPr>
    <w:tblPr>
      <w:tblStyleRowBandSize w:val="1"/>
      <w:tblStyleColBandSize w:val="1"/>
      <w:tblBorders>
        <w:top w:val="single" w:sz="8" w:space="0" w:color="8CADAE"/>
        <w:bottom w:val="single" w:sz="8" w:space="0" w:color="8CADAE"/>
      </w:tblBorders>
    </w:tblPr>
    <w:tblStylePr w:type="fir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la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2EAEB"/>
      </w:tcPr>
    </w:tblStylePr>
    <w:tblStylePr w:type="band1Horz">
      <w:tblPr/>
      <w:tcPr>
        <w:tcBorders>
          <w:left w:val="nil"/>
          <w:right w:val="nil"/>
          <w:insideH w:val="nil"/>
          <w:insideV w:val="nil"/>
        </w:tcBorders>
        <w:shd w:val="clear" w:color="auto" w:fill="E2EAEB"/>
      </w:tcPr>
    </w:tblStylePr>
  </w:style>
  <w:style w:type="table" w:customStyle="1" w:styleId="LightList-Accent3124">
    <w:name w:val="Light List - Accent 3124"/>
    <w:basedOn w:val="TableNormal"/>
    <w:next w:val="LightList-Accent3"/>
    <w:uiPriority w:val="61"/>
    <w:rsid w:val="00E84619"/>
    <w:pPr>
      <w:spacing w:after="0" w:line="240" w:lineRule="auto"/>
    </w:pPr>
    <w:rPr>
      <w:rFonts w:ascii="Constantia" w:eastAsia="Constantia" w:hAnsi="Constantia" w:cs="Times New Roman"/>
      <w:sz w:val="20"/>
      <w:szCs w:val="20"/>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5114">
    <w:name w:val="Light List - Accent 5114"/>
    <w:basedOn w:val="TableNormal"/>
    <w:next w:val="LightList-Accent5"/>
    <w:uiPriority w:val="61"/>
    <w:rsid w:val="00E84619"/>
    <w:pPr>
      <w:spacing w:after="0" w:line="240" w:lineRule="auto"/>
    </w:pPr>
    <w:rPr>
      <w:rFonts w:ascii="Times New Roman" w:eastAsia="Constantia" w:hAnsi="Times New Roman" w:cs="Times New Roman"/>
      <w:sz w:val="20"/>
      <w:szCs w:val="20"/>
    </w:rPr>
    <w:tblPr>
      <w:tblStyleRowBandSize w:val="1"/>
      <w:tblStyleColBandSize w:val="1"/>
      <w:tblBorders>
        <w:top w:val="single" w:sz="8" w:space="0" w:color="8FB08C"/>
        <w:left w:val="single" w:sz="8" w:space="0" w:color="8FB08C"/>
        <w:bottom w:val="single" w:sz="8" w:space="0" w:color="8FB08C"/>
        <w:right w:val="single" w:sz="8" w:space="0" w:color="8FB08C"/>
      </w:tblBorders>
    </w:tblPr>
    <w:tblStylePr w:type="firstRow">
      <w:pPr>
        <w:spacing w:before="0" w:after="0" w:line="240" w:lineRule="auto"/>
      </w:pPr>
      <w:rPr>
        <w:b/>
        <w:bCs/>
        <w:color w:val="FFFFFF"/>
      </w:rPr>
      <w:tblPr/>
      <w:tcPr>
        <w:shd w:val="clear" w:color="auto" w:fill="8FB08C"/>
      </w:tcPr>
    </w:tblStylePr>
    <w:tblStylePr w:type="lastRow">
      <w:pPr>
        <w:spacing w:before="0" w:after="0" w:line="240" w:lineRule="auto"/>
      </w:pPr>
      <w:rPr>
        <w:b/>
        <w:bCs/>
      </w:rPr>
      <w:tblPr/>
      <w:tcPr>
        <w:tcBorders>
          <w:top w:val="double" w:sz="6" w:space="0" w:color="8FB08C"/>
          <w:left w:val="single" w:sz="8" w:space="0" w:color="8FB08C"/>
          <w:bottom w:val="single" w:sz="8" w:space="0" w:color="8FB08C"/>
          <w:right w:val="single" w:sz="8" w:space="0" w:color="8FB08C"/>
        </w:tcBorders>
      </w:tcPr>
    </w:tblStylePr>
    <w:tblStylePr w:type="firstCol">
      <w:rPr>
        <w:b/>
        <w:bCs/>
      </w:rPr>
    </w:tblStylePr>
    <w:tblStylePr w:type="lastCol">
      <w:rPr>
        <w:b/>
        <w:bCs/>
      </w:rPr>
    </w:tblStylePr>
    <w:tblStylePr w:type="band1Vert">
      <w:tblPr/>
      <w:tcPr>
        <w:tcBorders>
          <w:top w:val="single" w:sz="8" w:space="0" w:color="8FB08C"/>
          <w:left w:val="single" w:sz="8" w:space="0" w:color="8FB08C"/>
          <w:bottom w:val="single" w:sz="8" w:space="0" w:color="8FB08C"/>
          <w:right w:val="single" w:sz="8" w:space="0" w:color="8FB08C"/>
        </w:tcBorders>
      </w:tcPr>
    </w:tblStylePr>
    <w:tblStylePr w:type="band1Horz">
      <w:tblPr/>
      <w:tcPr>
        <w:tcBorders>
          <w:top w:val="single" w:sz="8" w:space="0" w:color="8FB08C"/>
          <w:left w:val="single" w:sz="8" w:space="0" w:color="8FB08C"/>
          <w:bottom w:val="single" w:sz="8" w:space="0" w:color="8FB08C"/>
          <w:right w:val="single" w:sz="8" w:space="0" w:color="8FB08C"/>
        </w:tcBorders>
      </w:tcPr>
    </w:tblStylePr>
  </w:style>
  <w:style w:type="table" w:customStyle="1" w:styleId="LightGrid-Accent5115">
    <w:name w:val="Light Grid - Accent 5115"/>
    <w:basedOn w:val="TableNormal"/>
    <w:next w:val="LightGrid-Accent5"/>
    <w:uiPriority w:val="62"/>
    <w:rsid w:val="00E84619"/>
    <w:pPr>
      <w:spacing w:after="0" w:line="240" w:lineRule="auto"/>
      <w:jc w:val="both"/>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Tahoma" w:eastAsia="Times New Roman" w:hAnsi="Tahom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Tahoma" w:eastAsia="Times New Roman" w:hAnsi="Tahom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Tahoma" w:eastAsia="Times New Roman" w:hAnsi="Tahoma" w:cs="Times New Roman"/>
        <w:b/>
        <w:bCs/>
      </w:rPr>
    </w:tblStylePr>
    <w:tblStylePr w:type="lastCol">
      <w:rPr>
        <w:rFonts w:ascii="Tahoma" w:eastAsia="Times New Roman" w:hAnsi="Tahom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1114">
    <w:name w:val="Светло сенчење – наглашавање 1114"/>
    <w:basedOn w:val="TableNormal"/>
    <w:uiPriority w:val="60"/>
    <w:rsid w:val="00E84619"/>
    <w:pPr>
      <w:spacing w:after="0" w:line="240" w:lineRule="auto"/>
      <w:jc w:val="both"/>
    </w:pPr>
    <w:rPr>
      <w:rFonts w:ascii="Calibri" w:eastAsia="Calibri" w:hAnsi="Calibri" w:cs="Times New Roman"/>
      <w:color w:val="365F91"/>
      <w:sz w:val="20"/>
      <w:szCs w:val="20"/>
      <w:lang w:val="sr-Latn-CS" w:eastAsia="en-GB"/>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Grid-Accent525">
    <w:name w:val="Light Grid - Accent 525"/>
    <w:basedOn w:val="TableNormal"/>
    <w:next w:val="LightGrid-Accent5"/>
    <w:uiPriority w:val="62"/>
    <w:rsid w:val="00E84619"/>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Tahoma" w:eastAsia="Times New Roman" w:hAnsi="Tahoma"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Tahoma" w:eastAsia="Times New Roman" w:hAnsi="Tahoma"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Tahoma" w:eastAsia="Times New Roman" w:hAnsi="Tahoma" w:cs="Times New Roman"/>
        <w:b/>
        <w:bCs/>
      </w:rPr>
    </w:tblStylePr>
    <w:tblStylePr w:type="lastCol">
      <w:rPr>
        <w:rFonts w:ascii="Tahoma" w:eastAsia="Times New Roman" w:hAnsi="Tahoma"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Shading-Accent1214">
    <w:name w:val="Light Shading - Accent 1214"/>
    <w:basedOn w:val="TableNormal"/>
    <w:uiPriority w:val="60"/>
    <w:rsid w:val="00E84619"/>
    <w:pPr>
      <w:spacing w:after="0" w:line="240" w:lineRule="auto"/>
    </w:pPr>
    <w:rPr>
      <w:rFonts w:ascii="Calibri" w:eastAsia="Calibri" w:hAnsi="Calibri" w:cs="Times New Roman"/>
      <w:color w:val="A8422A"/>
      <w:sz w:val="20"/>
      <w:szCs w:val="20"/>
      <w:lang w:val="en-GB" w:eastAsia="sr-Cyrl-CS"/>
    </w:rPr>
    <w:tblPr>
      <w:tblStyleRowBandSize w:val="1"/>
      <w:tblStyleColBandSize w:val="1"/>
      <w:tblBorders>
        <w:top w:val="single" w:sz="8" w:space="0" w:color="D16349"/>
        <w:bottom w:val="single" w:sz="8" w:space="0" w:color="D16349"/>
      </w:tblBorders>
    </w:tblPr>
    <w:tblStylePr w:type="fir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la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D8D2"/>
      </w:tcPr>
    </w:tblStylePr>
    <w:tblStylePr w:type="band1Horz">
      <w:tblPr/>
      <w:tcPr>
        <w:tcBorders>
          <w:left w:val="nil"/>
          <w:right w:val="nil"/>
          <w:insideH w:val="nil"/>
          <w:insideV w:val="nil"/>
        </w:tcBorders>
        <w:shd w:val="clear" w:color="auto" w:fill="F3D8D2"/>
      </w:tcPr>
    </w:tblStylePr>
  </w:style>
  <w:style w:type="table" w:customStyle="1" w:styleId="LightList-Accent31124">
    <w:name w:val="Light List - Accent 31124"/>
    <w:basedOn w:val="TableNormal"/>
    <w:next w:val="LightList-Accent3"/>
    <w:uiPriority w:val="61"/>
    <w:rsid w:val="00E84619"/>
    <w:pPr>
      <w:spacing w:after="0" w:line="240" w:lineRule="auto"/>
    </w:pPr>
    <w:rPr>
      <w:rFonts w:ascii="Constantia" w:eastAsia="Constantia" w:hAnsi="Constantia" w:cs="Times New Roman"/>
      <w:sz w:val="20"/>
      <w:szCs w:val="20"/>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Shading-Accent1124">
    <w:name w:val="Light Shading - Accent 1124"/>
    <w:basedOn w:val="TableNormal"/>
    <w:uiPriority w:val="60"/>
    <w:rsid w:val="00E84619"/>
    <w:pPr>
      <w:spacing w:after="0" w:line="240" w:lineRule="auto"/>
      <w:ind w:left="568" w:hanging="284"/>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34">
    <w:name w:val="Light Shading - Accent 1134"/>
    <w:basedOn w:val="TableNormal"/>
    <w:uiPriority w:val="60"/>
    <w:rsid w:val="00E84619"/>
    <w:pPr>
      <w:spacing w:after="0" w:line="240" w:lineRule="auto"/>
      <w:ind w:left="568" w:hanging="284"/>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tabele324">
    <w:name w:val="tabele 324"/>
    <w:basedOn w:val="TableNormal"/>
    <w:next w:val="LightList-Accent3"/>
    <w:uiPriority w:val="61"/>
    <w:rsid w:val="00E84619"/>
    <w:pPr>
      <w:spacing w:after="0" w:line="240" w:lineRule="auto"/>
    </w:pPr>
    <w:rPr>
      <w:rFonts w:ascii="Cambria Math" w:eastAsia="Calibri" w:hAnsi="Cambria Math" w:cs="Times New Roman"/>
      <w:sz w:val="18"/>
      <w:szCs w:val="20"/>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LightShading-Accent1144">
    <w:name w:val="Light Shading - Accent 1144"/>
    <w:basedOn w:val="TableNormal"/>
    <w:uiPriority w:val="60"/>
    <w:rsid w:val="00E84619"/>
    <w:pPr>
      <w:spacing w:after="0" w:line="240" w:lineRule="auto"/>
      <w:ind w:left="568" w:hanging="284"/>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339">
    <w:name w:val="Light Shading - Accent 339"/>
    <w:basedOn w:val="TableNormal"/>
    <w:next w:val="LightShading-Accent3"/>
    <w:uiPriority w:val="60"/>
    <w:rsid w:val="00E84619"/>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Shading-Accent3124">
    <w:name w:val="Light Shading - Accent 3124"/>
    <w:basedOn w:val="TableNormal"/>
    <w:next w:val="LightShading-Accent3"/>
    <w:uiPriority w:val="60"/>
    <w:rsid w:val="00E84619"/>
    <w:pPr>
      <w:spacing w:after="0" w:line="240" w:lineRule="auto"/>
    </w:pPr>
    <w:rPr>
      <w:rFonts w:ascii="Constantia" w:eastAsia="Constantia" w:hAnsi="Constantia" w:cs="Times New Roman"/>
      <w:color w:val="8CADAE"/>
      <w:sz w:val="20"/>
      <w:szCs w:val="20"/>
    </w:rPr>
    <w:tblPr>
      <w:tblStyleRowBandSize w:val="1"/>
      <w:tblStyleColBandSize w:val="1"/>
      <w:tblBorders>
        <w:top w:val="single" w:sz="8" w:space="0" w:color="8CADAE"/>
        <w:bottom w:val="single" w:sz="8" w:space="0" w:color="8CADAE"/>
      </w:tblBorders>
    </w:tblPr>
    <w:tblStylePr w:type="fir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la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2EAEB"/>
      </w:tcPr>
    </w:tblStylePr>
    <w:tblStylePr w:type="band1Horz">
      <w:tblPr/>
      <w:tcPr>
        <w:tcBorders>
          <w:left w:val="nil"/>
          <w:right w:val="nil"/>
          <w:insideH w:val="nil"/>
          <w:insideV w:val="nil"/>
        </w:tcBorders>
        <w:shd w:val="clear" w:color="auto" w:fill="E2EAEB"/>
      </w:tcPr>
    </w:tblStylePr>
  </w:style>
  <w:style w:type="table" w:customStyle="1" w:styleId="LightList-Accent3134">
    <w:name w:val="Light List - Accent 3134"/>
    <w:basedOn w:val="TableNormal"/>
    <w:next w:val="LightList-Accent3"/>
    <w:uiPriority w:val="61"/>
    <w:rsid w:val="00E84619"/>
    <w:pPr>
      <w:spacing w:after="0" w:line="240" w:lineRule="auto"/>
    </w:pPr>
    <w:rPr>
      <w:rFonts w:ascii="Constantia" w:eastAsia="Constantia" w:hAnsi="Constantia" w:cs="Times New Roman"/>
      <w:sz w:val="20"/>
      <w:szCs w:val="20"/>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5124">
    <w:name w:val="Light List - Accent 5124"/>
    <w:basedOn w:val="TableNormal"/>
    <w:next w:val="LightList-Accent5"/>
    <w:uiPriority w:val="61"/>
    <w:rsid w:val="00E84619"/>
    <w:pPr>
      <w:spacing w:after="0" w:line="240" w:lineRule="auto"/>
    </w:pPr>
    <w:rPr>
      <w:rFonts w:ascii="Times New Roman" w:eastAsia="Constantia" w:hAnsi="Times New Roman" w:cs="Times New Roman"/>
      <w:sz w:val="20"/>
      <w:szCs w:val="20"/>
    </w:rPr>
    <w:tblPr>
      <w:tblStyleRowBandSize w:val="1"/>
      <w:tblStyleColBandSize w:val="1"/>
      <w:tblBorders>
        <w:top w:val="single" w:sz="8" w:space="0" w:color="8FB08C"/>
        <w:left w:val="single" w:sz="8" w:space="0" w:color="8FB08C"/>
        <w:bottom w:val="single" w:sz="8" w:space="0" w:color="8FB08C"/>
        <w:right w:val="single" w:sz="8" w:space="0" w:color="8FB08C"/>
      </w:tblBorders>
    </w:tblPr>
    <w:tblStylePr w:type="firstRow">
      <w:pPr>
        <w:spacing w:before="0" w:after="0" w:line="240" w:lineRule="auto"/>
      </w:pPr>
      <w:rPr>
        <w:b/>
        <w:bCs/>
        <w:color w:val="FFFFFF"/>
      </w:rPr>
      <w:tblPr/>
      <w:tcPr>
        <w:shd w:val="clear" w:color="auto" w:fill="8FB08C"/>
      </w:tcPr>
    </w:tblStylePr>
    <w:tblStylePr w:type="lastRow">
      <w:pPr>
        <w:spacing w:before="0" w:after="0" w:line="240" w:lineRule="auto"/>
      </w:pPr>
      <w:rPr>
        <w:b/>
        <w:bCs/>
      </w:rPr>
      <w:tblPr/>
      <w:tcPr>
        <w:tcBorders>
          <w:top w:val="double" w:sz="6" w:space="0" w:color="8FB08C"/>
          <w:left w:val="single" w:sz="8" w:space="0" w:color="8FB08C"/>
          <w:bottom w:val="single" w:sz="8" w:space="0" w:color="8FB08C"/>
          <w:right w:val="single" w:sz="8" w:space="0" w:color="8FB08C"/>
        </w:tcBorders>
      </w:tcPr>
    </w:tblStylePr>
    <w:tblStylePr w:type="firstCol">
      <w:rPr>
        <w:b/>
        <w:bCs/>
      </w:rPr>
    </w:tblStylePr>
    <w:tblStylePr w:type="lastCol">
      <w:rPr>
        <w:b/>
        <w:bCs/>
      </w:rPr>
    </w:tblStylePr>
    <w:tblStylePr w:type="band1Vert">
      <w:tblPr/>
      <w:tcPr>
        <w:tcBorders>
          <w:top w:val="single" w:sz="8" w:space="0" w:color="8FB08C"/>
          <w:left w:val="single" w:sz="8" w:space="0" w:color="8FB08C"/>
          <w:bottom w:val="single" w:sz="8" w:space="0" w:color="8FB08C"/>
          <w:right w:val="single" w:sz="8" w:space="0" w:color="8FB08C"/>
        </w:tcBorders>
      </w:tcPr>
    </w:tblStylePr>
    <w:tblStylePr w:type="band1Horz">
      <w:tblPr/>
      <w:tcPr>
        <w:tcBorders>
          <w:top w:val="single" w:sz="8" w:space="0" w:color="8FB08C"/>
          <w:left w:val="single" w:sz="8" w:space="0" w:color="8FB08C"/>
          <w:bottom w:val="single" w:sz="8" w:space="0" w:color="8FB08C"/>
          <w:right w:val="single" w:sz="8" w:space="0" w:color="8FB08C"/>
        </w:tcBorders>
      </w:tcPr>
    </w:tblStylePr>
  </w:style>
  <w:style w:type="table" w:customStyle="1" w:styleId="LightGrid-Accent5125">
    <w:name w:val="Light Grid - Accent 5125"/>
    <w:basedOn w:val="TableNormal"/>
    <w:next w:val="LightGrid-Accent5"/>
    <w:uiPriority w:val="62"/>
    <w:rsid w:val="00E84619"/>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onstantia" w:eastAsia="Times New Roman" w:hAnsi="Constant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onstantia" w:eastAsia="Times New Roman" w:hAnsi="Constant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onstantia" w:eastAsia="Times New Roman" w:hAnsi="Constantia" w:cs="Times New Roman"/>
        <w:b/>
        <w:bCs/>
      </w:rPr>
    </w:tblStylePr>
    <w:tblStylePr w:type="lastCol">
      <w:rPr>
        <w:rFonts w:ascii="Constantia" w:eastAsia="Times New Roman" w:hAnsi="Constant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535">
    <w:name w:val="Light Grid - Accent 535"/>
    <w:basedOn w:val="TableNormal"/>
    <w:next w:val="LightGrid-Accent5"/>
    <w:uiPriority w:val="62"/>
    <w:rsid w:val="00E84619"/>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Constantia" w:eastAsia="Times New Roman" w:hAnsi="Constantia"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Constantia" w:eastAsia="Times New Roman" w:hAnsi="Constantia"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Constantia" w:eastAsia="Times New Roman" w:hAnsi="Constantia" w:cs="Times New Roman"/>
        <w:b/>
        <w:bCs/>
      </w:rPr>
    </w:tblStylePr>
    <w:tblStylePr w:type="lastCol">
      <w:rPr>
        <w:rFonts w:ascii="Constantia" w:eastAsia="Times New Roman" w:hAnsi="Constantia"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Shading-Accent1154">
    <w:name w:val="Light Shading - Accent 1154"/>
    <w:basedOn w:val="TableNormal"/>
    <w:uiPriority w:val="60"/>
    <w:rsid w:val="00E84619"/>
    <w:pPr>
      <w:spacing w:after="0" w:line="240" w:lineRule="auto"/>
      <w:ind w:left="568" w:hanging="284"/>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65">
    <w:name w:val="Light Shading - Accent 1165"/>
    <w:basedOn w:val="TableNormal"/>
    <w:uiPriority w:val="60"/>
    <w:rsid w:val="00E84619"/>
    <w:pPr>
      <w:spacing w:after="0" w:line="240" w:lineRule="auto"/>
      <w:ind w:left="568" w:hanging="284"/>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tabele334">
    <w:name w:val="tabele 334"/>
    <w:basedOn w:val="TableNormal"/>
    <w:next w:val="LightList-Accent3"/>
    <w:uiPriority w:val="61"/>
    <w:rsid w:val="00E84619"/>
    <w:pPr>
      <w:spacing w:after="0" w:line="240" w:lineRule="auto"/>
    </w:pPr>
    <w:rPr>
      <w:rFonts w:ascii="Cambria Math" w:eastAsia="Calibri" w:hAnsi="Cambria Math" w:cs="Times New Roman"/>
      <w:sz w:val="18"/>
      <w:szCs w:val="20"/>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LightShading-Accent1174">
    <w:name w:val="Light Shading - Accent 1174"/>
    <w:basedOn w:val="TableNormal"/>
    <w:uiPriority w:val="60"/>
    <w:rsid w:val="00E84619"/>
    <w:pPr>
      <w:spacing w:after="0" w:line="240" w:lineRule="auto"/>
      <w:ind w:left="568" w:hanging="284"/>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3134">
    <w:name w:val="Light Shading - Accent 3134"/>
    <w:basedOn w:val="TableNormal"/>
    <w:next w:val="LightShading-Accent3"/>
    <w:uiPriority w:val="60"/>
    <w:rsid w:val="00E84619"/>
    <w:pPr>
      <w:spacing w:after="0" w:line="240" w:lineRule="auto"/>
    </w:pPr>
    <w:rPr>
      <w:rFonts w:ascii="Constantia" w:eastAsia="Constantia" w:hAnsi="Constantia" w:cs="Times New Roman"/>
      <w:color w:val="8CADAE"/>
      <w:sz w:val="20"/>
      <w:szCs w:val="20"/>
    </w:rPr>
    <w:tblPr>
      <w:tblStyleRowBandSize w:val="1"/>
      <w:tblStyleColBandSize w:val="1"/>
      <w:tblBorders>
        <w:top w:val="single" w:sz="8" w:space="0" w:color="8CADAE"/>
        <w:bottom w:val="single" w:sz="8" w:space="0" w:color="8CADAE"/>
      </w:tblBorders>
    </w:tblPr>
    <w:tblStylePr w:type="fir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la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2EAEB"/>
      </w:tcPr>
    </w:tblStylePr>
    <w:tblStylePr w:type="band1Horz">
      <w:tblPr/>
      <w:tcPr>
        <w:tcBorders>
          <w:left w:val="nil"/>
          <w:right w:val="nil"/>
          <w:insideH w:val="nil"/>
          <w:insideV w:val="nil"/>
        </w:tcBorders>
        <w:shd w:val="clear" w:color="auto" w:fill="E2EAEB"/>
      </w:tcPr>
    </w:tblStylePr>
  </w:style>
  <w:style w:type="table" w:customStyle="1" w:styleId="LightList-Accent3144">
    <w:name w:val="Light List - Accent 3144"/>
    <w:basedOn w:val="TableNormal"/>
    <w:next w:val="LightList-Accent3"/>
    <w:uiPriority w:val="61"/>
    <w:rsid w:val="00E84619"/>
    <w:pPr>
      <w:spacing w:after="0" w:line="240" w:lineRule="auto"/>
    </w:pPr>
    <w:rPr>
      <w:rFonts w:ascii="Constantia" w:eastAsia="Constantia" w:hAnsi="Constantia" w:cs="Times New Roman"/>
      <w:sz w:val="20"/>
      <w:szCs w:val="20"/>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5134">
    <w:name w:val="Light List - Accent 5134"/>
    <w:basedOn w:val="TableNormal"/>
    <w:next w:val="LightList-Accent5"/>
    <w:uiPriority w:val="61"/>
    <w:rsid w:val="00E84619"/>
    <w:pPr>
      <w:spacing w:after="0" w:line="240" w:lineRule="auto"/>
    </w:pPr>
    <w:rPr>
      <w:rFonts w:ascii="Times New Roman" w:eastAsia="Constantia" w:hAnsi="Times New Roman" w:cs="Times New Roman"/>
      <w:sz w:val="20"/>
      <w:szCs w:val="20"/>
    </w:rPr>
    <w:tblPr>
      <w:tblStyleRowBandSize w:val="1"/>
      <w:tblStyleColBandSize w:val="1"/>
      <w:tblBorders>
        <w:top w:val="single" w:sz="8" w:space="0" w:color="8FB08C"/>
        <w:left w:val="single" w:sz="8" w:space="0" w:color="8FB08C"/>
        <w:bottom w:val="single" w:sz="8" w:space="0" w:color="8FB08C"/>
        <w:right w:val="single" w:sz="8" w:space="0" w:color="8FB08C"/>
      </w:tblBorders>
    </w:tblPr>
    <w:tblStylePr w:type="firstRow">
      <w:pPr>
        <w:spacing w:before="0" w:after="0" w:line="240" w:lineRule="auto"/>
      </w:pPr>
      <w:rPr>
        <w:b/>
        <w:bCs/>
        <w:color w:val="FFFFFF"/>
      </w:rPr>
      <w:tblPr/>
      <w:tcPr>
        <w:shd w:val="clear" w:color="auto" w:fill="8FB08C"/>
      </w:tcPr>
    </w:tblStylePr>
    <w:tblStylePr w:type="lastRow">
      <w:pPr>
        <w:spacing w:before="0" w:after="0" w:line="240" w:lineRule="auto"/>
      </w:pPr>
      <w:rPr>
        <w:b/>
        <w:bCs/>
      </w:rPr>
      <w:tblPr/>
      <w:tcPr>
        <w:tcBorders>
          <w:top w:val="double" w:sz="6" w:space="0" w:color="8FB08C"/>
          <w:left w:val="single" w:sz="8" w:space="0" w:color="8FB08C"/>
          <w:bottom w:val="single" w:sz="8" w:space="0" w:color="8FB08C"/>
          <w:right w:val="single" w:sz="8" w:space="0" w:color="8FB08C"/>
        </w:tcBorders>
      </w:tcPr>
    </w:tblStylePr>
    <w:tblStylePr w:type="firstCol">
      <w:rPr>
        <w:b/>
        <w:bCs/>
      </w:rPr>
    </w:tblStylePr>
    <w:tblStylePr w:type="lastCol">
      <w:rPr>
        <w:b/>
        <w:bCs/>
      </w:rPr>
    </w:tblStylePr>
    <w:tblStylePr w:type="band1Vert">
      <w:tblPr/>
      <w:tcPr>
        <w:tcBorders>
          <w:top w:val="single" w:sz="8" w:space="0" w:color="8FB08C"/>
          <w:left w:val="single" w:sz="8" w:space="0" w:color="8FB08C"/>
          <w:bottom w:val="single" w:sz="8" w:space="0" w:color="8FB08C"/>
          <w:right w:val="single" w:sz="8" w:space="0" w:color="8FB08C"/>
        </w:tcBorders>
      </w:tcPr>
    </w:tblStylePr>
    <w:tblStylePr w:type="band1Horz">
      <w:tblPr/>
      <w:tcPr>
        <w:tcBorders>
          <w:top w:val="single" w:sz="8" w:space="0" w:color="8FB08C"/>
          <w:left w:val="single" w:sz="8" w:space="0" w:color="8FB08C"/>
          <w:bottom w:val="single" w:sz="8" w:space="0" w:color="8FB08C"/>
          <w:right w:val="single" w:sz="8" w:space="0" w:color="8FB08C"/>
        </w:tcBorders>
      </w:tcPr>
    </w:tblStylePr>
  </w:style>
  <w:style w:type="table" w:customStyle="1" w:styleId="LightGrid-Accent5135">
    <w:name w:val="Light Grid - Accent 5135"/>
    <w:basedOn w:val="TableNormal"/>
    <w:next w:val="LightGrid-Accent5"/>
    <w:uiPriority w:val="62"/>
    <w:rsid w:val="00E84619"/>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onstantia" w:eastAsia="Times New Roman" w:hAnsi="Constant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onstantia" w:eastAsia="Times New Roman" w:hAnsi="Constant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onstantia" w:eastAsia="Times New Roman" w:hAnsi="Constantia" w:cs="Times New Roman"/>
        <w:b/>
        <w:bCs/>
      </w:rPr>
    </w:tblStylePr>
    <w:tblStylePr w:type="lastCol">
      <w:rPr>
        <w:rFonts w:ascii="Constantia" w:eastAsia="Times New Roman" w:hAnsi="Constant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545">
    <w:name w:val="Light Grid - Accent 545"/>
    <w:basedOn w:val="TableNormal"/>
    <w:next w:val="LightGrid-Accent5"/>
    <w:uiPriority w:val="62"/>
    <w:rsid w:val="00E84619"/>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Constantia" w:eastAsia="Times New Roman" w:hAnsi="Constantia"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Constantia" w:eastAsia="Times New Roman" w:hAnsi="Constantia"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Constantia" w:eastAsia="Times New Roman" w:hAnsi="Constantia" w:cs="Times New Roman"/>
        <w:b/>
        <w:bCs/>
      </w:rPr>
    </w:tblStylePr>
    <w:tblStylePr w:type="lastCol">
      <w:rPr>
        <w:rFonts w:ascii="Constantia" w:eastAsia="Times New Roman" w:hAnsi="Constantia"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List-Accent31134">
    <w:name w:val="Light List - Accent 31134"/>
    <w:basedOn w:val="TableNormal"/>
    <w:next w:val="LightList-Accent3"/>
    <w:uiPriority w:val="61"/>
    <w:rsid w:val="00E84619"/>
    <w:pPr>
      <w:spacing w:after="0" w:line="240" w:lineRule="auto"/>
    </w:pPr>
    <w:rPr>
      <w:rFonts w:ascii="Constantia" w:eastAsia="Constantia" w:hAnsi="Constantia" w:cs="Times New Roman"/>
      <w:sz w:val="20"/>
      <w:szCs w:val="20"/>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Shading-Accent1184">
    <w:name w:val="Light Shading - Accent 1184"/>
    <w:basedOn w:val="TableNormal"/>
    <w:uiPriority w:val="60"/>
    <w:rsid w:val="00E84619"/>
    <w:pPr>
      <w:spacing w:after="0" w:line="240" w:lineRule="auto"/>
      <w:ind w:left="568" w:hanging="284"/>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614">
    <w:name w:val="Light Shading - Accent 11614"/>
    <w:basedOn w:val="TableNormal"/>
    <w:uiPriority w:val="60"/>
    <w:rsid w:val="00E84619"/>
    <w:pPr>
      <w:spacing w:after="0" w:line="240" w:lineRule="auto"/>
      <w:ind w:left="568" w:hanging="284"/>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7">
    <w:name w:val="Light Shading - Accent 17"/>
    <w:basedOn w:val="TableNormal"/>
    <w:next w:val="LightShading-Accent1"/>
    <w:uiPriority w:val="60"/>
    <w:rsid w:val="00E84619"/>
    <w:pPr>
      <w:spacing w:after="0" w:line="240" w:lineRule="auto"/>
    </w:pPr>
    <w:rPr>
      <w:rFonts w:ascii="Constantia" w:eastAsia="Constantia" w:hAnsi="Constantia"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numbering" w:customStyle="1" w:styleId="NoList6">
    <w:name w:val="No List6"/>
    <w:next w:val="NoList"/>
    <w:uiPriority w:val="99"/>
    <w:semiHidden/>
    <w:unhideWhenUsed/>
    <w:rsid w:val="00E84619"/>
  </w:style>
  <w:style w:type="table" w:customStyle="1" w:styleId="TableGrid33">
    <w:name w:val="Table Grid33"/>
    <w:basedOn w:val="TableNormal"/>
    <w:next w:val="TableGrid"/>
    <w:uiPriority w:val="39"/>
    <w:rsid w:val="00E84619"/>
    <w:pPr>
      <w:spacing w:after="0" w:line="240" w:lineRule="auto"/>
    </w:pPr>
    <w:rPr>
      <w:rFonts w:ascii="Constantia" w:eastAsia="Constantia" w:hAnsi="Constantia"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6Colorful-Accent517">
    <w:name w:val="Grid Table 6 Colorful - Accent 517"/>
    <w:basedOn w:val="TableNormal"/>
    <w:uiPriority w:val="51"/>
    <w:rsid w:val="00E84619"/>
    <w:pPr>
      <w:spacing w:after="0" w:line="240" w:lineRule="auto"/>
    </w:pPr>
    <w:rPr>
      <w:rFonts w:ascii="Constantia" w:eastAsia="Constantia" w:hAnsi="Constantia" w:cs="Times New Roman"/>
      <w:color w:val="2F5496" w:themeColor="accent5" w:themeShade="BF"/>
      <w:sz w:val="20"/>
      <w:szCs w:val="20"/>
    </w:r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4" w:space="0" w:color="8EAADB" w:themeColor="accent5" w:themeTint="99"/>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customStyle="1" w:styleId="GridTable7Colorful1">
    <w:name w:val="Grid Table 7 Colorful1"/>
    <w:basedOn w:val="TableNormal"/>
    <w:uiPriority w:val="52"/>
    <w:rsid w:val="00E84619"/>
    <w:pPr>
      <w:spacing w:after="0" w:line="240" w:lineRule="auto"/>
    </w:pPr>
    <w:rPr>
      <w:rFonts w:ascii="Constantia" w:eastAsia="Constantia" w:hAnsi="Constantia" w:cs="Times New Roman"/>
      <w:color w:val="000000" w:themeColor="text1"/>
      <w:sz w:val="20"/>
      <w:szCs w:val="20"/>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customStyle="1" w:styleId="PlainTable31">
    <w:name w:val="Plain Table 31"/>
    <w:basedOn w:val="TableNormal"/>
    <w:uiPriority w:val="43"/>
    <w:rsid w:val="00E84619"/>
    <w:pPr>
      <w:spacing w:after="0" w:line="240" w:lineRule="auto"/>
    </w:pPr>
    <w:rPr>
      <w:rFonts w:ascii="Constantia" w:eastAsia="Constantia" w:hAnsi="Constantia" w:cs="Times New Roman"/>
      <w:sz w:val="20"/>
      <w:szCs w:val="20"/>
    </w:r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customStyle="1" w:styleId="PlainTable51">
    <w:name w:val="Plain Table 51"/>
    <w:basedOn w:val="TableNormal"/>
    <w:uiPriority w:val="45"/>
    <w:rsid w:val="00E84619"/>
    <w:pPr>
      <w:spacing w:after="0" w:line="240" w:lineRule="auto"/>
    </w:pPr>
    <w:rPr>
      <w:rFonts w:ascii="Constantia" w:eastAsia="Constantia" w:hAnsi="Constantia" w:cs="Times New Roman"/>
      <w:sz w:val="20"/>
      <w:szCs w:val="20"/>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GridTable7Colorful-Accent31">
    <w:name w:val="Grid Table 7 Colorful - Accent 31"/>
    <w:basedOn w:val="TableNormal"/>
    <w:uiPriority w:val="52"/>
    <w:rsid w:val="00E84619"/>
    <w:pPr>
      <w:spacing w:after="0" w:line="240" w:lineRule="auto"/>
    </w:pPr>
    <w:rPr>
      <w:rFonts w:ascii="Constantia" w:eastAsia="Constantia" w:hAnsi="Constantia" w:cs="Times New Roman"/>
      <w:color w:val="7B7B7B" w:themeColor="accent3" w:themeShade="BF"/>
      <w:sz w:val="20"/>
      <w:szCs w:val="20"/>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DEDED" w:themeFill="accent3" w:themeFillTint="33"/>
      </w:tcPr>
    </w:tblStylePr>
    <w:tblStylePr w:type="band1Horz">
      <w:tblPr/>
      <w:tcPr>
        <w:shd w:val="clear" w:color="auto" w:fill="EDEDED" w:themeFill="accent3" w:themeFillTint="33"/>
      </w:tcPr>
    </w:tblStylePr>
    <w:tblStylePr w:type="neCell">
      <w:tblPr/>
      <w:tcPr>
        <w:tcBorders>
          <w:bottom w:val="single" w:sz="4" w:space="0" w:color="C9C9C9" w:themeColor="accent3" w:themeTint="99"/>
        </w:tcBorders>
      </w:tcPr>
    </w:tblStylePr>
    <w:tblStylePr w:type="nwCell">
      <w:tblPr/>
      <w:tcPr>
        <w:tcBorders>
          <w:bottom w:val="single" w:sz="4" w:space="0" w:color="C9C9C9" w:themeColor="accent3" w:themeTint="99"/>
        </w:tcBorders>
      </w:tcPr>
    </w:tblStylePr>
    <w:tblStylePr w:type="seCell">
      <w:tblPr/>
      <w:tcPr>
        <w:tcBorders>
          <w:top w:val="single" w:sz="4" w:space="0" w:color="C9C9C9" w:themeColor="accent3" w:themeTint="99"/>
        </w:tcBorders>
      </w:tcPr>
    </w:tblStylePr>
    <w:tblStylePr w:type="swCell">
      <w:tblPr/>
      <w:tcPr>
        <w:tcBorders>
          <w:top w:val="single" w:sz="4" w:space="0" w:color="C9C9C9" w:themeColor="accent3" w:themeTint="99"/>
        </w:tcBorders>
      </w:tcPr>
    </w:tblStylePr>
  </w:style>
  <w:style w:type="table" w:customStyle="1" w:styleId="GridTable21">
    <w:name w:val="Grid Table 21"/>
    <w:basedOn w:val="TableNormal"/>
    <w:uiPriority w:val="47"/>
    <w:rsid w:val="00E84619"/>
    <w:pPr>
      <w:spacing w:after="0" w:line="240" w:lineRule="auto"/>
    </w:pPr>
    <w:rPr>
      <w:rFonts w:ascii="Constantia" w:eastAsia="Constantia" w:hAnsi="Constantia" w:cs="Times New Roman"/>
      <w:sz w:val="20"/>
      <w:szCs w:val="20"/>
    </w:r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customStyle="1" w:styleId="DecimalAligned">
    <w:name w:val="Decimal Aligned"/>
    <w:basedOn w:val="Normal"/>
    <w:uiPriority w:val="40"/>
    <w:qFormat/>
    <w:rsid w:val="00E84619"/>
    <w:pPr>
      <w:tabs>
        <w:tab w:val="decimal" w:pos="360"/>
      </w:tabs>
      <w:spacing w:after="200" w:line="276" w:lineRule="auto"/>
    </w:pPr>
    <w:rPr>
      <w:rFonts w:ascii="Calibri" w:eastAsia="Calibri" w:hAnsi="Calibri" w:cs="Times New Roman"/>
      <w:lang w:eastAsia="ja-JP"/>
    </w:rPr>
  </w:style>
  <w:style w:type="numbering" w:customStyle="1" w:styleId="NoList7">
    <w:name w:val="No List7"/>
    <w:next w:val="NoList"/>
    <w:uiPriority w:val="99"/>
    <w:semiHidden/>
    <w:unhideWhenUsed/>
    <w:rsid w:val="00E84619"/>
  </w:style>
  <w:style w:type="table" w:customStyle="1" w:styleId="LightShading-Accent353">
    <w:name w:val="Light Shading - Accent 353"/>
    <w:basedOn w:val="TableNormal"/>
    <w:next w:val="LightShading-Accent3"/>
    <w:uiPriority w:val="60"/>
    <w:rsid w:val="00E84619"/>
    <w:pPr>
      <w:spacing w:after="0" w:line="240" w:lineRule="auto"/>
    </w:pPr>
    <w:rPr>
      <w:rFonts w:ascii="Calibri" w:eastAsia="Calibri" w:hAnsi="Calibri" w:cs="Times New Roman"/>
      <w:color w:val="76923C"/>
      <w:lang w:val="sr-Latn-RS"/>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21">
    <w:name w:val="21"/>
    <w:basedOn w:val="TableNormal"/>
    <w:rsid w:val="00E84619"/>
    <w:pPr>
      <w:contextualSpacing/>
    </w:pPr>
    <w:rPr>
      <w:rFonts w:ascii="Calibri" w:eastAsia="Calibri" w:hAnsi="Calibri" w:cs="Calibri"/>
      <w:color w:val="000000"/>
    </w:rPr>
    <w:tblPr>
      <w:tblStyleRowBandSize w:val="1"/>
      <w:tblStyleColBandSize w:val="1"/>
      <w:tblCellMar>
        <w:left w:w="115" w:type="dxa"/>
        <w:right w:w="115" w:type="dxa"/>
      </w:tblCellMar>
    </w:tblPr>
  </w:style>
  <w:style w:type="table" w:customStyle="1" w:styleId="20">
    <w:name w:val="20"/>
    <w:basedOn w:val="TableNormal"/>
    <w:rsid w:val="00E84619"/>
    <w:pPr>
      <w:spacing w:after="0" w:line="240" w:lineRule="auto"/>
    </w:pPr>
    <w:rPr>
      <w:rFonts w:ascii="Calibri" w:eastAsia="Calibri" w:hAnsi="Calibri" w:cs="Calibri"/>
      <w:color w:val="000000"/>
    </w:rPr>
    <w:tblPr>
      <w:tblStyleRowBandSize w:val="1"/>
      <w:tblStyleColBandSize w:val="1"/>
      <w:tblCellMar>
        <w:left w:w="115" w:type="dxa"/>
        <w:right w:w="115" w:type="dxa"/>
      </w:tblCellMar>
    </w:tblPr>
  </w:style>
  <w:style w:type="table" w:customStyle="1" w:styleId="19">
    <w:name w:val="19"/>
    <w:basedOn w:val="TableNormal"/>
    <w:rsid w:val="00E84619"/>
    <w:pPr>
      <w:contextualSpacing/>
    </w:pPr>
    <w:rPr>
      <w:rFonts w:ascii="Calibri" w:eastAsia="Calibri" w:hAnsi="Calibri" w:cs="Calibri"/>
      <w:color w:val="000000"/>
    </w:rPr>
    <w:tblPr>
      <w:tblStyleRowBandSize w:val="1"/>
      <w:tblStyleColBandSize w:val="1"/>
      <w:tblCellMar>
        <w:left w:w="115" w:type="dxa"/>
        <w:right w:w="115" w:type="dxa"/>
      </w:tblCellMar>
    </w:tblPr>
  </w:style>
  <w:style w:type="table" w:customStyle="1" w:styleId="18">
    <w:name w:val="18"/>
    <w:basedOn w:val="TableNormal"/>
    <w:rsid w:val="00E84619"/>
    <w:pPr>
      <w:contextualSpacing/>
    </w:pPr>
    <w:rPr>
      <w:rFonts w:ascii="Calibri" w:eastAsia="Calibri" w:hAnsi="Calibri" w:cs="Calibri"/>
      <w:color w:val="000000"/>
    </w:rPr>
    <w:tblPr>
      <w:tblStyleRowBandSize w:val="1"/>
      <w:tblStyleColBandSize w:val="1"/>
      <w:tblCellMar>
        <w:left w:w="115" w:type="dxa"/>
        <w:right w:w="115" w:type="dxa"/>
      </w:tblCellMar>
    </w:tblPr>
  </w:style>
  <w:style w:type="table" w:customStyle="1" w:styleId="17">
    <w:name w:val="17"/>
    <w:basedOn w:val="TableNormal"/>
    <w:rsid w:val="00E84619"/>
    <w:pPr>
      <w:contextualSpacing/>
    </w:pPr>
    <w:rPr>
      <w:rFonts w:ascii="Calibri" w:eastAsia="Calibri" w:hAnsi="Calibri" w:cs="Calibri"/>
      <w:color w:val="000000"/>
    </w:rPr>
    <w:tblPr>
      <w:tblStyleRowBandSize w:val="1"/>
      <w:tblStyleColBandSize w:val="1"/>
      <w:tblCellMar>
        <w:left w:w="115" w:type="dxa"/>
        <w:right w:w="115" w:type="dxa"/>
      </w:tblCellMar>
    </w:tblPr>
  </w:style>
  <w:style w:type="table" w:customStyle="1" w:styleId="16">
    <w:name w:val="16"/>
    <w:basedOn w:val="TableNormal"/>
    <w:rsid w:val="00E84619"/>
    <w:pPr>
      <w:contextualSpacing/>
    </w:pPr>
    <w:rPr>
      <w:rFonts w:ascii="Calibri" w:eastAsia="Calibri" w:hAnsi="Calibri" w:cs="Calibri"/>
      <w:color w:val="000000"/>
    </w:rPr>
    <w:tblPr>
      <w:tblStyleRowBandSize w:val="1"/>
      <w:tblStyleColBandSize w:val="1"/>
      <w:tblCellMar>
        <w:left w:w="115" w:type="dxa"/>
        <w:right w:w="115" w:type="dxa"/>
      </w:tblCellMar>
    </w:tblPr>
  </w:style>
  <w:style w:type="table" w:customStyle="1" w:styleId="15">
    <w:name w:val="15"/>
    <w:basedOn w:val="TableNormal"/>
    <w:rsid w:val="00E84619"/>
    <w:pPr>
      <w:contextualSpacing/>
    </w:pPr>
    <w:rPr>
      <w:rFonts w:ascii="Calibri" w:eastAsia="Calibri" w:hAnsi="Calibri" w:cs="Calibri"/>
      <w:color w:val="000000"/>
    </w:rPr>
    <w:tblPr>
      <w:tblStyleRowBandSize w:val="1"/>
      <w:tblStyleColBandSize w:val="1"/>
      <w:tblCellMar>
        <w:left w:w="115" w:type="dxa"/>
        <w:right w:w="115" w:type="dxa"/>
      </w:tblCellMar>
    </w:tblPr>
  </w:style>
  <w:style w:type="table" w:customStyle="1" w:styleId="14">
    <w:name w:val="14"/>
    <w:basedOn w:val="TableNormal"/>
    <w:rsid w:val="00E84619"/>
    <w:pPr>
      <w:contextualSpacing/>
    </w:pPr>
    <w:rPr>
      <w:rFonts w:ascii="Calibri" w:eastAsia="Calibri" w:hAnsi="Calibri" w:cs="Calibri"/>
      <w:color w:val="000000"/>
    </w:rPr>
    <w:tblPr>
      <w:tblStyleRowBandSize w:val="1"/>
      <w:tblStyleColBandSize w:val="1"/>
      <w:tblCellMar>
        <w:left w:w="115" w:type="dxa"/>
        <w:right w:w="115" w:type="dxa"/>
      </w:tblCellMar>
    </w:tblPr>
  </w:style>
  <w:style w:type="table" w:customStyle="1" w:styleId="13">
    <w:name w:val="13"/>
    <w:basedOn w:val="TableNormal"/>
    <w:rsid w:val="00E84619"/>
    <w:pPr>
      <w:contextualSpacing/>
    </w:pPr>
    <w:rPr>
      <w:rFonts w:ascii="Calibri" w:eastAsia="Calibri" w:hAnsi="Calibri" w:cs="Calibri"/>
      <w:color w:val="000000"/>
    </w:rPr>
    <w:tblPr>
      <w:tblStyleRowBandSize w:val="1"/>
      <w:tblStyleColBandSize w:val="1"/>
      <w:tblCellMar>
        <w:left w:w="115" w:type="dxa"/>
        <w:right w:w="115" w:type="dxa"/>
      </w:tblCellMar>
    </w:tblPr>
  </w:style>
  <w:style w:type="table" w:customStyle="1" w:styleId="120">
    <w:name w:val="12"/>
    <w:basedOn w:val="TableNormal"/>
    <w:rsid w:val="00E84619"/>
    <w:pPr>
      <w:contextualSpacing/>
    </w:pPr>
    <w:rPr>
      <w:rFonts w:ascii="Calibri" w:eastAsia="Calibri" w:hAnsi="Calibri" w:cs="Calibri"/>
      <w:color w:val="000000"/>
    </w:rPr>
    <w:tblPr>
      <w:tblStyleRowBandSize w:val="1"/>
      <w:tblStyleColBandSize w:val="1"/>
      <w:tblCellMar>
        <w:left w:w="115" w:type="dxa"/>
        <w:right w:w="115" w:type="dxa"/>
      </w:tblCellMar>
    </w:tblPr>
  </w:style>
  <w:style w:type="table" w:customStyle="1" w:styleId="118">
    <w:name w:val="11"/>
    <w:basedOn w:val="TableNormal"/>
    <w:rsid w:val="00E84619"/>
    <w:pPr>
      <w:contextualSpacing/>
    </w:pPr>
    <w:rPr>
      <w:rFonts w:ascii="Calibri" w:eastAsia="Calibri" w:hAnsi="Calibri" w:cs="Calibri"/>
      <w:color w:val="000000"/>
    </w:rPr>
    <w:tblPr>
      <w:tblStyleRowBandSize w:val="1"/>
      <w:tblStyleColBandSize w:val="1"/>
      <w:tblCellMar>
        <w:left w:w="115" w:type="dxa"/>
        <w:right w:w="115" w:type="dxa"/>
      </w:tblCellMar>
    </w:tblPr>
  </w:style>
  <w:style w:type="table" w:customStyle="1" w:styleId="10">
    <w:name w:val="10"/>
    <w:basedOn w:val="TableNormal"/>
    <w:rsid w:val="00E84619"/>
    <w:pPr>
      <w:contextualSpacing/>
    </w:pPr>
    <w:rPr>
      <w:rFonts w:ascii="Calibri" w:eastAsia="Calibri" w:hAnsi="Calibri" w:cs="Calibri"/>
      <w:color w:val="000000"/>
    </w:rPr>
    <w:tblPr>
      <w:tblStyleRowBandSize w:val="1"/>
      <w:tblStyleColBandSize w:val="1"/>
      <w:tblCellMar>
        <w:left w:w="115" w:type="dxa"/>
        <w:right w:w="115" w:type="dxa"/>
      </w:tblCellMar>
    </w:tblPr>
  </w:style>
  <w:style w:type="table" w:customStyle="1" w:styleId="9">
    <w:name w:val="9"/>
    <w:basedOn w:val="TableNormal"/>
    <w:rsid w:val="00E84619"/>
    <w:pPr>
      <w:contextualSpacing/>
    </w:pPr>
    <w:rPr>
      <w:rFonts w:ascii="Calibri" w:eastAsia="Calibri" w:hAnsi="Calibri" w:cs="Calibri"/>
      <w:color w:val="000000"/>
    </w:rPr>
    <w:tblPr>
      <w:tblStyleRowBandSize w:val="1"/>
      <w:tblStyleColBandSize w:val="1"/>
      <w:tblCellMar>
        <w:left w:w="115" w:type="dxa"/>
        <w:right w:w="115" w:type="dxa"/>
      </w:tblCellMar>
    </w:tblPr>
  </w:style>
  <w:style w:type="table" w:customStyle="1" w:styleId="8">
    <w:name w:val="8"/>
    <w:basedOn w:val="TableNormal"/>
    <w:rsid w:val="00E84619"/>
    <w:pPr>
      <w:contextualSpacing/>
    </w:pPr>
    <w:rPr>
      <w:rFonts w:ascii="Calibri" w:eastAsia="Calibri" w:hAnsi="Calibri" w:cs="Calibri"/>
      <w:color w:val="000000"/>
    </w:rPr>
    <w:tblPr>
      <w:tblStyleRowBandSize w:val="1"/>
      <w:tblStyleColBandSize w:val="1"/>
      <w:tblCellMar>
        <w:left w:w="115" w:type="dxa"/>
        <w:right w:w="115" w:type="dxa"/>
      </w:tblCellMar>
    </w:tblPr>
  </w:style>
  <w:style w:type="table" w:customStyle="1" w:styleId="7">
    <w:name w:val="7"/>
    <w:basedOn w:val="TableNormal"/>
    <w:rsid w:val="00E84619"/>
    <w:pPr>
      <w:contextualSpacing/>
    </w:pPr>
    <w:rPr>
      <w:rFonts w:ascii="Calibri" w:eastAsia="Calibri" w:hAnsi="Calibri" w:cs="Calibri"/>
      <w:color w:val="000000"/>
    </w:rPr>
    <w:tblPr>
      <w:tblStyleRowBandSize w:val="1"/>
      <w:tblStyleColBandSize w:val="1"/>
      <w:tblCellMar>
        <w:left w:w="115" w:type="dxa"/>
        <w:right w:w="115" w:type="dxa"/>
      </w:tblCellMar>
    </w:tblPr>
  </w:style>
  <w:style w:type="table" w:customStyle="1" w:styleId="6">
    <w:name w:val="6"/>
    <w:basedOn w:val="TableNormal"/>
    <w:rsid w:val="00E84619"/>
    <w:pPr>
      <w:contextualSpacing/>
    </w:pPr>
    <w:rPr>
      <w:rFonts w:ascii="Calibri" w:eastAsia="Calibri" w:hAnsi="Calibri" w:cs="Calibri"/>
      <w:color w:val="000000"/>
    </w:rPr>
    <w:tblPr>
      <w:tblStyleRowBandSize w:val="1"/>
      <w:tblStyleColBandSize w:val="1"/>
      <w:tblCellMar>
        <w:left w:w="115" w:type="dxa"/>
        <w:right w:w="115" w:type="dxa"/>
      </w:tblCellMar>
    </w:tblPr>
  </w:style>
  <w:style w:type="table" w:customStyle="1" w:styleId="5">
    <w:name w:val="5"/>
    <w:basedOn w:val="TableNormal"/>
    <w:rsid w:val="00E84619"/>
    <w:pPr>
      <w:contextualSpacing/>
    </w:pPr>
    <w:rPr>
      <w:rFonts w:ascii="Calibri" w:eastAsia="Calibri" w:hAnsi="Calibri" w:cs="Calibri"/>
      <w:color w:val="000000"/>
    </w:rPr>
    <w:tblPr>
      <w:tblStyleRowBandSize w:val="1"/>
      <w:tblStyleColBandSize w:val="1"/>
      <w:tblCellMar>
        <w:left w:w="115" w:type="dxa"/>
        <w:right w:w="115" w:type="dxa"/>
      </w:tblCellMar>
    </w:tblPr>
  </w:style>
  <w:style w:type="table" w:customStyle="1" w:styleId="4">
    <w:name w:val="4"/>
    <w:basedOn w:val="TableNormal"/>
    <w:rsid w:val="00E84619"/>
    <w:pPr>
      <w:contextualSpacing/>
    </w:pPr>
    <w:rPr>
      <w:rFonts w:ascii="Calibri" w:eastAsia="Calibri" w:hAnsi="Calibri" w:cs="Calibri"/>
      <w:color w:val="000000"/>
    </w:rPr>
    <w:tblPr>
      <w:tblStyleRowBandSize w:val="1"/>
      <w:tblStyleColBandSize w:val="1"/>
      <w:tblCellMar>
        <w:left w:w="115" w:type="dxa"/>
        <w:right w:w="115" w:type="dxa"/>
      </w:tblCellMar>
    </w:tblPr>
  </w:style>
  <w:style w:type="table" w:customStyle="1" w:styleId="30">
    <w:name w:val="3"/>
    <w:basedOn w:val="TableNormal"/>
    <w:rsid w:val="00E84619"/>
    <w:pPr>
      <w:contextualSpacing/>
    </w:pPr>
    <w:rPr>
      <w:rFonts w:ascii="Calibri" w:eastAsia="Calibri" w:hAnsi="Calibri" w:cs="Calibri"/>
      <w:color w:val="000000"/>
    </w:rPr>
    <w:tblPr>
      <w:tblStyleRowBandSize w:val="1"/>
      <w:tblStyleColBandSize w:val="1"/>
      <w:tblCellMar>
        <w:left w:w="115" w:type="dxa"/>
        <w:right w:w="115" w:type="dxa"/>
      </w:tblCellMar>
    </w:tblPr>
  </w:style>
  <w:style w:type="table" w:customStyle="1" w:styleId="22">
    <w:name w:val="2"/>
    <w:basedOn w:val="TableNormal"/>
    <w:rsid w:val="00E84619"/>
    <w:pPr>
      <w:contextualSpacing/>
    </w:pPr>
    <w:rPr>
      <w:rFonts w:ascii="Calibri" w:eastAsia="Calibri" w:hAnsi="Calibri" w:cs="Calibri"/>
      <w:color w:val="000000"/>
    </w:rPr>
    <w:tblPr>
      <w:tblStyleRowBandSize w:val="1"/>
      <w:tblStyleColBandSize w:val="1"/>
      <w:tblCellMar>
        <w:left w:w="115" w:type="dxa"/>
        <w:right w:w="115" w:type="dxa"/>
      </w:tblCellMar>
    </w:tblPr>
  </w:style>
  <w:style w:type="table" w:customStyle="1" w:styleId="1a">
    <w:name w:val="1"/>
    <w:basedOn w:val="TableNormal"/>
    <w:rsid w:val="00E84619"/>
    <w:pPr>
      <w:contextualSpacing/>
    </w:pPr>
    <w:rPr>
      <w:rFonts w:ascii="Calibri" w:eastAsia="Calibri" w:hAnsi="Calibri" w:cs="Calibri"/>
      <w:color w:val="000000"/>
    </w:rPr>
    <w:tblPr>
      <w:tblStyleRowBandSize w:val="1"/>
      <w:tblStyleColBandSize w:val="1"/>
      <w:tblCellMar>
        <w:left w:w="115" w:type="dxa"/>
        <w:right w:w="115" w:type="dxa"/>
      </w:tblCellMar>
    </w:tblPr>
  </w:style>
  <w:style w:type="paragraph" w:customStyle="1" w:styleId="Nabrajanjemera">
    <w:name w:val="Nabrajanje mera"/>
    <w:basedOn w:val="Normal"/>
    <w:qFormat/>
    <w:rsid w:val="00E84619"/>
    <w:pPr>
      <w:numPr>
        <w:numId w:val="9"/>
      </w:numPr>
      <w:spacing w:after="0"/>
      <w:ind w:left="1495"/>
    </w:pPr>
    <w:rPr>
      <w:b/>
      <w:smallCaps/>
      <w:szCs w:val="24"/>
      <w:lang w:val="sr-Cyrl-RS"/>
    </w:rPr>
  </w:style>
  <w:style w:type="character" w:customStyle="1" w:styleId="Nazivmere">
    <w:name w:val="Naziv mere"/>
    <w:basedOn w:val="DefaultParagraphFont"/>
    <w:uiPriority w:val="1"/>
    <w:rsid w:val="00E84619"/>
    <w:rPr>
      <w:rFonts w:asciiTheme="minorHAnsi" w:hAnsiTheme="minorHAnsi"/>
      <w:b w:val="0"/>
      <w:caps/>
      <w:smallCaps w:val="0"/>
      <w:sz w:val="22"/>
    </w:rPr>
  </w:style>
  <w:style w:type="character" w:customStyle="1" w:styleId="tekst">
    <w:name w:val="tekst"/>
    <w:basedOn w:val="DefaultParagraphFont"/>
    <w:uiPriority w:val="1"/>
    <w:rsid w:val="00E84619"/>
    <w:rPr>
      <w:rFonts w:asciiTheme="minorHAnsi" w:hAnsiTheme="minorHAnsi"/>
      <w:sz w:val="22"/>
    </w:rPr>
  </w:style>
  <w:style w:type="table" w:customStyle="1" w:styleId="TableGrid41">
    <w:name w:val="Table Grid41"/>
    <w:basedOn w:val="TableNormal"/>
    <w:next w:val="TableGrid"/>
    <w:uiPriority w:val="39"/>
    <w:rsid w:val="00E84619"/>
    <w:pPr>
      <w:spacing w:after="0" w:line="240" w:lineRule="auto"/>
    </w:pPr>
    <w:rPr>
      <w:lang w:val="sr-Latn-R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65">
    <w:name w:val="xl65"/>
    <w:basedOn w:val="Normal"/>
    <w:rsid w:val="00E8461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eastAsia="Times New Roman" w:hAnsi="Calibri" w:cs="Times New Roman"/>
      <w:b/>
      <w:bCs/>
      <w:sz w:val="20"/>
      <w:szCs w:val="20"/>
      <w:lang w:val="sr-Latn-RS" w:eastAsia="sr-Latn-RS"/>
    </w:rPr>
  </w:style>
  <w:style w:type="paragraph" w:customStyle="1" w:styleId="xl67">
    <w:name w:val="xl67"/>
    <w:basedOn w:val="Normal"/>
    <w:rsid w:val="00E84619"/>
    <w:pPr>
      <w:pBdr>
        <w:top w:val="single" w:sz="4" w:space="0" w:color="auto"/>
        <w:left w:val="single" w:sz="4" w:space="0" w:color="auto"/>
        <w:bottom w:val="single" w:sz="4" w:space="0" w:color="auto"/>
        <w:right w:val="single" w:sz="4" w:space="0" w:color="auto"/>
      </w:pBdr>
      <w:shd w:val="clear" w:color="D9D9D9" w:fill="D9D9D9"/>
      <w:spacing w:before="100" w:beforeAutospacing="1" w:after="100" w:afterAutospacing="1"/>
      <w:textAlignment w:val="center"/>
    </w:pPr>
    <w:rPr>
      <w:rFonts w:ascii="Calibri" w:eastAsia="Times New Roman" w:hAnsi="Calibri" w:cs="Times New Roman"/>
      <w:b/>
      <w:bCs/>
      <w:i/>
      <w:iCs/>
      <w:sz w:val="16"/>
      <w:szCs w:val="16"/>
      <w:lang w:val="sr-Latn-RS" w:eastAsia="sr-Latn-RS"/>
    </w:rPr>
  </w:style>
  <w:style w:type="paragraph" w:customStyle="1" w:styleId="xl68">
    <w:name w:val="xl68"/>
    <w:basedOn w:val="Normal"/>
    <w:rsid w:val="00E84619"/>
    <w:pPr>
      <w:pBdr>
        <w:top w:val="single" w:sz="4" w:space="0" w:color="auto"/>
        <w:left w:val="single" w:sz="4" w:space="0" w:color="auto"/>
        <w:bottom w:val="single" w:sz="4" w:space="0" w:color="auto"/>
        <w:right w:val="single" w:sz="4" w:space="0" w:color="auto"/>
      </w:pBdr>
      <w:shd w:val="clear" w:color="D9D9D9" w:fill="D9D9D9"/>
      <w:spacing w:before="100" w:beforeAutospacing="1" w:after="100" w:afterAutospacing="1"/>
      <w:textAlignment w:val="center"/>
    </w:pPr>
    <w:rPr>
      <w:rFonts w:ascii="Calibri" w:eastAsia="Times New Roman" w:hAnsi="Calibri" w:cs="Times New Roman"/>
      <w:b/>
      <w:bCs/>
      <w:i/>
      <w:iCs/>
      <w:sz w:val="16"/>
      <w:szCs w:val="16"/>
      <w:lang w:val="sr-Latn-RS" w:eastAsia="sr-Latn-RS"/>
    </w:rPr>
  </w:style>
  <w:style w:type="paragraph" w:customStyle="1" w:styleId="xl69">
    <w:name w:val="xl69"/>
    <w:basedOn w:val="Normal"/>
    <w:rsid w:val="00E84619"/>
    <w:pPr>
      <w:pBdr>
        <w:top w:val="single" w:sz="4" w:space="0" w:color="auto"/>
        <w:left w:val="single" w:sz="4" w:space="0" w:color="auto"/>
        <w:bottom w:val="single" w:sz="4" w:space="0" w:color="auto"/>
        <w:right w:val="single" w:sz="4" w:space="0" w:color="auto"/>
      </w:pBdr>
      <w:shd w:val="clear" w:color="D9D9D9" w:fill="D9D9D9"/>
      <w:spacing w:before="100" w:beforeAutospacing="1" w:after="100" w:afterAutospacing="1"/>
      <w:jc w:val="right"/>
      <w:textAlignment w:val="center"/>
    </w:pPr>
    <w:rPr>
      <w:rFonts w:ascii="Calibri" w:eastAsia="Times New Roman" w:hAnsi="Calibri" w:cs="Times New Roman"/>
      <w:b/>
      <w:bCs/>
      <w:i/>
      <w:iCs/>
      <w:sz w:val="16"/>
      <w:szCs w:val="16"/>
      <w:lang w:val="sr-Latn-RS" w:eastAsia="sr-Latn-RS"/>
    </w:rPr>
  </w:style>
  <w:style w:type="paragraph" w:customStyle="1" w:styleId="xl70">
    <w:name w:val="xl70"/>
    <w:basedOn w:val="Normal"/>
    <w:rsid w:val="00E84619"/>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Calibri" w:eastAsia="Times New Roman" w:hAnsi="Calibri" w:cs="Times New Roman"/>
      <w:sz w:val="16"/>
      <w:szCs w:val="16"/>
      <w:lang w:val="sr-Latn-RS" w:eastAsia="sr-Latn-RS"/>
    </w:rPr>
  </w:style>
  <w:style w:type="paragraph" w:customStyle="1" w:styleId="xl71">
    <w:name w:val="xl71"/>
    <w:basedOn w:val="Normal"/>
    <w:rsid w:val="00E8461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eastAsia="Times New Roman" w:hAnsi="Calibri" w:cs="Times New Roman"/>
      <w:sz w:val="16"/>
      <w:szCs w:val="16"/>
      <w:lang w:val="sr-Latn-RS" w:eastAsia="sr-Latn-RS"/>
    </w:rPr>
  </w:style>
  <w:style w:type="paragraph" w:customStyle="1" w:styleId="xl72">
    <w:name w:val="xl72"/>
    <w:basedOn w:val="Normal"/>
    <w:rsid w:val="00E8461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Calibri" w:eastAsia="Times New Roman" w:hAnsi="Calibri" w:cs="Times New Roman"/>
      <w:sz w:val="16"/>
      <w:szCs w:val="16"/>
      <w:lang w:val="sr-Latn-RS" w:eastAsia="sr-Latn-RS"/>
    </w:rPr>
  </w:style>
  <w:style w:type="paragraph" w:customStyle="1" w:styleId="xl73">
    <w:name w:val="xl73"/>
    <w:basedOn w:val="Normal"/>
    <w:rsid w:val="00E8461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Calibri" w:eastAsia="Times New Roman" w:hAnsi="Calibri" w:cs="Times New Roman"/>
      <w:sz w:val="16"/>
      <w:szCs w:val="16"/>
      <w:lang w:val="sr-Latn-RS" w:eastAsia="sr-Latn-RS"/>
    </w:rPr>
  </w:style>
  <w:style w:type="paragraph" w:customStyle="1" w:styleId="xl74">
    <w:name w:val="xl74"/>
    <w:basedOn w:val="Normal"/>
    <w:rsid w:val="00E84619"/>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Calibri" w:eastAsia="Times New Roman" w:hAnsi="Calibri" w:cs="Times New Roman"/>
      <w:i/>
      <w:iCs/>
      <w:sz w:val="16"/>
      <w:szCs w:val="16"/>
      <w:lang w:val="sr-Latn-RS" w:eastAsia="sr-Latn-RS"/>
    </w:rPr>
  </w:style>
  <w:style w:type="paragraph" w:customStyle="1" w:styleId="xl75">
    <w:name w:val="xl75"/>
    <w:basedOn w:val="Normal"/>
    <w:rsid w:val="00E8461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Calibri" w:eastAsia="Times New Roman" w:hAnsi="Calibri" w:cs="Times New Roman"/>
      <w:i/>
      <w:iCs/>
      <w:color w:val="FF0000"/>
      <w:sz w:val="16"/>
      <w:szCs w:val="16"/>
      <w:lang w:val="sr-Latn-RS" w:eastAsia="sr-Latn-RS"/>
    </w:rPr>
  </w:style>
  <w:style w:type="paragraph" w:customStyle="1" w:styleId="xl76">
    <w:name w:val="xl76"/>
    <w:basedOn w:val="Normal"/>
    <w:rsid w:val="00E8461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Calibri" w:eastAsia="Times New Roman" w:hAnsi="Calibri" w:cs="Times New Roman"/>
      <w:i/>
      <w:iCs/>
      <w:color w:val="FF0000"/>
      <w:sz w:val="16"/>
      <w:szCs w:val="16"/>
      <w:lang w:val="sr-Latn-RS" w:eastAsia="sr-Latn-RS"/>
    </w:rPr>
  </w:style>
  <w:style w:type="paragraph" w:customStyle="1" w:styleId="xl77">
    <w:name w:val="xl77"/>
    <w:basedOn w:val="Normal"/>
    <w:rsid w:val="00E8461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Calibri" w:eastAsia="Times New Roman" w:hAnsi="Calibri" w:cs="Times New Roman"/>
      <w:color w:val="FF0000"/>
      <w:sz w:val="16"/>
      <w:szCs w:val="16"/>
      <w:lang w:val="sr-Latn-RS" w:eastAsia="sr-Latn-RS"/>
    </w:rPr>
  </w:style>
  <w:style w:type="paragraph" w:customStyle="1" w:styleId="xl78">
    <w:name w:val="xl78"/>
    <w:basedOn w:val="Normal"/>
    <w:rsid w:val="00E8461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Calibri" w:eastAsia="Times New Roman" w:hAnsi="Calibri" w:cs="Times New Roman"/>
      <w:color w:val="FF0000"/>
      <w:sz w:val="16"/>
      <w:szCs w:val="16"/>
      <w:lang w:val="sr-Latn-RS" w:eastAsia="sr-Latn-RS"/>
    </w:rPr>
  </w:style>
  <w:style w:type="paragraph" w:customStyle="1" w:styleId="xl79">
    <w:name w:val="xl79"/>
    <w:basedOn w:val="Normal"/>
    <w:rsid w:val="00E84619"/>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Calibri" w:eastAsia="Times New Roman" w:hAnsi="Calibri" w:cs="Times New Roman"/>
      <w:i/>
      <w:iCs/>
      <w:sz w:val="16"/>
      <w:szCs w:val="16"/>
      <w:lang w:val="sr-Latn-RS" w:eastAsia="sr-Latn-RS"/>
    </w:rPr>
  </w:style>
  <w:style w:type="paragraph" w:customStyle="1" w:styleId="xl80">
    <w:name w:val="xl80"/>
    <w:basedOn w:val="Normal"/>
    <w:rsid w:val="00E84619"/>
    <w:pPr>
      <w:pBdr>
        <w:top w:val="single" w:sz="4" w:space="0" w:color="auto"/>
        <w:left w:val="single" w:sz="4" w:space="0" w:color="auto"/>
        <w:bottom w:val="single" w:sz="4" w:space="0" w:color="auto"/>
        <w:right w:val="single" w:sz="4" w:space="0" w:color="auto"/>
      </w:pBdr>
      <w:shd w:val="clear" w:color="D9D9D9" w:fill="D9D9D9"/>
      <w:spacing w:before="100" w:beforeAutospacing="1" w:after="100" w:afterAutospacing="1"/>
      <w:textAlignment w:val="center"/>
    </w:pPr>
    <w:rPr>
      <w:rFonts w:ascii="Calibri" w:eastAsia="Times New Roman" w:hAnsi="Calibri" w:cs="Times New Roman"/>
      <w:b/>
      <w:bCs/>
      <w:sz w:val="18"/>
      <w:szCs w:val="18"/>
      <w:lang w:val="sr-Latn-RS" w:eastAsia="sr-Latn-RS"/>
    </w:rPr>
  </w:style>
  <w:style w:type="paragraph" w:customStyle="1" w:styleId="xl81">
    <w:name w:val="xl81"/>
    <w:basedOn w:val="Normal"/>
    <w:rsid w:val="00E84619"/>
    <w:pPr>
      <w:pBdr>
        <w:top w:val="single" w:sz="4" w:space="0" w:color="auto"/>
        <w:left w:val="single" w:sz="4" w:space="0" w:color="auto"/>
        <w:bottom w:val="single" w:sz="4" w:space="0" w:color="auto"/>
        <w:right w:val="single" w:sz="4" w:space="0" w:color="auto"/>
      </w:pBdr>
      <w:shd w:val="clear" w:color="D9D9D9" w:fill="D9D9D9"/>
      <w:spacing w:before="100" w:beforeAutospacing="1" w:after="100" w:afterAutospacing="1"/>
      <w:textAlignment w:val="center"/>
    </w:pPr>
    <w:rPr>
      <w:rFonts w:ascii="Calibri" w:eastAsia="Times New Roman" w:hAnsi="Calibri" w:cs="Times New Roman"/>
      <w:b/>
      <w:bCs/>
      <w:szCs w:val="24"/>
      <w:lang w:val="sr-Latn-RS" w:eastAsia="sr-Latn-RS"/>
    </w:rPr>
  </w:style>
  <w:style w:type="paragraph" w:customStyle="1" w:styleId="xl82">
    <w:name w:val="xl82"/>
    <w:basedOn w:val="Normal"/>
    <w:rsid w:val="00E84619"/>
    <w:pPr>
      <w:pBdr>
        <w:top w:val="single" w:sz="4" w:space="0" w:color="auto"/>
        <w:left w:val="single" w:sz="4" w:space="0" w:color="auto"/>
        <w:bottom w:val="single" w:sz="4" w:space="0" w:color="auto"/>
        <w:right w:val="single" w:sz="4" w:space="0" w:color="auto"/>
      </w:pBdr>
      <w:shd w:val="clear" w:color="D9D9D9" w:fill="D9D9D9"/>
      <w:spacing w:before="100" w:beforeAutospacing="1" w:after="100" w:afterAutospacing="1"/>
      <w:jc w:val="right"/>
      <w:textAlignment w:val="center"/>
    </w:pPr>
    <w:rPr>
      <w:rFonts w:ascii="Calibri" w:eastAsia="Times New Roman" w:hAnsi="Calibri" w:cs="Times New Roman"/>
      <w:b/>
      <w:bCs/>
      <w:sz w:val="18"/>
      <w:szCs w:val="18"/>
      <w:lang w:val="sr-Latn-RS" w:eastAsia="sr-Latn-RS"/>
    </w:rPr>
  </w:style>
  <w:style w:type="paragraph" w:customStyle="1" w:styleId="xl83">
    <w:name w:val="xl83"/>
    <w:basedOn w:val="Normal"/>
    <w:rsid w:val="00E84619"/>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textAlignment w:val="center"/>
    </w:pPr>
    <w:rPr>
      <w:rFonts w:ascii="Calibri" w:eastAsia="Times New Roman" w:hAnsi="Calibri" w:cs="Times New Roman"/>
      <w:b/>
      <w:bCs/>
      <w:i/>
      <w:iCs/>
      <w:sz w:val="18"/>
      <w:szCs w:val="18"/>
      <w:lang w:val="sr-Latn-RS" w:eastAsia="sr-Latn-RS"/>
    </w:rPr>
  </w:style>
  <w:style w:type="paragraph" w:customStyle="1" w:styleId="xl84">
    <w:name w:val="xl84"/>
    <w:basedOn w:val="Normal"/>
    <w:rsid w:val="00E84619"/>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right"/>
      <w:textAlignment w:val="center"/>
    </w:pPr>
    <w:rPr>
      <w:rFonts w:ascii="Calibri" w:eastAsia="Times New Roman" w:hAnsi="Calibri" w:cs="Times New Roman"/>
      <w:b/>
      <w:bCs/>
      <w:i/>
      <w:iCs/>
      <w:szCs w:val="24"/>
      <w:lang w:val="sr-Latn-RS" w:eastAsia="sr-Latn-RS"/>
    </w:rPr>
  </w:style>
  <w:style w:type="paragraph" w:customStyle="1" w:styleId="xl85">
    <w:name w:val="xl85"/>
    <w:basedOn w:val="Normal"/>
    <w:rsid w:val="00E84619"/>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right"/>
      <w:textAlignment w:val="center"/>
    </w:pPr>
    <w:rPr>
      <w:rFonts w:ascii="Calibri" w:eastAsia="Times New Roman" w:hAnsi="Calibri" w:cs="Times New Roman"/>
      <w:b/>
      <w:bCs/>
      <w:i/>
      <w:iCs/>
      <w:sz w:val="18"/>
      <w:szCs w:val="18"/>
      <w:lang w:val="sr-Latn-RS" w:eastAsia="sr-Latn-RS"/>
    </w:rPr>
  </w:style>
  <w:style w:type="paragraph" w:customStyle="1" w:styleId="xl86">
    <w:name w:val="xl86"/>
    <w:basedOn w:val="Normal"/>
    <w:rsid w:val="00E84619"/>
    <w:pPr>
      <w:pBdr>
        <w:top w:val="single" w:sz="4" w:space="0" w:color="auto"/>
        <w:left w:val="single" w:sz="4" w:space="0" w:color="auto"/>
        <w:bottom w:val="single" w:sz="4" w:space="0" w:color="auto"/>
        <w:right w:val="single" w:sz="4" w:space="0" w:color="auto"/>
      </w:pBdr>
      <w:shd w:val="clear" w:color="000000" w:fill="FFE699"/>
      <w:spacing w:before="100" w:beforeAutospacing="1" w:after="100" w:afterAutospacing="1"/>
      <w:jc w:val="right"/>
      <w:textAlignment w:val="center"/>
    </w:pPr>
    <w:rPr>
      <w:rFonts w:ascii="Calibri" w:eastAsia="Times New Roman" w:hAnsi="Calibri" w:cs="Times New Roman"/>
      <w:i/>
      <w:iCs/>
      <w:color w:val="FF0000"/>
      <w:sz w:val="16"/>
      <w:szCs w:val="16"/>
      <w:lang w:val="sr-Latn-RS" w:eastAsia="sr-Latn-RS"/>
    </w:rPr>
  </w:style>
  <w:style w:type="paragraph" w:customStyle="1" w:styleId="xl87">
    <w:name w:val="xl87"/>
    <w:basedOn w:val="Normal"/>
    <w:rsid w:val="00E8461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Calibri" w:eastAsia="Times New Roman" w:hAnsi="Calibri" w:cs="Times New Roman"/>
      <w:i/>
      <w:iCs/>
      <w:sz w:val="16"/>
      <w:szCs w:val="16"/>
      <w:lang w:val="sr-Latn-RS" w:eastAsia="sr-Latn-RS"/>
    </w:rPr>
  </w:style>
  <w:style w:type="paragraph" w:customStyle="1" w:styleId="xl88">
    <w:name w:val="xl88"/>
    <w:basedOn w:val="Normal"/>
    <w:rsid w:val="00E84619"/>
    <w:pPr>
      <w:pBdr>
        <w:top w:val="single" w:sz="4" w:space="0" w:color="auto"/>
        <w:left w:val="single" w:sz="4" w:space="0" w:color="auto"/>
        <w:bottom w:val="single" w:sz="4" w:space="0" w:color="auto"/>
        <w:right w:val="single" w:sz="4" w:space="0" w:color="auto"/>
      </w:pBdr>
      <w:shd w:val="clear" w:color="000000" w:fill="FFE699"/>
      <w:spacing w:before="100" w:beforeAutospacing="1" w:after="100" w:afterAutospacing="1"/>
      <w:jc w:val="right"/>
      <w:textAlignment w:val="center"/>
    </w:pPr>
    <w:rPr>
      <w:rFonts w:ascii="Calibri" w:eastAsia="Times New Roman" w:hAnsi="Calibri" w:cs="Times New Roman"/>
      <w:i/>
      <w:iCs/>
      <w:sz w:val="16"/>
      <w:szCs w:val="16"/>
      <w:lang w:val="sr-Latn-RS" w:eastAsia="sr-Latn-RS"/>
    </w:rPr>
  </w:style>
  <w:style w:type="paragraph" w:customStyle="1" w:styleId="xl89">
    <w:name w:val="xl89"/>
    <w:basedOn w:val="Normal"/>
    <w:rsid w:val="00E8461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Calibri" w:eastAsia="Times New Roman" w:hAnsi="Calibri" w:cs="Times New Roman"/>
      <w:sz w:val="16"/>
      <w:szCs w:val="16"/>
      <w:lang w:val="sr-Latn-RS" w:eastAsia="sr-Latn-RS"/>
    </w:rPr>
  </w:style>
  <w:style w:type="paragraph" w:customStyle="1" w:styleId="xl90">
    <w:name w:val="xl90"/>
    <w:basedOn w:val="Normal"/>
    <w:rsid w:val="00E8461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eastAsia="Times New Roman" w:hAnsi="Calibri" w:cs="Times New Roman"/>
      <w:sz w:val="16"/>
      <w:szCs w:val="16"/>
      <w:lang w:val="sr-Latn-RS" w:eastAsia="sr-Latn-RS"/>
    </w:rPr>
  </w:style>
  <w:style w:type="paragraph" w:customStyle="1" w:styleId="xl91">
    <w:name w:val="xl91"/>
    <w:basedOn w:val="Normal"/>
    <w:rsid w:val="00E8461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Calibri" w:eastAsia="Times New Roman" w:hAnsi="Calibri" w:cs="Times New Roman"/>
      <w:sz w:val="16"/>
      <w:szCs w:val="16"/>
      <w:lang w:val="sr-Latn-RS" w:eastAsia="sr-Latn-RS"/>
    </w:rPr>
  </w:style>
  <w:style w:type="paragraph" w:customStyle="1" w:styleId="xl92">
    <w:name w:val="xl92"/>
    <w:basedOn w:val="Normal"/>
    <w:rsid w:val="00E8461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Calibri" w:eastAsia="Times New Roman" w:hAnsi="Calibri" w:cs="Times New Roman"/>
      <w:i/>
      <w:iCs/>
      <w:sz w:val="16"/>
      <w:szCs w:val="16"/>
      <w:lang w:val="sr-Latn-RS" w:eastAsia="sr-Latn-RS"/>
    </w:rPr>
  </w:style>
  <w:style w:type="paragraph" w:customStyle="1" w:styleId="xl93">
    <w:name w:val="xl93"/>
    <w:basedOn w:val="Normal"/>
    <w:rsid w:val="00E84619"/>
    <w:pPr>
      <w:pBdr>
        <w:top w:val="single" w:sz="4" w:space="0" w:color="auto"/>
        <w:left w:val="single" w:sz="4" w:space="0" w:color="auto"/>
        <w:bottom w:val="single" w:sz="4" w:space="0" w:color="auto"/>
        <w:right w:val="single" w:sz="4" w:space="0" w:color="auto"/>
      </w:pBdr>
      <w:shd w:val="clear" w:color="D9D9D9" w:fill="D9D9D9"/>
      <w:spacing w:before="100" w:beforeAutospacing="1" w:after="100" w:afterAutospacing="1"/>
      <w:textAlignment w:val="center"/>
    </w:pPr>
    <w:rPr>
      <w:rFonts w:ascii="Calibri" w:eastAsia="Times New Roman" w:hAnsi="Calibri" w:cs="Times New Roman"/>
      <w:b/>
      <w:bCs/>
      <w:i/>
      <w:iCs/>
      <w:sz w:val="16"/>
      <w:szCs w:val="16"/>
      <w:lang w:val="sr-Latn-RS" w:eastAsia="sr-Latn-RS"/>
    </w:rPr>
  </w:style>
  <w:style w:type="paragraph" w:customStyle="1" w:styleId="xl94">
    <w:name w:val="xl94"/>
    <w:basedOn w:val="Normal"/>
    <w:rsid w:val="00E8461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Calibri" w:eastAsia="Times New Roman" w:hAnsi="Calibri" w:cs="Times New Roman"/>
      <w:sz w:val="16"/>
      <w:szCs w:val="16"/>
      <w:lang w:val="sr-Latn-RS" w:eastAsia="sr-Latn-RS"/>
    </w:rPr>
  </w:style>
  <w:style w:type="paragraph" w:customStyle="1" w:styleId="xl95">
    <w:name w:val="xl95"/>
    <w:basedOn w:val="Normal"/>
    <w:rsid w:val="00E8461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eastAsia="Times New Roman" w:hAnsi="Calibri" w:cs="Times New Roman"/>
      <w:sz w:val="16"/>
      <w:szCs w:val="16"/>
      <w:lang w:val="sr-Latn-RS" w:eastAsia="sr-Latn-RS"/>
    </w:rPr>
  </w:style>
  <w:style w:type="paragraph" w:customStyle="1" w:styleId="xl96">
    <w:name w:val="xl96"/>
    <w:basedOn w:val="Normal"/>
    <w:rsid w:val="00E8461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Calibri" w:eastAsia="Times New Roman" w:hAnsi="Calibri" w:cs="Times New Roman"/>
      <w:sz w:val="16"/>
      <w:szCs w:val="16"/>
      <w:lang w:val="sr-Latn-RS" w:eastAsia="sr-Latn-RS"/>
    </w:rPr>
  </w:style>
  <w:style w:type="paragraph" w:customStyle="1" w:styleId="xl97">
    <w:name w:val="xl97"/>
    <w:basedOn w:val="Normal"/>
    <w:rsid w:val="00E8461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Calibri" w:eastAsia="Times New Roman" w:hAnsi="Calibri" w:cs="Times New Roman"/>
      <w:i/>
      <w:iCs/>
      <w:sz w:val="16"/>
      <w:szCs w:val="16"/>
      <w:lang w:val="sr-Latn-RS" w:eastAsia="sr-Latn-RS"/>
    </w:rPr>
  </w:style>
  <w:style w:type="paragraph" w:customStyle="1" w:styleId="xl98">
    <w:name w:val="xl98"/>
    <w:basedOn w:val="Normal"/>
    <w:rsid w:val="00E84619"/>
    <w:pPr>
      <w:pBdr>
        <w:top w:val="single" w:sz="4" w:space="0" w:color="auto"/>
        <w:left w:val="single" w:sz="4" w:space="0" w:color="auto"/>
        <w:bottom w:val="single" w:sz="4" w:space="0" w:color="auto"/>
        <w:right w:val="single" w:sz="4" w:space="0" w:color="auto"/>
      </w:pBdr>
      <w:shd w:val="clear" w:color="D9D9D9" w:fill="D9D9D9"/>
      <w:spacing w:before="100" w:beforeAutospacing="1" w:after="100" w:afterAutospacing="1"/>
      <w:textAlignment w:val="center"/>
    </w:pPr>
    <w:rPr>
      <w:rFonts w:ascii="Calibri" w:eastAsia="Times New Roman" w:hAnsi="Calibri" w:cs="Times New Roman"/>
      <w:b/>
      <w:bCs/>
      <w:i/>
      <w:iCs/>
      <w:sz w:val="16"/>
      <w:szCs w:val="16"/>
      <w:lang w:val="sr-Latn-RS" w:eastAsia="sr-Latn-RS"/>
    </w:rPr>
  </w:style>
  <w:style w:type="character" w:customStyle="1" w:styleId="Bodytext0">
    <w:name w:val="Body text_"/>
    <w:basedOn w:val="DefaultParagraphFont"/>
    <w:link w:val="BodyText9"/>
    <w:locked/>
    <w:rsid w:val="00E84619"/>
    <w:rPr>
      <w:sz w:val="19"/>
      <w:szCs w:val="19"/>
      <w:shd w:val="clear" w:color="auto" w:fill="FFFFFF"/>
    </w:rPr>
  </w:style>
  <w:style w:type="paragraph" w:customStyle="1" w:styleId="BodyText9">
    <w:name w:val="Body Text9"/>
    <w:basedOn w:val="Normal"/>
    <w:link w:val="Bodytext0"/>
    <w:rsid w:val="00E84619"/>
    <w:pPr>
      <w:shd w:val="clear" w:color="auto" w:fill="FFFFFF"/>
      <w:spacing w:before="180" w:after="180" w:line="277" w:lineRule="exact"/>
      <w:ind w:hanging="340"/>
    </w:pPr>
    <w:rPr>
      <w:sz w:val="19"/>
      <w:szCs w:val="19"/>
    </w:rPr>
  </w:style>
  <w:style w:type="character" w:customStyle="1" w:styleId="BodytextBold">
    <w:name w:val="Body text + Bold"/>
    <w:basedOn w:val="Bodytext0"/>
    <w:rsid w:val="00E84619"/>
    <w:rPr>
      <w:b/>
      <w:bCs/>
      <w:sz w:val="19"/>
      <w:szCs w:val="19"/>
      <w:shd w:val="clear" w:color="auto" w:fill="FFFFFF"/>
    </w:rPr>
  </w:style>
  <w:style w:type="table" w:customStyle="1" w:styleId="TableGrid311">
    <w:name w:val="Table Grid311"/>
    <w:basedOn w:val="TableNormal"/>
    <w:next w:val="TableGrid"/>
    <w:uiPriority w:val="39"/>
    <w:rsid w:val="00E84619"/>
    <w:pPr>
      <w:spacing w:after="0" w:line="240" w:lineRule="auto"/>
    </w:pPr>
    <w:rPr>
      <w:rFonts w:ascii="Constantia" w:eastAsia="Constantia" w:hAnsi="Constantia"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5Dark-Accent55">
    <w:name w:val="Grid Table 5 Dark - Accent 55"/>
    <w:basedOn w:val="TableNormal"/>
    <w:uiPriority w:val="50"/>
    <w:rsid w:val="00204287"/>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9E2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472C4"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472C4"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472C4"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472C4" w:themeFill="accent5"/>
      </w:tcPr>
    </w:tblStylePr>
    <w:tblStylePr w:type="band1Vert">
      <w:tblPr/>
      <w:tcPr>
        <w:shd w:val="clear" w:color="auto" w:fill="B4C6E7" w:themeFill="accent5" w:themeFillTint="66"/>
      </w:tcPr>
    </w:tblStylePr>
    <w:tblStylePr w:type="band1Horz">
      <w:tblPr/>
      <w:tcPr>
        <w:shd w:val="clear" w:color="auto" w:fill="B4C6E7" w:themeFill="accent5" w:themeFillTint="66"/>
      </w:tcPr>
    </w:tblStylePr>
  </w:style>
  <w:style w:type="character" w:customStyle="1" w:styleId="UnresolvedMention1">
    <w:name w:val="Unresolved Mention1"/>
    <w:basedOn w:val="DefaultParagraphFont"/>
    <w:uiPriority w:val="99"/>
    <w:semiHidden/>
    <w:unhideWhenUsed/>
    <w:rsid w:val="00204287"/>
    <w:rPr>
      <w:color w:val="605E5C"/>
      <w:shd w:val="clear" w:color="auto" w:fill="E1DFDD"/>
    </w:rPr>
  </w:style>
  <w:style w:type="table" w:customStyle="1" w:styleId="LightShading-Accent3351">
    <w:name w:val="Light Shading - Accent 3351"/>
    <w:basedOn w:val="TableNormal"/>
    <w:next w:val="LightShading-Accent3"/>
    <w:uiPriority w:val="60"/>
    <w:rsid w:val="00204287"/>
    <w:pPr>
      <w:spacing w:after="0" w:line="240" w:lineRule="auto"/>
    </w:pPr>
    <w:rPr>
      <w:rFonts w:ascii="Arial" w:eastAsia="Calibri" w:hAnsi="Arial" w:cs="Times New Roman"/>
      <w:color w:val="474747"/>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stTable6Colorful-Accent62">
    <w:name w:val="List Table 6 Colorful - Accent 62"/>
    <w:basedOn w:val="TableNormal"/>
    <w:uiPriority w:val="51"/>
    <w:rsid w:val="00204287"/>
    <w:pPr>
      <w:spacing w:after="0" w:line="240" w:lineRule="auto"/>
    </w:pPr>
    <w:rPr>
      <w:color w:val="538135" w:themeColor="accent6" w:themeShade="BF"/>
    </w:rPr>
    <w:tblPr>
      <w:tblStyleRowBandSize w:val="1"/>
      <w:tblStyleColBandSize w:val="1"/>
      <w:tblBorders>
        <w:top w:val="single" w:sz="4" w:space="0" w:color="70AD47" w:themeColor="accent6"/>
        <w:bottom w:val="single" w:sz="4" w:space="0" w:color="70AD47" w:themeColor="accent6"/>
      </w:tblBorders>
    </w:tblPr>
    <w:tblStylePr w:type="firstRow">
      <w:rPr>
        <w:b/>
        <w:bCs/>
      </w:rPr>
      <w:tblPr/>
      <w:tcPr>
        <w:tcBorders>
          <w:bottom w:val="single" w:sz="4" w:space="0" w:color="70AD47" w:themeColor="accent6"/>
        </w:tcBorders>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character" w:customStyle="1" w:styleId="Hyperlink2">
    <w:name w:val="Hyperlink2"/>
    <w:basedOn w:val="DefaultParagraphFont"/>
    <w:uiPriority w:val="99"/>
    <w:rsid w:val="00204287"/>
    <w:rPr>
      <w:color w:val="0563C1"/>
      <w:u w:val="single"/>
    </w:rPr>
  </w:style>
  <w:style w:type="character" w:customStyle="1" w:styleId="UnresolvedMention2">
    <w:name w:val="Unresolved Mention2"/>
    <w:basedOn w:val="DefaultParagraphFont"/>
    <w:uiPriority w:val="99"/>
    <w:semiHidden/>
    <w:unhideWhenUsed/>
    <w:rsid w:val="00204287"/>
    <w:rPr>
      <w:color w:val="605E5C"/>
      <w:shd w:val="clear" w:color="auto" w:fill="E1DFDD"/>
    </w:rPr>
  </w:style>
  <w:style w:type="character" w:customStyle="1" w:styleId="UnresolvedMention3">
    <w:name w:val="Unresolved Mention3"/>
    <w:basedOn w:val="DefaultParagraphFont"/>
    <w:uiPriority w:val="99"/>
    <w:semiHidden/>
    <w:unhideWhenUsed/>
    <w:rsid w:val="00204287"/>
    <w:rPr>
      <w:color w:val="605E5C"/>
      <w:shd w:val="clear" w:color="auto" w:fill="E1DFDD"/>
    </w:rPr>
  </w:style>
  <w:style w:type="table" w:customStyle="1" w:styleId="GridTable1Light-Accent15">
    <w:name w:val="Grid Table 1 Light - Accent 15"/>
    <w:basedOn w:val="TableNormal"/>
    <w:uiPriority w:val="46"/>
    <w:rsid w:val="00204287"/>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customStyle="1" w:styleId="TableGrid7">
    <w:name w:val="Table Grid7"/>
    <w:basedOn w:val="TableNormal"/>
    <w:next w:val="TableGrid"/>
    <w:uiPriority w:val="39"/>
    <w:rsid w:val="00B7525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5">
    <w:name w:val="Table Grid15"/>
    <w:basedOn w:val="TableNormal"/>
    <w:next w:val="TableGrid"/>
    <w:uiPriority w:val="59"/>
    <w:rsid w:val="003F01A2"/>
    <w:pPr>
      <w:spacing w:after="0" w:line="240" w:lineRule="auto"/>
    </w:pPr>
    <w:rPr>
      <w:rFonts w:ascii="Constantia" w:eastAsia="Constantia" w:hAnsi="Constantia" w:cs="Times New Roman"/>
      <w:lang w:val="sr-Cyrl-C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PlainTable41">
    <w:name w:val="Plain Table 41"/>
    <w:basedOn w:val="TableNormal"/>
    <w:uiPriority w:val="44"/>
    <w:rsid w:val="0065728B"/>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FusnoteIoI">
    <w:name w:val="Fusnote_IoI"/>
    <w:basedOn w:val="FootnoteText"/>
    <w:link w:val="FusnoteIoIChar"/>
    <w:uiPriority w:val="99"/>
    <w:rsid w:val="007C3538"/>
    <w:pPr>
      <w:keepLines/>
      <w:tabs>
        <w:tab w:val="left" w:pos="454"/>
        <w:tab w:val="left" w:pos="907"/>
        <w:tab w:val="left" w:pos="1361"/>
        <w:tab w:val="left" w:pos="1814"/>
        <w:tab w:val="right" w:pos="9072"/>
      </w:tabs>
      <w:spacing w:before="60" w:after="0"/>
      <w:ind w:firstLine="0"/>
    </w:pPr>
    <w:rPr>
      <w:rFonts w:ascii="Times New Roman" w:eastAsia="Calibri" w:hAnsi="Times New Roman" w:cs="Times New Roman"/>
      <w:bCs w:val="0"/>
      <w:noProof/>
      <w:color w:val="auto"/>
      <w:spacing w:val="-2"/>
      <w:sz w:val="14"/>
    </w:rPr>
  </w:style>
  <w:style w:type="character" w:customStyle="1" w:styleId="FusnoteIoIChar">
    <w:name w:val="Fusnote_IoI Char"/>
    <w:link w:val="FusnoteIoI"/>
    <w:uiPriority w:val="99"/>
    <w:locked/>
    <w:rsid w:val="007C3538"/>
    <w:rPr>
      <w:rFonts w:ascii="Times New Roman" w:eastAsia="Calibri" w:hAnsi="Times New Roman" w:cs="Times New Roman"/>
      <w:noProof/>
      <w:spacing w:val="-2"/>
      <w:sz w:val="14"/>
      <w:szCs w:val="20"/>
      <w:lang w:val="sr-Cyrl-CS"/>
    </w:rPr>
  </w:style>
  <w:style w:type="table" w:customStyle="1" w:styleId="LightShading-Accent3352">
    <w:name w:val="Light Shading - Accent 3352"/>
    <w:basedOn w:val="TableNormal"/>
    <w:next w:val="LightShading-Accent3"/>
    <w:uiPriority w:val="60"/>
    <w:rsid w:val="005F26DA"/>
    <w:pPr>
      <w:spacing w:after="0" w:line="240" w:lineRule="auto"/>
    </w:pPr>
    <w:rPr>
      <w:rFonts w:ascii="Arial" w:eastAsia="Calibri" w:hAnsi="Arial" w:cs="Times New Roman"/>
      <w:color w:val="474747"/>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GridTable6Colorful-Accent15">
    <w:name w:val="Grid Table 6 Colorful - Accent 15"/>
    <w:basedOn w:val="TableNormal"/>
    <w:next w:val="GridTable6Colorful-Accent1"/>
    <w:uiPriority w:val="51"/>
    <w:rsid w:val="005F26DA"/>
    <w:pPr>
      <w:spacing w:after="0" w:line="240" w:lineRule="auto"/>
    </w:pPr>
    <w:rPr>
      <w:color w:val="2F5496"/>
    </w:rPr>
    <w:tblPr>
      <w:tblStyleRowBandSize w:val="1"/>
      <w:tblStyleColBandSize w:val="1"/>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Pr>
    <w:tblStylePr w:type="firstRow">
      <w:rPr>
        <w:b/>
        <w:bCs/>
      </w:rPr>
      <w:tblPr/>
      <w:tcPr>
        <w:tcBorders>
          <w:bottom w:val="single" w:sz="12" w:space="0" w:color="8EAADB"/>
        </w:tcBorders>
      </w:tcPr>
    </w:tblStylePr>
    <w:tblStylePr w:type="lastRow">
      <w:rPr>
        <w:b/>
        <w:bCs/>
      </w:rPr>
      <w:tblPr/>
      <w:tcPr>
        <w:tcBorders>
          <w:top w:val="double" w:sz="4" w:space="0" w:color="8EAADB"/>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table" w:styleId="GridTable6Colorful-Accent1">
    <w:name w:val="Grid Table 6 Colorful Accent 1"/>
    <w:basedOn w:val="TableNormal"/>
    <w:uiPriority w:val="51"/>
    <w:rsid w:val="005F26DA"/>
    <w:pPr>
      <w:spacing w:after="0" w:line="240" w:lineRule="auto"/>
    </w:pPr>
    <w:rPr>
      <w:color w:val="2E74B5" w:themeColor="accent1" w:themeShade="BF"/>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character" w:customStyle="1" w:styleId="hwtze">
    <w:name w:val="hwtze"/>
    <w:basedOn w:val="DefaultParagraphFont"/>
    <w:rsid w:val="00506244"/>
  </w:style>
  <w:style w:type="character" w:customStyle="1" w:styleId="rynqvb">
    <w:name w:val="rynqvb"/>
    <w:basedOn w:val="DefaultParagraphFont"/>
    <w:rsid w:val="00506244"/>
  </w:style>
  <w:style w:type="paragraph" w:customStyle="1" w:styleId="Naglasavanjepreglavteksta">
    <w:name w:val="Naglasavanje_pre_glav_teksta"/>
    <w:basedOn w:val="Normal"/>
    <w:rsid w:val="00B66407"/>
    <w:pPr>
      <w:spacing w:before="200" w:after="200"/>
    </w:pPr>
    <w:rPr>
      <w:rFonts w:ascii="Arial" w:eastAsia="Batang" w:hAnsi="Arial" w:cs="Arial"/>
      <w:b/>
      <w:i/>
      <w:color w:val="808080"/>
      <w:sz w:val="18"/>
      <w:szCs w:val="18"/>
      <w:lang w:val="sr-Cyrl-CS" w:eastAsia="x-none"/>
    </w:rPr>
  </w:style>
  <w:style w:type="paragraph" w:customStyle="1" w:styleId="NumPar1">
    <w:name w:val="NumPar 1"/>
    <w:basedOn w:val="Normal"/>
    <w:next w:val="Normal"/>
    <w:link w:val="FootnoteReference"/>
    <w:uiPriority w:val="99"/>
    <w:rsid w:val="00805B73"/>
    <w:pPr>
      <w:numPr>
        <w:numId w:val="28"/>
      </w:numPr>
      <w:spacing w:before="120"/>
    </w:pPr>
    <w:rPr>
      <w:rFonts w:asciiTheme="minorHAnsi" w:hAnsiTheme="minorHAnsi"/>
      <w:sz w:val="22"/>
      <w:vertAlign w:val="superscript"/>
    </w:rPr>
  </w:style>
  <w:style w:type="paragraph" w:customStyle="1" w:styleId="NumPar2">
    <w:name w:val="NumPar 2"/>
    <w:basedOn w:val="Normal"/>
    <w:next w:val="Normal"/>
    <w:rsid w:val="00805B73"/>
    <w:pPr>
      <w:numPr>
        <w:ilvl w:val="1"/>
        <w:numId w:val="28"/>
      </w:numPr>
      <w:spacing w:before="120"/>
    </w:pPr>
    <w:rPr>
      <w:rFonts w:ascii="Tunga" w:eastAsia="Arial Unicode MS" w:hAnsi="Tunga" w:cs="Tunga"/>
      <w:snapToGrid w:val="0"/>
      <w:sz w:val="20"/>
      <w:szCs w:val="20"/>
    </w:rPr>
  </w:style>
  <w:style w:type="paragraph" w:customStyle="1" w:styleId="NumPar3">
    <w:name w:val="NumPar 3"/>
    <w:basedOn w:val="Normal"/>
    <w:next w:val="Normal"/>
    <w:rsid w:val="00805B73"/>
    <w:pPr>
      <w:numPr>
        <w:ilvl w:val="2"/>
        <w:numId w:val="28"/>
      </w:numPr>
      <w:spacing w:before="120"/>
    </w:pPr>
    <w:rPr>
      <w:rFonts w:ascii="Tunga" w:eastAsia="Arial Unicode MS" w:hAnsi="Tunga" w:cs="Tunga"/>
      <w:snapToGrid w:val="0"/>
      <w:sz w:val="20"/>
      <w:szCs w:val="20"/>
    </w:rPr>
  </w:style>
  <w:style w:type="paragraph" w:customStyle="1" w:styleId="NumPar4">
    <w:name w:val="NumPar 4"/>
    <w:basedOn w:val="Normal"/>
    <w:next w:val="Normal"/>
    <w:rsid w:val="00805B73"/>
    <w:pPr>
      <w:numPr>
        <w:ilvl w:val="3"/>
        <w:numId w:val="28"/>
      </w:numPr>
      <w:spacing w:before="120"/>
    </w:pPr>
    <w:rPr>
      <w:rFonts w:ascii="Tunga" w:eastAsia="Arial Unicode MS" w:hAnsi="Tunga" w:cs="Tunga"/>
      <w:snapToGrid w:val="0"/>
      <w:sz w:val="20"/>
      <w:szCs w:val="20"/>
    </w:rPr>
  </w:style>
  <w:style w:type="paragraph" w:customStyle="1" w:styleId="FootnotesrefssChar">
    <w:name w:val="Footnotes refss Char"/>
    <w:aliases w:val="16 Point Char,Superscript 6 Point Char,Footnote Reference Number Char,nota pié di pagina Char,Times 10 Point Char, Exposant 3 Point Char,Footnote symbol Char,Footnote reference number Char"/>
    <w:basedOn w:val="Normal"/>
    <w:uiPriority w:val="99"/>
    <w:rsid w:val="00480BCD"/>
    <w:pPr>
      <w:spacing w:after="160" w:line="240" w:lineRule="exact"/>
      <w:jc w:val="left"/>
    </w:pPr>
    <w:rPr>
      <w:rFonts w:asciiTheme="minorHAnsi" w:hAnsiTheme="minorHAnsi"/>
      <w:sz w:val="22"/>
      <w:vertAlign w:val="superscript"/>
    </w:rPr>
  </w:style>
  <w:style w:type="table" w:customStyle="1" w:styleId="TableGrid8">
    <w:name w:val="Table Grid8"/>
    <w:basedOn w:val="TableNormal"/>
    <w:next w:val="TableGrid"/>
    <w:uiPriority w:val="39"/>
    <w:rsid w:val="000F798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8">
    <w:name w:val="No List8"/>
    <w:next w:val="NoList"/>
    <w:uiPriority w:val="99"/>
    <w:semiHidden/>
    <w:unhideWhenUsed/>
    <w:rsid w:val="006D0778"/>
  </w:style>
  <w:style w:type="numbering" w:customStyle="1" w:styleId="NoList14">
    <w:name w:val="No List14"/>
    <w:next w:val="NoList"/>
    <w:uiPriority w:val="99"/>
    <w:semiHidden/>
    <w:unhideWhenUsed/>
    <w:rsid w:val="006D0778"/>
  </w:style>
  <w:style w:type="table" w:customStyle="1" w:styleId="TableGrid9">
    <w:name w:val="Table Grid9"/>
    <w:basedOn w:val="TableNormal"/>
    <w:next w:val="TableGrid"/>
    <w:uiPriority w:val="39"/>
    <w:rsid w:val="006D0778"/>
    <w:pPr>
      <w:spacing w:before="120" w:after="120" w:line="264" w:lineRule="auto"/>
      <w:ind w:left="115" w:right="115"/>
    </w:pPr>
    <w:rPr>
      <w:rFonts w:eastAsia="MS PGothic"/>
      <w:sz w:val="20"/>
      <w:szCs w:val="20"/>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
    <w:tcPr>
      <w:vAlign w:val="center"/>
    </w:tcPr>
    <w:tblStylePr w:type="firstRow">
      <w:pPr>
        <w:wordWrap/>
        <w:jc w:val="center"/>
      </w:pPr>
      <w:rPr>
        <w:b/>
        <w:i w:val="0"/>
        <w:sz w:val="22"/>
      </w:rPr>
    </w:tblStylePr>
    <w:tblStylePr w:type="lastRow">
      <w:rPr>
        <w:b/>
        <w:i w:val="0"/>
        <w:sz w:val="22"/>
      </w:rPr>
      <w:tblPr/>
      <w:tcPr>
        <w:tcBorders>
          <w:top w:val="double" w:sz="4" w:space="0" w:color="auto"/>
          <w:left w:val="single" w:sz="4" w:space="0" w:color="auto"/>
          <w:bottom w:val="single" w:sz="18" w:space="0" w:color="auto"/>
          <w:right w:val="single" w:sz="4" w:space="0" w:color="auto"/>
          <w:insideH w:val="nil"/>
          <w:insideV w:val="single" w:sz="4" w:space="0" w:color="auto"/>
          <w:tl2br w:val="nil"/>
          <w:tr2bl w:val="nil"/>
        </w:tcBorders>
      </w:tcPr>
    </w:tblStylePr>
  </w:style>
  <w:style w:type="table" w:customStyle="1" w:styleId="FinancialTable4">
    <w:name w:val="Financial Table4"/>
    <w:basedOn w:val="TableNormal"/>
    <w:uiPriority w:val="99"/>
    <w:rsid w:val="006D0778"/>
    <w:pPr>
      <w:spacing w:before="60" w:after="60" w:line="264" w:lineRule="auto"/>
    </w:pPr>
    <w:rPr>
      <w:rFonts w:eastAsia="MS PGothic"/>
      <w:sz w:val="20"/>
      <w:szCs w:val="20"/>
      <w:lang w:eastAsia="ja-JP"/>
    </w:rPr>
    <w:tblPr>
      <w:tblBorders>
        <w:top w:val="single" w:sz="8" w:space="0" w:color="000000"/>
        <w:left w:val="single" w:sz="8" w:space="0" w:color="000000"/>
        <w:bottom w:val="single" w:sz="24" w:space="0" w:color="000000"/>
        <w:right w:val="single" w:sz="8" w:space="0" w:color="000000"/>
        <w:insideH w:val="single" w:sz="8" w:space="0" w:color="000000"/>
        <w:insideV w:val="single" w:sz="8" w:space="0" w:color="000000"/>
      </w:tblBorders>
      <w:tblCellMar>
        <w:left w:w="72" w:type="dxa"/>
        <w:right w:w="72" w:type="dxa"/>
      </w:tblCellMar>
    </w:tblPr>
    <w:tblStylePr w:type="firstRow">
      <w:pPr>
        <w:wordWrap/>
        <w:spacing w:beforeLines="0" w:before="40" w:beforeAutospacing="0" w:afterLines="0" w:after="40" w:afterAutospacing="0"/>
        <w:jc w:val="left"/>
      </w:pPr>
      <w:rPr>
        <w:rFonts w:ascii="Arial" w:hAnsi="Arial"/>
        <w:b/>
        <w:i w:val="0"/>
        <w:caps w:val="0"/>
        <w:smallCaps w:val="0"/>
        <w:color w:val="000000"/>
        <w:sz w:val="22"/>
      </w:rPr>
    </w:tblStylePr>
    <w:tblStylePr w:type="firstCol">
      <w:rPr>
        <w:b/>
        <w:color w:val="000000"/>
      </w:rPr>
    </w:tblStylePr>
  </w:style>
  <w:style w:type="table" w:customStyle="1" w:styleId="LightShading13">
    <w:name w:val="Light Shading13"/>
    <w:basedOn w:val="TableNormal"/>
    <w:next w:val="LightShading"/>
    <w:uiPriority w:val="60"/>
    <w:rsid w:val="006D0778"/>
    <w:pPr>
      <w:spacing w:after="0" w:line="264" w:lineRule="auto"/>
    </w:pPr>
    <w:rPr>
      <w:rFonts w:eastAsia="MS PGothic"/>
      <w:color w:val="000000"/>
      <w:sz w:val="20"/>
      <w:szCs w:val="20"/>
      <w:lang w:eastAsia="ja-JP"/>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GridTable6Colorful-Accent518">
    <w:name w:val="Grid Table 6 Colorful - Accent 518"/>
    <w:basedOn w:val="TableNormal"/>
    <w:next w:val="GridTable6Colorful-Accent540"/>
    <w:uiPriority w:val="51"/>
    <w:rsid w:val="006D0778"/>
    <w:pPr>
      <w:spacing w:after="0" w:line="264" w:lineRule="auto"/>
    </w:pPr>
    <w:rPr>
      <w:rFonts w:ascii="Calibri" w:eastAsia="Calibri" w:hAnsi="Calibri" w:cs="Times New Roman"/>
      <w:color w:val="474747"/>
      <w:sz w:val="20"/>
      <w:szCs w:val="20"/>
    </w:rPr>
    <w:tblPr>
      <w:tblStyleRowBandSize w:val="1"/>
      <w:tblStyleColBandSize w:val="1"/>
      <w:tblBorders>
        <w:top w:val="single" w:sz="4" w:space="0" w:color="9F9F9F"/>
        <w:left w:val="single" w:sz="4" w:space="0" w:color="9F9F9F"/>
        <w:bottom w:val="single" w:sz="4" w:space="0" w:color="9F9F9F"/>
        <w:right w:val="single" w:sz="4" w:space="0" w:color="9F9F9F"/>
        <w:insideH w:val="single" w:sz="4" w:space="0" w:color="9F9F9F"/>
        <w:insideV w:val="single" w:sz="4" w:space="0" w:color="9F9F9F"/>
      </w:tblBorders>
    </w:tblPr>
    <w:tblStylePr w:type="firstRow">
      <w:rPr>
        <w:b/>
        <w:bCs/>
      </w:rPr>
      <w:tblPr/>
      <w:tcPr>
        <w:tcBorders>
          <w:bottom w:val="single" w:sz="12" w:space="0" w:color="9F9F9F"/>
        </w:tcBorders>
      </w:tcPr>
    </w:tblStylePr>
    <w:tblStylePr w:type="lastRow">
      <w:rPr>
        <w:b/>
        <w:bCs/>
      </w:rPr>
      <w:tblPr/>
      <w:tcPr>
        <w:tcBorders>
          <w:top w:val="double" w:sz="4" w:space="0" w:color="9F9F9F"/>
        </w:tcBorders>
      </w:tcPr>
    </w:tblStylePr>
    <w:tblStylePr w:type="firstCol">
      <w:rPr>
        <w:b/>
        <w:bCs/>
      </w:rPr>
    </w:tblStylePr>
    <w:tblStylePr w:type="lastCol">
      <w:rPr>
        <w:b/>
        <w:bCs/>
      </w:rPr>
    </w:tblStylePr>
    <w:tblStylePr w:type="band1Vert">
      <w:tblPr/>
      <w:tcPr>
        <w:shd w:val="clear" w:color="auto" w:fill="DFDFDF"/>
      </w:tcPr>
    </w:tblStylePr>
    <w:tblStylePr w:type="band1Horz">
      <w:tblPr/>
      <w:tcPr>
        <w:shd w:val="clear" w:color="auto" w:fill="DFDFDF"/>
      </w:tcPr>
    </w:tblStylePr>
  </w:style>
  <w:style w:type="table" w:customStyle="1" w:styleId="LightShading-Accent129">
    <w:name w:val="Light Shading - Accent 129"/>
    <w:basedOn w:val="TableNormal"/>
    <w:uiPriority w:val="60"/>
    <w:rsid w:val="006D0778"/>
    <w:pPr>
      <w:spacing w:after="0" w:line="264" w:lineRule="auto"/>
    </w:pPr>
    <w:rPr>
      <w:rFonts w:ascii="Cambria" w:eastAsia="Calibri" w:hAnsi="Cambria" w:cs="Times New Roman"/>
      <w:color w:val="A8422A"/>
      <w:sz w:val="20"/>
      <w:szCs w:val="20"/>
      <w:lang w:val="en-GB" w:eastAsia="sr-Cyrl-CS"/>
    </w:rPr>
    <w:tblPr>
      <w:tblStyleRowBandSize w:val="1"/>
      <w:tblStyleColBandSize w:val="1"/>
      <w:tblBorders>
        <w:top w:val="single" w:sz="8" w:space="0" w:color="D16349"/>
        <w:bottom w:val="single" w:sz="8" w:space="0" w:color="D16349"/>
      </w:tblBorders>
    </w:tblPr>
    <w:tblStylePr w:type="fir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la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D8D2"/>
      </w:tcPr>
    </w:tblStylePr>
    <w:tblStylePr w:type="band1Horz">
      <w:tblPr/>
      <w:tcPr>
        <w:tcBorders>
          <w:left w:val="nil"/>
          <w:right w:val="nil"/>
          <w:insideH w:val="nil"/>
          <w:insideV w:val="nil"/>
        </w:tcBorders>
        <w:shd w:val="clear" w:color="auto" w:fill="F3D8D2"/>
      </w:tcPr>
    </w:tblStylePr>
  </w:style>
  <w:style w:type="table" w:customStyle="1" w:styleId="GridTable6Colorful-Accent5114">
    <w:name w:val="Grid Table 6 Colorful - Accent 5114"/>
    <w:basedOn w:val="TableNormal"/>
    <w:uiPriority w:val="51"/>
    <w:rsid w:val="006D0778"/>
    <w:pPr>
      <w:spacing w:after="0" w:line="264" w:lineRule="auto"/>
    </w:pPr>
    <w:rPr>
      <w:rFonts w:ascii="Calibri" w:eastAsia="Calibri" w:hAnsi="Calibri" w:cs="Times New Roman"/>
      <w:color w:val="387AAA"/>
      <w:sz w:val="20"/>
      <w:szCs w:val="20"/>
    </w:rPr>
    <w:tblPr>
      <w:tblStyleRowBandSize w:val="1"/>
      <w:tblStyleColBandSize w:val="1"/>
      <w:tblBorders>
        <w:top w:val="single" w:sz="4" w:space="0" w:color="A1C5E0"/>
        <w:left w:val="single" w:sz="4" w:space="0" w:color="A1C5E0"/>
        <w:bottom w:val="single" w:sz="4" w:space="0" w:color="A1C5E0"/>
        <w:right w:val="single" w:sz="4" w:space="0" w:color="A1C5E0"/>
        <w:insideH w:val="single" w:sz="4" w:space="0" w:color="A1C5E0"/>
        <w:insideV w:val="single" w:sz="4" w:space="0" w:color="A1C5E0"/>
      </w:tblBorders>
    </w:tblPr>
    <w:tblStylePr w:type="firstRow">
      <w:rPr>
        <w:b/>
        <w:bCs/>
      </w:rPr>
      <w:tblPr/>
      <w:tcPr>
        <w:tcBorders>
          <w:bottom w:val="single" w:sz="12" w:space="0" w:color="A1C5E0"/>
        </w:tcBorders>
      </w:tcPr>
    </w:tblStylePr>
    <w:tblStylePr w:type="lastRow">
      <w:rPr>
        <w:b/>
        <w:bCs/>
      </w:rPr>
      <w:tblPr/>
      <w:tcPr>
        <w:tcBorders>
          <w:top w:val="double" w:sz="4" w:space="0" w:color="A1C5E0"/>
        </w:tcBorders>
      </w:tcPr>
    </w:tblStylePr>
    <w:tblStylePr w:type="firstCol">
      <w:rPr>
        <w:b/>
        <w:bCs/>
      </w:rPr>
    </w:tblStylePr>
    <w:tblStylePr w:type="lastCol">
      <w:rPr>
        <w:b/>
        <w:bCs/>
      </w:rPr>
    </w:tblStylePr>
    <w:tblStylePr w:type="band1Vert">
      <w:tblPr/>
      <w:tcPr>
        <w:shd w:val="clear" w:color="auto" w:fill="DFEBF4"/>
      </w:tcPr>
    </w:tblStylePr>
    <w:tblStylePr w:type="band1Horz">
      <w:tblPr/>
      <w:tcPr>
        <w:shd w:val="clear" w:color="auto" w:fill="DFEBF4"/>
      </w:tcPr>
    </w:tblStylePr>
  </w:style>
  <w:style w:type="table" w:customStyle="1" w:styleId="LightShading-Accent1215">
    <w:name w:val="Light Shading - Accent 1215"/>
    <w:basedOn w:val="TableNormal"/>
    <w:uiPriority w:val="60"/>
    <w:rsid w:val="006D0778"/>
    <w:pPr>
      <w:spacing w:after="0" w:line="264" w:lineRule="auto"/>
    </w:pPr>
    <w:rPr>
      <w:rFonts w:ascii="Cambria" w:eastAsia="Calibri" w:hAnsi="Cambria" w:cs="Times New Roman"/>
      <w:color w:val="A8422A"/>
      <w:sz w:val="20"/>
      <w:szCs w:val="20"/>
      <w:lang w:val="en-GB" w:eastAsia="sr-Cyrl-CS"/>
    </w:rPr>
    <w:tblPr>
      <w:tblStyleRowBandSize w:val="1"/>
      <w:tblStyleColBandSize w:val="1"/>
      <w:tblBorders>
        <w:top w:val="single" w:sz="8" w:space="0" w:color="D16349"/>
        <w:bottom w:val="single" w:sz="8" w:space="0" w:color="D16349"/>
      </w:tblBorders>
    </w:tblPr>
    <w:tblStylePr w:type="fir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la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D8D2"/>
      </w:tcPr>
    </w:tblStylePr>
    <w:tblStylePr w:type="band1Horz">
      <w:tblPr/>
      <w:tcPr>
        <w:tcBorders>
          <w:left w:val="nil"/>
          <w:right w:val="nil"/>
          <w:insideH w:val="nil"/>
          <w:insideV w:val="nil"/>
        </w:tcBorders>
        <w:shd w:val="clear" w:color="auto" w:fill="F3D8D2"/>
      </w:tcPr>
    </w:tblStylePr>
  </w:style>
  <w:style w:type="table" w:customStyle="1" w:styleId="GridTable6Colorful-Accent113">
    <w:name w:val="Grid Table 6 Colorful - Accent 113"/>
    <w:basedOn w:val="TableNormal"/>
    <w:next w:val="GridTable6Colorful-Accent130"/>
    <w:uiPriority w:val="51"/>
    <w:rsid w:val="006D0778"/>
    <w:pPr>
      <w:spacing w:after="0" w:line="264" w:lineRule="auto"/>
    </w:pPr>
    <w:rPr>
      <w:rFonts w:eastAsia="MS PGothic"/>
      <w:color w:val="BF2B0E"/>
      <w:sz w:val="20"/>
      <w:szCs w:val="20"/>
      <w:lang w:eastAsia="ja-JP"/>
    </w:rPr>
    <w:tblPr>
      <w:tblStyleRowBandSize w:val="1"/>
      <w:tblStyleColBandSize w:val="1"/>
      <w:tblBorders>
        <w:top w:val="single" w:sz="4" w:space="0" w:color="F58F7A"/>
        <w:left w:val="single" w:sz="4" w:space="0" w:color="F58F7A"/>
        <w:bottom w:val="single" w:sz="4" w:space="0" w:color="F58F7A"/>
        <w:right w:val="single" w:sz="4" w:space="0" w:color="F58F7A"/>
        <w:insideH w:val="single" w:sz="4" w:space="0" w:color="F58F7A"/>
        <w:insideV w:val="single" w:sz="4" w:space="0" w:color="F58F7A"/>
      </w:tblBorders>
    </w:tblPr>
    <w:tblStylePr w:type="firstRow">
      <w:rPr>
        <w:b/>
        <w:bCs/>
      </w:rPr>
      <w:tblPr/>
      <w:tcPr>
        <w:tcBorders>
          <w:bottom w:val="single" w:sz="12" w:space="0" w:color="F58F7A"/>
        </w:tcBorders>
      </w:tcPr>
    </w:tblStylePr>
    <w:tblStylePr w:type="lastRow">
      <w:rPr>
        <w:b/>
        <w:bCs/>
      </w:rPr>
      <w:tblPr/>
      <w:tcPr>
        <w:tcBorders>
          <w:top w:val="double" w:sz="4" w:space="0" w:color="F58F7A"/>
        </w:tcBorders>
      </w:tcPr>
    </w:tblStylePr>
    <w:tblStylePr w:type="firstCol">
      <w:rPr>
        <w:b/>
        <w:bCs/>
      </w:rPr>
    </w:tblStylePr>
    <w:tblStylePr w:type="lastCol">
      <w:rPr>
        <w:b/>
        <w:bCs/>
      </w:rPr>
    </w:tblStylePr>
    <w:tblStylePr w:type="band1Vert">
      <w:tblPr/>
      <w:tcPr>
        <w:shd w:val="clear" w:color="auto" w:fill="FBD9D2"/>
      </w:tcPr>
    </w:tblStylePr>
    <w:tblStylePr w:type="band1Horz">
      <w:tblPr/>
      <w:tcPr>
        <w:shd w:val="clear" w:color="auto" w:fill="FBD9D2"/>
      </w:tcPr>
    </w:tblStylePr>
  </w:style>
  <w:style w:type="table" w:customStyle="1" w:styleId="LightShading-Accent1224">
    <w:name w:val="Light Shading - Accent 1224"/>
    <w:basedOn w:val="TableNormal"/>
    <w:uiPriority w:val="60"/>
    <w:rsid w:val="006D0778"/>
    <w:pPr>
      <w:spacing w:after="0" w:line="240" w:lineRule="auto"/>
    </w:pPr>
    <w:rPr>
      <w:rFonts w:ascii="Cambria" w:eastAsia="Calibri" w:hAnsi="Cambria" w:cs="Times New Roman"/>
      <w:color w:val="A8422A"/>
      <w:sz w:val="20"/>
      <w:szCs w:val="20"/>
      <w:lang w:val="en-GB" w:eastAsia="sr-Cyrl-CS"/>
    </w:rPr>
    <w:tblPr>
      <w:tblStyleRowBandSize w:val="1"/>
      <w:tblStyleColBandSize w:val="1"/>
      <w:tblBorders>
        <w:top w:val="single" w:sz="8" w:space="0" w:color="D16349"/>
        <w:bottom w:val="single" w:sz="8" w:space="0" w:color="D16349"/>
      </w:tblBorders>
    </w:tblPr>
    <w:tblStylePr w:type="fir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la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D8D2"/>
      </w:tcPr>
    </w:tblStylePr>
    <w:tblStylePr w:type="band1Horz">
      <w:tblPr/>
      <w:tcPr>
        <w:tcBorders>
          <w:left w:val="nil"/>
          <w:right w:val="nil"/>
          <w:insideH w:val="nil"/>
          <w:insideV w:val="nil"/>
        </w:tcBorders>
        <w:shd w:val="clear" w:color="auto" w:fill="F3D8D2"/>
      </w:tcPr>
    </w:tblStylePr>
  </w:style>
  <w:style w:type="table" w:customStyle="1" w:styleId="GridTable6Colorful-Accent524">
    <w:name w:val="Grid Table 6 Colorful - Accent 524"/>
    <w:basedOn w:val="TableNormal"/>
    <w:next w:val="GridTable6Colorful-Accent540"/>
    <w:uiPriority w:val="51"/>
    <w:rsid w:val="006D0778"/>
    <w:pPr>
      <w:spacing w:after="0" w:line="240" w:lineRule="auto"/>
    </w:pPr>
    <w:rPr>
      <w:rFonts w:ascii="Calibri" w:eastAsia="Calibri" w:hAnsi="Calibri" w:cs="Times New Roman"/>
      <w:color w:val="C19300"/>
      <w:sz w:val="20"/>
      <w:szCs w:val="20"/>
    </w:rPr>
    <w:tblPr>
      <w:tblStyleRowBandSize w:val="1"/>
      <w:tblStyleColBandSize w:val="1"/>
      <w:tblBorders>
        <w:top w:val="single" w:sz="4" w:space="0" w:color="FEDA69"/>
        <w:left w:val="single" w:sz="4" w:space="0" w:color="FEDA69"/>
        <w:bottom w:val="single" w:sz="4" w:space="0" w:color="FEDA69"/>
        <w:right w:val="single" w:sz="4" w:space="0" w:color="FEDA69"/>
        <w:insideH w:val="single" w:sz="4" w:space="0" w:color="FEDA69"/>
        <w:insideV w:val="single" w:sz="4" w:space="0" w:color="FEDA69"/>
      </w:tblBorders>
    </w:tblPr>
    <w:tblStylePr w:type="firstRow">
      <w:rPr>
        <w:b/>
        <w:bCs/>
      </w:rPr>
      <w:tblPr/>
      <w:tcPr>
        <w:tcBorders>
          <w:bottom w:val="single" w:sz="12" w:space="0" w:color="FEDA69"/>
        </w:tcBorders>
      </w:tcPr>
    </w:tblStylePr>
    <w:tblStylePr w:type="lastRow">
      <w:rPr>
        <w:b/>
        <w:bCs/>
      </w:rPr>
      <w:tblPr/>
      <w:tcPr>
        <w:tcBorders>
          <w:top w:val="double" w:sz="4" w:space="0" w:color="FEDA69"/>
        </w:tcBorders>
      </w:tcPr>
    </w:tblStylePr>
    <w:tblStylePr w:type="firstCol">
      <w:rPr>
        <w:b/>
        <w:bCs/>
      </w:rPr>
    </w:tblStylePr>
    <w:tblStylePr w:type="lastCol">
      <w:rPr>
        <w:b/>
        <w:bCs/>
      </w:rPr>
    </w:tblStylePr>
    <w:tblStylePr w:type="band1Vert">
      <w:tblPr/>
      <w:tcPr>
        <w:shd w:val="clear" w:color="auto" w:fill="FEF2CD"/>
      </w:tcPr>
    </w:tblStylePr>
    <w:tblStylePr w:type="band1Horz">
      <w:tblPr/>
      <w:tcPr>
        <w:shd w:val="clear" w:color="auto" w:fill="FEF2CD"/>
      </w:tcPr>
    </w:tblStylePr>
  </w:style>
  <w:style w:type="table" w:customStyle="1" w:styleId="tabele38">
    <w:name w:val="tabele 38"/>
    <w:basedOn w:val="TableNormal"/>
    <w:next w:val="LightList-Accent3"/>
    <w:uiPriority w:val="61"/>
    <w:rsid w:val="006D0778"/>
    <w:pPr>
      <w:spacing w:after="0" w:line="240" w:lineRule="auto"/>
    </w:pPr>
    <w:rPr>
      <w:rFonts w:ascii="Cambria Math" w:eastAsia="Calibri" w:hAnsi="Cambria Math" w:cs="Times New Roman"/>
      <w:sz w:val="18"/>
      <w:lang w:val="sr-Cyrl-CS"/>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LightShading-Accent1118">
    <w:name w:val="Light Shading - Accent 1118"/>
    <w:basedOn w:val="TableNormal"/>
    <w:uiPriority w:val="60"/>
    <w:rsid w:val="006D0778"/>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38">
    <w:name w:val="Light Shading - Accent 38"/>
    <w:basedOn w:val="TableNormal"/>
    <w:next w:val="LightShading-Accent3"/>
    <w:uiPriority w:val="60"/>
    <w:rsid w:val="006D0778"/>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List-Accent58">
    <w:name w:val="Light List - Accent 58"/>
    <w:basedOn w:val="TableNormal"/>
    <w:next w:val="LightList-Accent5"/>
    <w:uiPriority w:val="61"/>
    <w:rsid w:val="006D0778"/>
    <w:pPr>
      <w:spacing w:after="0" w:line="240" w:lineRule="auto"/>
    </w:pPr>
    <w:rPr>
      <w:rFonts w:ascii="Calibri" w:eastAsia="Calibri" w:hAnsi="Calibri" w:cs="Times New Roman"/>
      <w:sz w:val="20"/>
      <w:szCs w:val="20"/>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Shading-Accent318">
    <w:name w:val="Light Shading - Accent 318"/>
    <w:basedOn w:val="TableNormal"/>
    <w:next w:val="LightShading-Accent3"/>
    <w:uiPriority w:val="60"/>
    <w:rsid w:val="006D0778"/>
    <w:pPr>
      <w:spacing w:after="0" w:line="240" w:lineRule="auto"/>
    </w:pPr>
    <w:rPr>
      <w:rFonts w:ascii="Constantia" w:eastAsia="Constantia" w:hAnsi="Constantia" w:cs="Times New Roman"/>
      <w:color w:val="8CADAE"/>
      <w:lang w:val="sr-Cyrl-CS"/>
    </w:rPr>
    <w:tblPr>
      <w:tblStyleRowBandSize w:val="1"/>
      <w:tblStyleColBandSize w:val="1"/>
      <w:tblBorders>
        <w:top w:val="single" w:sz="8" w:space="0" w:color="8CADAE"/>
        <w:bottom w:val="single" w:sz="8" w:space="0" w:color="8CADAE"/>
      </w:tblBorders>
    </w:tblPr>
    <w:tblStylePr w:type="fir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la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2EAEB"/>
      </w:tcPr>
    </w:tblStylePr>
    <w:tblStylePr w:type="band1Horz">
      <w:tblPr/>
      <w:tcPr>
        <w:tcBorders>
          <w:left w:val="nil"/>
          <w:right w:val="nil"/>
          <w:insideH w:val="nil"/>
          <w:insideV w:val="nil"/>
        </w:tcBorders>
        <w:shd w:val="clear" w:color="auto" w:fill="E2EAEB"/>
      </w:tcPr>
    </w:tblStylePr>
  </w:style>
  <w:style w:type="table" w:customStyle="1" w:styleId="LightList-Accent319">
    <w:name w:val="Light List - Accent 319"/>
    <w:basedOn w:val="TableNormal"/>
    <w:next w:val="LightList-Accent3"/>
    <w:uiPriority w:val="61"/>
    <w:rsid w:val="006D0778"/>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TableGrid16">
    <w:name w:val="Table Grid16"/>
    <w:basedOn w:val="TableNormal"/>
    <w:next w:val="TableGrid"/>
    <w:uiPriority w:val="59"/>
    <w:rsid w:val="006D0778"/>
    <w:pPr>
      <w:spacing w:after="0" w:line="240" w:lineRule="auto"/>
    </w:pPr>
    <w:rPr>
      <w:rFonts w:ascii="Constantia" w:eastAsia="Constantia" w:hAnsi="Constantia" w:cs="Times New Roman"/>
      <w:lang w:val="sr-Cyrl-C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ghtList-Accent518">
    <w:name w:val="Light List - Accent 518"/>
    <w:basedOn w:val="TableNormal"/>
    <w:next w:val="LightList-Accent5"/>
    <w:uiPriority w:val="61"/>
    <w:rsid w:val="006D0778"/>
    <w:pPr>
      <w:spacing w:after="0" w:line="240" w:lineRule="auto"/>
    </w:pPr>
    <w:rPr>
      <w:rFonts w:ascii="Times New Roman" w:eastAsia="Constantia" w:hAnsi="Times New Roman" w:cs="Times New Roman"/>
      <w:lang w:val="sr-Cyrl-CS"/>
    </w:rPr>
    <w:tblPr>
      <w:tblStyleRowBandSize w:val="1"/>
      <w:tblStyleColBandSize w:val="1"/>
      <w:tblBorders>
        <w:top w:val="single" w:sz="8" w:space="0" w:color="8FB08C"/>
        <w:left w:val="single" w:sz="8" w:space="0" w:color="8FB08C"/>
        <w:bottom w:val="single" w:sz="8" w:space="0" w:color="8FB08C"/>
        <w:right w:val="single" w:sz="8" w:space="0" w:color="8FB08C"/>
      </w:tblBorders>
    </w:tblPr>
    <w:tblStylePr w:type="firstRow">
      <w:pPr>
        <w:spacing w:before="0" w:after="0" w:line="240" w:lineRule="auto"/>
      </w:pPr>
      <w:rPr>
        <w:b/>
        <w:bCs/>
        <w:color w:val="FFFFFF"/>
      </w:rPr>
      <w:tblPr/>
      <w:tcPr>
        <w:shd w:val="clear" w:color="auto" w:fill="8FB08C"/>
      </w:tcPr>
    </w:tblStylePr>
    <w:tblStylePr w:type="lastRow">
      <w:pPr>
        <w:spacing w:before="0" w:after="0" w:line="240" w:lineRule="auto"/>
      </w:pPr>
      <w:rPr>
        <w:b/>
        <w:bCs/>
      </w:rPr>
      <w:tblPr/>
      <w:tcPr>
        <w:tcBorders>
          <w:top w:val="double" w:sz="6" w:space="0" w:color="8FB08C"/>
          <w:left w:val="single" w:sz="8" w:space="0" w:color="8FB08C"/>
          <w:bottom w:val="single" w:sz="8" w:space="0" w:color="8FB08C"/>
          <w:right w:val="single" w:sz="8" w:space="0" w:color="8FB08C"/>
        </w:tcBorders>
      </w:tcPr>
    </w:tblStylePr>
    <w:tblStylePr w:type="firstCol">
      <w:rPr>
        <w:b/>
        <w:bCs/>
      </w:rPr>
    </w:tblStylePr>
    <w:tblStylePr w:type="lastCol">
      <w:rPr>
        <w:b/>
        <w:bCs/>
      </w:rPr>
    </w:tblStylePr>
    <w:tblStylePr w:type="band1Vert">
      <w:tblPr/>
      <w:tcPr>
        <w:tcBorders>
          <w:top w:val="single" w:sz="8" w:space="0" w:color="8FB08C"/>
          <w:left w:val="single" w:sz="8" w:space="0" w:color="8FB08C"/>
          <w:bottom w:val="single" w:sz="8" w:space="0" w:color="8FB08C"/>
          <w:right w:val="single" w:sz="8" w:space="0" w:color="8FB08C"/>
        </w:tcBorders>
      </w:tcPr>
    </w:tblStylePr>
    <w:tblStylePr w:type="band1Horz">
      <w:tblPr/>
      <w:tcPr>
        <w:tcBorders>
          <w:top w:val="single" w:sz="8" w:space="0" w:color="8FB08C"/>
          <w:left w:val="single" w:sz="8" w:space="0" w:color="8FB08C"/>
          <w:bottom w:val="single" w:sz="8" w:space="0" w:color="8FB08C"/>
          <w:right w:val="single" w:sz="8" w:space="0" w:color="8FB08C"/>
        </w:tcBorders>
      </w:tcPr>
    </w:tblStylePr>
  </w:style>
  <w:style w:type="table" w:customStyle="1" w:styleId="MediumList1-Accent515">
    <w:name w:val="Medium List 1 - Accent 515"/>
    <w:basedOn w:val="TableNormal"/>
    <w:next w:val="MediumList1-Accent5"/>
    <w:uiPriority w:val="65"/>
    <w:rsid w:val="006D0778"/>
    <w:pPr>
      <w:spacing w:after="0" w:line="240" w:lineRule="auto"/>
    </w:pPr>
    <w:rPr>
      <w:rFonts w:ascii="Constantia" w:eastAsia="Constantia" w:hAnsi="Constantia" w:cs="Times New Roman"/>
      <w:color w:val="000000"/>
      <w:lang w:val="sr-Cyrl-CS"/>
    </w:rPr>
    <w:tblPr>
      <w:tblStyleRowBandSize w:val="1"/>
      <w:tblStyleColBandSize w:val="1"/>
      <w:tblBorders>
        <w:top w:val="single" w:sz="8" w:space="0" w:color="8FB08C"/>
        <w:bottom w:val="single" w:sz="8" w:space="0" w:color="8FB08C"/>
      </w:tblBorders>
    </w:tblPr>
    <w:tblStylePr w:type="firstRow">
      <w:rPr>
        <w:rFonts w:ascii="Verdana" w:eastAsia="Times New Roman" w:hAnsi="Verdana" w:cs="Times New Roman"/>
      </w:rPr>
      <w:tblPr/>
      <w:tcPr>
        <w:tcBorders>
          <w:top w:val="nil"/>
          <w:bottom w:val="single" w:sz="8" w:space="0" w:color="8FB08C"/>
        </w:tcBorders>
      </w:tcPr>
    </w:tblStylePr>
    <w:tblStylePr w:type="lastRow">
      <w:rPr>
        <w:b/>
        <w:bCs/>
        <w:color w:val="646B86"/>
      </w:rPr>
      <w:tblPr/>
      <w:tcPr>
        <w:tcBorders>
          <w:top w:val="single" w:sz="8" w:space="0" w:color="8FB08C"/>
          <w:bottom w:val="single" w:sz="8" w:space="0" w:color="8FB08C"/>
        </w:tcBorders>
      </w:tcPr>
    </w:tblStylePr>
    <w:tblStylePr w:type="firstCol">
      <w:rPr>
        <w:b/>
        <w:bCs/>
      </w:rPr>
    </w:tblStylePr>
    <w:tblStylePr w:type="lastCol">
      <w:rPr>
        <w:b/>
        <w:bCs/>
      </w:rPr>
      <w:tblPr/>
      <w:tcPr>
        <w:tcBorders>
          <w:top w:val="single" w:sz="8" w:space="0" w:color="8FB08C"/>
          <w:bottom w:val="single" w:sz="8" w:space="0" w:color="8FB08C"/>
        </w:tcBorders>
      </w:tcPr>
    </w:tblStylePr>
    <w:tblStylePr w:type="band1Vert">
      <w:tblPr/>
      <w:tcPr>
        <w:shd w:val="clear" w:color="auto" w:fill="E3EBE2"/>
      </w:tcPr>
    </w:tblStylePr>
    <w:tblStylePr w:type="band1Horz">
      <w:tblPr/>
      <w:tcPr>
        <w:shd w:val="clear" w:color="auto" w:fill="E3EBE2"/>
      </w:tcPr>
    </w:tblStylePr>
  </w:style>
  <w:style w:type="table" w:customStyle="1" w:styleId="MediumList1-Accent56">
    <w:name w:val="Medium List 1 - Accent 56"/>
    <w:basedOn w:val="TableNormal"/>
    <w:next w:val="MediumList1-Accent5"/>
    <w:uiPriority w:val="65"/>
    <w:rsid w:val="006D0778"/>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4BACC6"/>
        <w:bottom w:val="single" w:sz="8" w:space="0" w:color="4BACC6"/>
      </w:tblBorders>
    </w:tblPr>
    <w:tblStylePr w:type="firstRow">
      <w:rPr>
        <w:rFonts w:ascii="Times New Roman" w:eastAsia="Times New Roman" w:hAnsi="Times New Roman" w:cs="Times New Roman"/>
      </w:rPr>
      <w:tblPr/>
      <w:tcPr>
        <w:tcBorders>
          <w:top w:val="nil"/>
          <w:bottom w:val="single" w:sz="8" w:space="0" w:color="4BACC6"/>
        </w:tcBorders>
      </w:tcPr>
    </w:tblStylePr>
    <w:tblStylePr w:type="lastRow">
      <w:rPr>
        <w:b/>
        <w:bCs/>
        <w:color w:val="1F497D"/>
      </w:rPr>
      <w:tblPr/>
      <w:tcPr>
        <w:tcBorders>
          <w:top w:val="single" w:sz="8" w:space="0" w:color="4BACC6"/>
          <w:bottom w:val="single" w:sz="8" w:space="0" w:color="4BACC6"/>
        </w:tcBorders>
      </w:tcPr>
    </w:tblStylePr>
    <w:tblStylePr w:type="firstCol">
      <w:rPr>
        <w:b/>
        <w:bCs/>
      </w:rPr>
    </w:tblStylePr>
    <w:tblStylePr w:type="lastCol">
      <w:rPr>
        <w:b/>
        <w:bCs/>
      </w:rPr>
      <w:tblPr/>
      <w:tcPr>
        <w:tcBorders>
          <w:top w:val="single" w:sz="8" w:space="0" w:color="4BACC6"/>
          <w:bottom w:val="single" w:sz="8" w:space="0" w:color="4BACC6"/>
        </w:tcBorders>
      </w:tcPr>
    </w:tblStylePr>
    <w:tblStylePr w:type="band1Vert">
      <w:tblPr/>
      <w:tcPr>
        <w:shd w:val="clear" w:color="auto" w:fill="D2EAF1"/>
      </w:tcPr>
    </w:tblStylePr>
    <w:tblStylePr w:type="band1Horz">
      <w:tblPr/>
      <w:tcPr>
        <w:shd w:val="clear" w:color="auto" w:fill="D2EAF1"/>
      </w:tcPr>
    </w:tblStylePr>
  </w:style>
  <w:style w:type="numbering" w:customStyle="1" w:styleId="NoList114">
    <w:name w:val="No List114"/>
    <w:next w:val="NoList"/>
    <w:uiPriority w:val="99"/>
    <w:semiHidden/>
    <w:unhideWhenUsed/>
    <w:rsid w:val="006D0778"/>
  </w:style>
  <w:style w:type="table" w:customStyle="1" w:styleId="LightGrid-Accent519">
    <w:name w:val="Light Grid - Accent 519"/>
    <w:basedOn w:val="TableNormal"/>
    <w:next w:val="LightGrid-Accent5"/>
    <w:uiPriority w:val="62"/>
    <w:rsid w:val="006D0778"/>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omic Sans MS" w:eastAsia="Times New Roman" w:hAnsi="Comic Sans MS"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omic Sans MS" w:eastAsia="Times New Roman" w:hAnsi="Comic Sans MS"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omic Sans MS" w:eastAsia="Times New Roman" w:hAnsi="Comic Sans MS" w:cs="Times New Roman"/>
        <w:b/>
        <w:bCs/>
      </w:rPr>
    </w:tblStylePr>
    <w:tblStylePr w:type="lastCol">
      <w:rPr>
        <w:rFonts w:ascii="Comic Sans MS" w:eastAsia="Times New Roman" w:hAnsi="Comic Sans MS"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1180">
    <w:name w:val="Светло сенчење – наглашавање 118"/>
    <w:basedOn w:val="TableNormal"/>
    <w:uiPriority w:val="60"/>
    <w:rsid w:val="006D0778"/>
    <w:pPr>
      <w:spacing w:after="0" w:line="240" w:lineRule="auto"/>
    </w:pPr>
    <w:rPr>
      <w:rFonts w:ascii="Calibri" w:eastAsia="Calibri" w:hAnsi="Calibri" w:cs="Times New Roman"/>
      <w:color w:val="365F91"/>
      <w:sz w:val="20"/>
      <w:szCs w:val="20"/>
      <w:lang w:val="sr-Latn-CS" w:eastAsia="en-GB"/>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Grid-Accent510">
    <w:name w:val="Light Grid - Accent 510"/>
    <w:basedOn w:val="TableNormal"/>
    <w:next w:val="LightGrid-Accent5"/>
    <w:uiPriority w:val="62"/>
    <w:rsid w:val="006D0778"/>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Comic Sans MS" w:eastAsia="Times New Roman" w:hAnsi="Comic Sans MS"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Comic Sans MS" w:eastAsia="Times New Roman" w:hAnsi="Comic Sans MS"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Comic Sans MS" w:eastAsia="Times New Roman" w:hAnsi="Comic Sans MS" w:cs="Times New Roman"/>
        <w:b/>
        <w:bCs/>
      </w:rPr>
    </w:tblStylePr>
    <w:tblStylePr w:type="lastCol">
      <w:rPr>
        <w:rFonts w:ascii="Comic Sans MS" w:eastAsia="Times New Roman" w:hAnsi="Comic Sans MS"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tabelezaifs4">
    <w:name w:val="tabele za ifs4"/>
    <w:basedOn w:val="TableNormal"/>
    <w:uiPriority w:val="99"/>
    <w:qFormat/>
    <w:rsid w:val="006D0778"/>
    <w:pPr>
      <w:spacing w:after="0" w:line="240" w:lineRule="auto"/>
    </w:pPr>
    <w:rPr>
      <w:rFonts w:ascii="Cambria Math" w:eastAsia="Calibri" w:hAnsi="Cambria Math" w:cs="Times New Roman"/>
      <w:sz w:val="20"/>
      <w:szCs w:val="20"/>
      <w:lang w:val="en-GB" w:eastAsia="en-GB"/>
    </w:rPr>
    <w:tblPr/>
  </w:style>
  <w:style w:type="table" w:customStyle="1" w:styleId="tabelezaifs14">
    <w:name w:val="tabele za ifs 14"/>
    <w:basedOn w:val="TableNormal"/>
    <w:uiPriority w:val="66"/>
    <w:rsid w:val="006D0778"/>
    <w:pPr>
      <w:spacing w:after="0" w:line="240" w:lineRule="auto"/>
    </w:pPr>
    <w:rPr>
      <w:rFonts w:ascii="Cambria Math" w:eastAsia="Times New Roman" w:hAnsi="Cambria Math" w:cs="Times New Roman"/>
      <w:color w:val="000000"/>
      <w:sz w:val="20"/>
      <w:szCs w:val="20"/>
      <w:lang w:val="en-GB" w:eastAsia="en-GB"/>
    </w:rPr>
    <w:tblPr>
      <w:tblStyleRowBandSize w:val="1"/>
      <w:tblStyleColBandSize w:val="1"/>
      <w:tblBorders>
        <w:top w:val="single" w:sz="8" w:space="0" w:color="8CADAE"/>
        <w:left w:val="single" w:sz="8" w:space="0" w:color="8CADAE"/>
        <w:bottom w:val="single" w:sz="8" w:space="0" w:color="8CADAE"/>
        <w:right w:val="single" w:sz="8" w:space="0" w:color="8CADAE"/>
      </w:tblBorders>
    </w:tblPr>
    <w:tcPr>
      <w:vAlign w:val="bottom"/>
    </w:tcPr>
    <w:tblStylePr w:type="firstRow">
      <w:rPr>
        <w:sz w:val="24"/>
        <w:szCs w:val="24"/>
      </w:rPr>
      <w:tblPr/>
      <w:tcPr>
        <w:tcBorders>
          <w:top w:val="nil"/>
          <w:left w:val="nil"/>
          <w:bottom w:val="single" w:sz="24" w:space="0" w:color="8CADAE"/>
          <w:right w:val="nil"/>
          <w:insideH w:val="nil"/>
          <w:insideV w:val="nil"/>
        </w:tcBorders>
        <w:shd w:val="clear" w:color="auto" w:fill="FFFFFF"/>
      </w:tcPr>
    </w:tblStylePr>
    <w:tblStylePr w:type="lastRow">
      <w:tblPr/>
      <w:tcPr>
        <w:tcBorders>
          <w:top w:val="single" w:sz="8" w:space="0" w:color="8CADAE"/>
          <w:left w:val="nil"/>
          <w:bottom w:val="nil"/>
          <w:right w:val="nil"/>
          <w:insideH w:val="nil"/>
          <w:insideV w:val="nil"/>
        </w:tcBorders>
        <w:shd w:val="clear" w:color="auto" w:fill="FFFFFF"/>
      </w:tcPr>
    </w:tblStylePr>
    <w:tblStylePr w:type="firstCol">
      <w:tblPr/>
      <w:tcPr>
        <w:tcBorders>
          <w:top w:val="nil"/>
          <w:left w:val="nil"/>
          <w:bottom w:val="nil"/>
          <w:right w:val="single" w:sz="8" w:space="0" w:color="8CADAE"/>
          <w:insideH w:val="nil"/>
          <w:insideV w:val="nil"/>
        </w:tcBorders>
        <w:shd w:val="clear" w:color="auto" w:fill="FFFFFF"/>
      </w:tcPr>
    </w:tblStylePr>
    <w:tblStylePr w:type="lastCol">
      <w:tblPr/>
      <w:tcPr>
        <w:tcBorders>
          <w:top w:val="nil"/>
          <w:left w:val="single" w:sz="8" w:space="0" w:color="8CADAE"/>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2EAEB"/>
      </w:tcPr>
    </w:tblStylePr>
    <w:tblStylePr w:type="band1Horz">
      <w:tblPr/>
      <w:tcPr>
        <w:tcBorders>
          <w:top w:val="nil"/>
          <w:bottom w:val="nil"/>
          <w:insideH w:val="nil"/>
          <w:insideV w:val="nil"/>
        </w:tcBorders>
        <w:shd w:val="clear" w:color="auto" w:fill="E2EAEB"/>
      </w:tcPr>
    </w:tblStylePr>
    <w:tblStylePr w:type="nwCell">
      <w:tblPr/>
      <w:tcPr>
        <w:shd w:val="clear" w:color="auto" w:fill="FFFFFF"/>
      </w:tcPr>
    </w:tblStylePr>
    <w:tblStylePr w:type="swCell">
      <w:tblPr/>
      <w:tcPr>
        <w:tcBorders>
          <w:top w:val="nil"/>
        </w:tcBorders>
      </w:tcPr>
    </w:tblStylePr>
  </w:style>
  <w:style w:type="table" w:customStyle="1" w:styleId="ColorfulList-Accent14">
    <w:name w:val="Colorful List - Accent 14"/>
    <w:basedOn w:val="TableNormal"/>
    <w:next w:val="ColorfulList-Accent1"/>
    <w:uiPriority w:val="72"/>
    <w:rsid w:val="006D0778"/>
    <w:pPr>
      <w:spacing w:after="0" w:line="240" w:lineRule="auto"/>
    </w:pPr>
    <w:rPr>
      <w:rFonts w:ascii="Calibri" w:eastAsia="Calibri" w:hAnsi="Calibri" w:cs="Times New Roman"/>
      <w:color w:val="000000"/>
      <w:sz w:val="20"/>
      <w:szCs w:val="20"/>
      <w:lang w:val="en-GB" w:eastAsia="en-GB"/>
    </w:rPr>
    <w:tblPr>
      <w:tblStyleRowBandSize w:val="1"/>
      <w:tblStyleColBandSize w:val="1"/>
    </w:tblPr>
    <w:tcPr>
      <w:shd w:val="clear" w:color="auto" w:fill="FAEFEC"/>
    </w:tcPr>
    <w:tblStylePr w:type="firstRow">
      <w:rPr>
        <w:b/>
        <w:bCs/>
        <w:color w:val="FFFFFF"/>
      </w:rPr>
      <w:tblPr/>
      <w:tcPr>
        <w:tcBorders>
          <w:bottom w:val="single" w:sz="12" w:space="0" w:color="FFFFFF"/>
        </w:tcBorders>
        <w:shd w:val="clear" w:color="auto" w:fill="A38F00"/>
      </w:tcPr>
    </w:tblStylePr>
    <w:tblStylePr w:type="lastRow">
      <w:rPr>
        <w:b/>
        <w:bCs/>
        <w:color w:val="A38F00"/>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3D8D2"/>
      </w:tcPr>
    </w:tblStylePr>
    <w:tblStylePr w:type="band1Horz">
      <w:tblPr/>
      <w:tcPr>
        <w:shd w:val="clear" w:color="auto" w:fill="F5DFDA"/>
      </w:tcPr>
    </w:tblStylePr>
  </w:style>
  <w:style w:type="numbering" w:customStyle="1" w:styleId="NoList24">
    <w:name w:val="No List24"/>
    <w:next w:val="NoList"/>
    <w:uiPriority w:val="99"/>
    <w:semiHidden/>
    <w:unhideWhenUsed/>
    <w:rsid w:val="006D0778"/>
  </w:style>
  <w:style w:type="table" w:customStyle="1" w:styleId="LightList-Accent327">
    <w:name w:val="Light List - Accent 327"/>
    <w:basedOn w:val="TableNormal"/>
    <w:next w:val="LightList-Accent3"/>
    <w:uiPriority w:val="61"/>
    <w:rsid w:val="006D0778"/>
    <w:pPr>
      <w:spacing w:after="0" w:line="240" w:lineRule="auto"/>
    </w:pPr>
    <w:rPr>
      <w:rFonts w:ascii="Calibri" w:eastAsia="Calibri" w:hAnsi="Calibri" w:cs="Times New Roman"/>
      <w:sz w:val="20"/>
      <w:szCs w:val="20"/>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3118">
    <w:name w:val="Light List - Accent 3118"/>
    <w:basedOn w:val="TableNormal"/>
    <w:next w:val="LightList-Accent3"/>
    <w:uiPriority w:val="61"/>
    <w:rsid w:val="006D0778"/>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Shading-Accent1327">
    <w:name w:val="Light Shading - Accent 1327"/>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15">
    <w:name w:val="Light Shading - Accent 13115"/>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28">
    <w:name w:val="Light Shading - Accent 1328"/>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tabele315">
    <w:name w:val="tabele 315"/>
    <w:basedOn w:val="TableNormal"/>
    <w:next w:val="LightList-Accent3"/>
    <w:uiPriority w:val="61"/>
    <w:rsid w:val="006D0778"/>
    <w:pPr>
      <w:spacing w:after="0" w:line="240" w:lineRule="auto"/>
    </w:pPr>
    <w:rPr>
      <w:rFonts w:ascii="Cambria Math" w:eastAsia="Calibri" w:hAnsi="Cambria Math" w:cs="Times New Roman"/>
      <w:sz w:val="18"/>
      <w:lang w:val="sr-Cyrl-CS"/>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LightShading-Accent1119">
    <w:name w:val="Light Shading - Accent 1119"/>
    <w:basedOn w:val="TableNormal"/>
    <w:uiPriority w:val="60"/>
    <w:rsid w:val="006D0778"/>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325">
    <w:name w:val="Light Shading - Accent 325"/>
    <w:basedOn w:val="TableNormal"/>
    <w:next w:val="LightShading-Accent3"/>
    <w:uiPriority w:val="60"/>
    <w:rsid w:val="006D0778"/>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List-Accent525">
    <w:name w:val="Light List - Accent 525"/>
    <w:basedOn w:val="TableNormal"/>
    <w:next w:val="LightList-Accent5"/>
    <w:uiPriority w:val="61"/>
    <w:rsid w:val="006D0778"/>
    <w:pPr>
      <w:spacing w:after="0" w:line="240" w:lineRule="auto"/>
    </w:pPr>
    <w:rPr>
      <w:rFonts w:ascii="Calibri" w:eastAsia="Calibri" w:hAnsi="Calibri" w:cs="Times New Roman"/>
      <w:sz w:val="20"/>
      <w:szCs w:val="20"/>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Shading-Accent3115">
    <w:name w:val="Light Shading - Accent 3115"/>
    <w:basedOn w:val="TableNormal"/>
    <w:next w:val="LightShading-Accent3"/>
    <w:uiPriority w:val="60"/>
    <w:rsid w:val="006D0778"/>
    <w:pPr>
      <w:spacing w:after="0" w:line="240" w:lineRule="auto"/>
    </w:pPr>
    <w:rPr>
      <w:rFonts w:ascii="Constantia" w:eastAsia="Constantia" w:hAnsi="Constantia" w:cs="Times New Roman"/>
      <w:color w:val="8CADAE"/>
      <w:lang w:val="sr-Cyrl-CS"/>
    </w:rPr>
    <w:tblPr>
      <w:tblStyleRowBandSize w:val="1"/>
      <w:tblStyleColBandSize w:val="1"/>
      <w:tblBorders>
        <w:top w:val="single" w:sz="8" w:space="0" w:color="8CADAE"/>
        <w:bottom w:val="single" w:sz="8" w:space="0" w:color="8CADAE"/>
      </w:tblBorders>
    </w:tblPr>
    <w:tblStylePr w:type="fir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la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2EAEB"/>
      </w:tcPr>
    </w:tblStylePr>
    <w:tblStylePr w:type="band1Horz">
      <w:tblPr/>
      <w:tcPr>
        <w:tcBorders>
          <w:left w:val="nil"/>
          <w:right w:val="nil"/>
          <w:insideH w:val="nil"/>
          <w:insideV w:val="nil"/>
        </w:tcBorders>
        <w:shd w:val="clear" w:color="auto" w:fill="E2EAEB"/>
      </w:tcPr>
    </w:tblStylePr>
  </w:style>
  <w:style w:type="table" w:customStyle="1" w:styleId="LightList-Accent3125">
    <w:name w:val="Light List - Accent 3125"/>
    <w:basedOn w:val="TableNormal"/>
    <w:next w:val="LightList-Accent3"/>
    <w:uiPriority w:val="61"/>
    <w:rsid w:val="006D0778"/>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5115">
    <w:name w:val="Light List - Accent 5115"/>
    <w:basedOn w:val="TableNormal"/>
    <w:next w:val="LightList-Accent5"/>
    <w:uiPriority w:val="61"/>
    <w:rsid w:val="006D0778"/>
    <w:pPr>
      <w:spacing w:after="0" w:line="240" w:lineRule="auto"/>
    </w:pPr>
    <w:rPr>
      <w:rFonts w:ascii="Times New Roman" w:eastAsia="Constantia" w:hAnsi="Times New Roman" w:cs="Times New Roman"/>
      <w:lang w:val="sr-Cyrl-CS"/>
    </w:rPr>
    <w:tblPr>
      <w:tblStyleRowBandSize w:val="1"/>
      <w:tblStyleColBandSize w:val="1"/>
      <w:tblBorders>
        <w:top w:val="single" w:sz="8" w:space="0" w:color="8FB08C"/>
        <w:left w:val="single" w:sz="8" w:space="0" w:color="8FB08C"/>
        <w:bottom w:val="single" w:sz="8" w:space="0" w:color="8FB08C"/>
        <w:right w:val="single" w:sz="8" w:space="0" w:color="8FB08C"/>
      </w:tblBorders>
    </w:tblPr>
    <w:tblStylePr w:type="firstRow">
      <w:pPr>
        <w:spacing w:before="0" w:after="0" w:line="240" w:lineRule="auto"/>
      </w:pPr>
      <w:rPr>
        <w:b/>
        <w:bCs/>
        <w:color w:val="FFFFFF"/>
      </w:rPr>
      <w:tblPr/>
      <w:tcPr>
        <w:shd w:val="clear" w:color="auto" w:fill="8FB08C"/>
      </w:tcPr>
    </w:tblStylePr>
    <w:tblStylePr w:type="lastRow">
      <w:pPr>
        <w:spacing w:before="0" w:after="0" w:line="240" w:lineRule="auto"/>
      </w:pPr>
      <w:rPr>
        <w:b/>
        <w:bCs/>
      </w:rPr>
      <w:tblPr/>
      <w:tcPr>
        <w:tcBorders>
          <w:top w:val="double" w:sz="6" w:space="0" w:color="8FB08C"/>
          <w:left w:val="single" w:sz="8" w:space="0" w:color="8FB08C"/>
          <w:bottom w:val="single" w:sz="8" w:space="0" w:color="8FB08C"/>
          <w:right w:val="single" w:sz="8" w:space="0" w:color="8FB08C"/>
        </w:tcBorders>
      </w:tcPr>
    </w:tblStylePr>
    <w:tblStylePr w:type="firstCol">
      <w:rPr>
        <w:b/>
        <w:bCs/>
      </w:rPr>
    </w:tblStylePr>
    <w:tblStylePr w:type="lastCol">
      <w:rPr>
        <w:b/>
        <w:bCs/>
      </w:rPr>
    </w:tblStylePr>
    <w:tblStylePr w:type="band1Vert">
      <w:tblPr/>
      <w:tcPr>
        <w:tcBorders>
          <w:top w:val="single" w:sz="8" w:space="0" w:color="8FB08C"/>
          <w:left w:val="single" w:sz="8" w:space="0" w:color="8FB08C"/>
          <w:bottom w:val="single" w:sz="8" w:space="0" w:color="8FB08C"/>
          <w:right w:val="single" w:sz="8" w:space="0" w:color="8FB08C"/>
        </w:tcBorders>
      </w:tcPr>
    </w:tblStylePr>
    <w:tblStylePr w:type="band1Horz">
      <w:tblPr/>
      <w:tcPr>
        <w:tcBorders>
          <w:top w:val="single" w:sz="8" w:space="0" w:color="8FB08C"/>
          <w:left w:val="single" w:sz="8" w:space="0" w:color="8FB08C"/>
          <w:bottom w:val="single" w:sz="8" w:space="0" w:color="8FB08C"/>
          <w:right w:val="single" w:sz="8" w:space="0" w:color="8FB08C"/>
        </w:tcBorders>
      </w:tcPr>
    </w:tblStylePr>
  </w:style>
  <w:style w:type="table" w:customStyle="1" w:styleId="LightGrid-Accent5116">
    <w:name w:val="Light Grid - Accent 5116"/>
    <w:basedOn w:val="TableNormal"/>
    <w:next w:val="LightGrid-Accent5"/>
    <w:uiPriority w:val="62"/>
    <w:rsid w:val="006D0778"/>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omic Sans MS" w:eastAsia="Times New Roman" w:hAnsi="Comic Sans MS"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omic Sans MS" w:eastAsia="Times New Roman" w:hAnsi="Comic Sans MS"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omic Sans MS" w:eastAsia="Times New Roman" w:hAnsi="Comic Sans MS" w:cs="Times New Roman"/>
        <w:b/>
        <w:bCs/>
      </w:rPr>
    </w:tblStylePr>
    <w:tblStylePr w:type="lastCol">
      <w:rPr>
        <w:rFonts w:ascii="Comic Sans MS" w:eastAsia="Times New Roman" w:hAnsi="Comic Sans MS"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1115">
    <w:name w:val="Светло сенчење – наглашавање 1115"/>
    <w:basedOn w:val="TableNormal"/>
    <w:uiPriority w:val="60"/>
    <w:rsid w:val="006D0778"/>
    <w:pPr>
      <w:spacing w:after="0" w:line="240" w:lineRule="auto"/>
    </w:pPr>
    <w:rPr>
      <w:rFonts w:ascii="Calibri" w:eastAsia="Calibri" w:hAnsi="Calibri" w:cs="Times New Roman"/>
      <w:color w:val="365F91"/>
      <w:sz w:val="20"/>
      <w:szCs w:val="20"/>
      <w:lang w:val="sr-Latn-CS" w:eastAsia="en-GB"/>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Grid-Accent526">
    <w:name w:val="Light Grid - Accent 526"/>
    <w:basedOn w:val="TableNormal"/>
    <w:next w:val="LightGrid-Accent5"/>
    <w:uiPriority w:val="62"/>
    <w:rsid w:val="006D0778"/>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Comic Sans MS" w:eastAsia="Times New Roman" w:hAnsi="Comic Sans MS"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Comic Sans MS" w:eastAsia="Times New Roman" w:hAnsi="Comic Sans MS"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Comic Sans MS" w:eastAsia="Times New Roman" w:hAnsi="Comic Sans MS" w:cs="Times New Roman"/>
        <w:b/>
        <w:bCs/>
      </w:rPr>
    </w:tblStylePr>
    <w:tblStylePr w:type="lastCol">
      <w:rPr>
        <w:rFonts w:ascii="Comic Sans MS" w:eastAsia="Times New Roman" w:hAnsi="Comic Sans MS"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List-Accent3214">
    <w:name w:val="Light List - Accent 3214"/>
    <w:basedOn w:val="TableNormal"/>
    <w:next w:val="LightList-Accent3"/>
    <w:uiPriority w:val="61"/>
    <w:rsid w:val="006D0778"/>
    <w:pPr>
      <w:spacing w:after="0" w:line="240" w:lineRule="auto"/>
    </w:pPr>
    <w:rPr>
      <w:rFonts w:ascii="Calibri" w:eastAsia="Calibri" w:hAnsi="Calibri" w:cs="Times New Roman"/>
      <w:sz w:val="20"/>
      <w:szCs w:val="20"/>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31115">
    <w:name w:val="Light List - Accent 31115"/>
    <w:basedOn w:val="TableNormal"/>
    <w:next w:val="LightList-Accent3"/>
    <w:uiPriority w:val="61"/>
    <w:rsid w:val="006D0778"/>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Shading-Accent1334">
    <w:name w:val="Light Shading - Accent 1334"/>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16">
    <w:name w:val="Light Shading - Accent 13116"/>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214">
    <w:name w:val="Light Shading - Accent 13214"/>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25">
    <w:name w:val="Light Shading - Accent 1125"/>
    <w:basedOn w:val="TableNormal"/>
    <w:uiPriority w:val="60"/>
    <w:rsid w:val="006D0778"/>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44">
    <w:name w:val="Light Shading - Accent 1344"/>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35">
    <w:name w:val="Light Shading - Accent 1135"/>
    <w:basedOn w:val="TableNormal"/>
    <w:uiPriority w:val="60"/>
    <w:rsid w:val="006D0778"/>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54">
    <w:name w:val="Light Shading - Accent 1354"/>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65">
    <w:name w:val="Light Shading - Accent 1365"/>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74">
    <w:name w:val="Light Shading - Accent 1374"/>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tabele325">
    <w:name w:val="tabele 325"/>
    <w:basedOn w:val="TableNormal"/>
    <w:next w:val="LightList-Accent3"/>
    <w:uiPriority w:val="61"/>
    <w:rsid w:val="006D0778"/>
    <w:pPr>
      <w:spacing w:after="0" w:line="240" w:lineRule="auto"/>
    </w:pPr>
    <w:rPr>
      <w:rFonts w:ascii="Cambria Math" w:eastAsia="Calibri" w:hAnsi="Cambria Math" w:cs="Times New Roman"/>
      <w:sz w:val="18"/>
      <w:lang w:val="sr-Cyrl-CS"/>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LightShading-Accent1145">
    <w:name w:val="Light Shading - Accent 1145"/>
    <w:basedOn w:val="TableNormal"/>
    <w:uiPriority w:val="60"/>
    <w:rsid w:val="006D0778"/>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3310">
    <w:name w:val="Light Shading - Accent 3310"/>
    <w:basedOn w:val="TableNormal"/>
    <w:next w:val="LightShading-Accent3"/>
    <w:uiPriority w:val="60"/>
    <w:rsid w:val="006D0778"/>
    <w:pPr>
      <w:spacing w:after="0" w:line="240" w:lineRule="auto"/>
    </w:pPr>
    <w:rPr>
      <w:rFonts w:ascii="Arial" w:eastAsia="Calibri" w:hAnsi="Arial" w:cs="Times New Roman"/>
      <w:color w:val="474747"/>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List-Accent534">
    <w:name w:val="Light List - Accent 534"/>
    <w:basedOn w:val="TableNormal"/>
    <w:next w:val="LightList-Accent5"/>
    <w:uiPriority w:val="61"/>
    <w:rsid w:val="006D0778"/>
    <w:pPr>
      <w:spacing w:after="0" w:line="240" w:lineRule="auto"/>
    </w:pPr>
    <w:rPr>
      <w:rFonts w:ascii="Calibri" w:eastAsia="Calibri" w:hAnsi="Calibri" w:cs="Times New Roman"/>
      <w:sz w:val="20"/>
      <w:szCs w:val="20"/>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Shading-Accent3125">
    <w:name w:val="Light Shading - Accent 3125"/>
    <w:basedOn w:val="TableNormal"/>
    <w:next w:val="LightShading-Accent3"/>
    <w:uiPriority w:val="60"/>
    <w:rsid w:val="006D0778"/>
    <w:pPr>
      <w:spacing w:after="0" w:line="240" w:lineRule="auto"/>
    </w:pPr>
    <w:rPr>
      <w:rFonts w:ascii="Constantia" w:eastAsia="Constantia" w:hAnsi="Constantia" w:cs="Times New Roman"/>
      <w:color w:val="8CADAE"/>
      <w:lang w:val="sr-Cyrl-CS"/>
    </w:rPr>
    <w:tblPr>
      <w:tblStyleRowBandSize w:val="1"/>
      <w:tblStyleColBandSize w:val="1"/>
      <w:tblBorders>
        <w:top w:val="single" w:sz="8" w:space="0" w:color="8CADAE"/>
        <w:bottom w:val="single" w:sz="8" w:space="0" w:color="8CADAE"/>
      </w:tblBorders>
    </w:tblPr>
    <w:tblStylePr w:type="fir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la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2EAEB"/>
      </w:tcPr>
    </w:tblStylePr>
    <w:tblStylePr w:type="band1Horz">
      <w:tblPr/>
      <w:tcPr>
        <w:tcBorders>
          <w:left w:val="nil"/>
          <w:right w:val="nil"/>
          <w:insideH w:val="nil"/>
          <w:insideV w:val="nil"/>
        </w:tcBorders>
        <w:shd w:val="clear" w:color="auto" w:fill="E2EAEB"/>
      </w:tcPr>
    </w:tblStylePr>
  </w:style>
  <w:style w:type="table" w:customStyle="1" w:styleId="LightList-Accent3135">
    <w:name w:val="Light List - Accent 3135"/>
    <w:basedOn w:val="TableNormal"/>
    <w:next w:val="LightList-Accent3"/>
    <w:uiPriority w:val="61"/>
    <w:rsid w:val="006D0778"/>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5125">
    <w:name w:val="Light List - Accent 5125"/>
    <w:basedOn w:val="TableNormal"/>
    <w:next w:val="LightList-Accent5"/>
    <w:uiPriority w:val="61"/>
    <w:rsid w:val="006D0778"/>
    <w:pPr>
      <w:spacing w:after="0" w:line="240" w:lineRule="auto"/>
    </w:pPr>
    <w:rPr>
      <w:rFonts w:ascii="Times New Roman" w:eastAsia="Constantia" w:hAnsi="Times New Roman" w:cs="Times New Roman"/>
      <w:lang w:val="sr-Cyrl-CS"/>
    </w:rPr>
    <w:tblPr>
      <w:tblStyleRowBandSize w:val="1"/>
      <w:tblStyleColBandSize w:val="1"/>
      <w:tblBorders>
        <w:top w:val="single" w:sz="8" w:space="0" w:color="8FB08C"/>
        <w:left w:val="single" w:sz="8" w:space="0" w:color="8FB08C"/>
        <w:bottom w:val="single" w:sz="8" w:space="0" w:color="8FB08C"/>
        <w:right w:val="single" w:sz="8" w:space="0" w:color="8FB08C"/>
      </w:tblBorders>
    </w:tblPr>
    <w:tblStylePr w:type="firstRow">
      <w:pPr>
        <w:spacing w:before="0" w:after="0" w:line="240" w:lineRule="auto"/>
      </w:pPr>
      <w:rPr>
        <w:b/>
        <w:bCs/>
        <w:color w:val="FFFFFF"/>
      </w:rPr>
      <w:tblPr/>
      <w:tcPr>
        <w:shd w:val="clear" w:color="auto" w:fill="8FB08C"/>
      </w:tcPr>
    </w:tblStylePr>
    <w:tblStylePr w:type="lastRow">
      <w:pPr>
        <w:spacing w:before="0" w:after="0" w:line="240" w:lineRule="auto"/>
      </w:pPr>
      <w:rPr>
        <w:b/>
        <w:bCs/>
      </w:rPr>
      <w:tblPr/>
      <w:tcPr>
        <w:tcBorders>
          <w:top w:val="double" w:sz="6" w:space="0" w:color="8FB08C"/>
          <w:left w:val="single" w:sz="8" w:space="0" w:color="8FB08C"/>
          <w:bottom w:val="single" w:sz="8" w:space="0" w:color="8FB08C"/>
          <w:right w:val="single" w:sz="8" w:space="0" w:color="8FB08C"/>
        </w:tcBorders>
      </w:tcPr>
    </w:tblStylePr>
    <w:tblStylePr w:type="firstCol">
      <w:rPr>
        <w:b/>
        <w:bCs/>
      </w:rPr>
    </w:tblStylePr>
    <w:tblStylePr w:type="lastCol">
      <w:rPr>
        <w:b/>
        <w:bCs/>
      </w:rPr>
    </w:tblStylePr>
    <w:tblStylePr w:type="band1Vert">
      <w:tblPr/>
      <w:tcPr>
        <w:tcBorders>
          <w:top w:val="single" w:sz="8" w:space="0" w:color="8FB08C"/>
          <w:left w:val="single" w:sz="8" w:space="0" w:color="8FB08C"/>
          <w:bottom w:val="single" w:sz="8" w:space="0" w:color="8FB08C"/>
          <w:right w:val="single" w:sz="8" w:space="0" w:color="8FB08C"/>
        </w:tcBorders>
      </w:tcPr>
    </w:tblStylePr>
    <w:tblStylePr w:type="band1Horz">
      <w:tblPr/>
      <w:tcPr>
        <w:tcBorders>
          <w:top w:val="single" w:sz="8" w:space="0" w:color="8FB08C"/>
          <w:left w:val="single" w:sz="8" w:space="0" w:color="8FB08C"/>
          <w:bottom w:val="single" w:sz="8" w:space="0" w:color="8FB08C"/>
          <w:right w:val="single" w:sz="8" w:space="0" w:color="8FB08C"/>
        </w:tcBorders>
      </w:tcPr>
    </w:tblStylePr>
  </w:style>
  <w:style w:type="table" w:customStyle="1" w:styleId="LightGrid-Accent5126">
    <w:name w:val="Light Grid - Accent 5126"/>
    <w:basedOn w:val="TableNormal"/>
    <w:next w:val="LightGrid-Accent5"/>
    <w:uiPriority w:val="62"/>
    <w:rsid w:val="006D0778"/>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omic Sans MS" w:eastAsia="Times New Roman" w:hAnsi="Comic Sans MS"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omic Sans MS" w:eastAsia="Times New Roman" w:hAnsi="Comic Sans MS"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omic Sans MS" w:eastAsia="Times New Roman" w:hAnsi="Comic Sans MS" w:cs="Times New Roman"/>
        <w:b/>
        <w:bCs/>
      </w:rPr>
    </w:tblStylePr>
    <w:tblStylePr w:type="lastCol">
      <w:rPr>
        <w:rFonts w:ascii="Comic Sans MS" w:eastAsia="Times New Roman" w:hAnsi="Comic Sans MS"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1124">
    <w:name w:val="Светло сенчење – наглашавање 1124"/>
    <w:basedOn w:val="TableNormal"/>
    <w:uiPriority w:val="60"/>
    <w:rsid w:val="006D0778"/>
    <w:pPr>
      <w:spacing w:after="0" w:line="240" w:lineRule="auto"/>
    </w:pPr>
    <w:rPr>
      <w:rFonts w:ascii="Calibri" w:eastAsia="Calibri" w:hAnsi="Calibri" w:cs="Times New Roman"/>
      <w:color w:val="365F91"/>
      <w:sz w:val="20"/>
      <w:szCs w:val="20"/>
      <w:lang w:val="sr-Latn-CS" w:eastAsia="en-GB"/>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Grid-Accent536">
    <w:name w:val="Light Grid - Accent 536"/>
    <w:basedOn w:val="TableNormal"/>
    <w:next w:val="LightGrid-Accent5"/>
    <w:uiPriority w:val="62"/>
    <w:rsid w:val="006D0778"/>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Comic Sans MS" w:eastAsia="Times New Roman" w:hAnsi="Comic Sans MS"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Comic Sans MS" w:eastAsia="Times New Roman" w:hAnsi="Comic Sans MS"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Comic Sans MS" w:eastAsia="Times New Roman" w:hAnsi="Comic Sans MS" w:cs="Times New Roman"/>
        <w:b/>
        <w:bCs/>
      </w:rPr>
    </w:tblStylePr>
    <w:tblStylePr w:type="lastCol">
      <w:rPr>
        <w:rFonts w:ascii="Comic Sans MS" w:eastAsia="Times New Roman" w:hAnsi="Comic Sans MS"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List-Accent3224">
    <w:name w:val="Light List - Accent 3224"/>
    <w:basedOn w:val="TableNormal"/>
    <w:next w:val="LightList-Accent3"/>
    <w:uiPriority w:val="61"/>
    <w:rsid w:val="006D0778"/>
    <w:pPr>
      <w:spacing w:after="0" w:line="240" w:lineRule="auto"/>
    </w:pPr>
    <w:rPr>
      <w:rFonts w:ascii="Calibri" w:eastAsia="Calibri" w:hAnsi="Calibri" w:cs="Times New Roman"/>
      <w:sz w:val="20"/>
      <w:szCs w:val="20"/>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31125">
    <w:name w:val="Light List - Accent 31125"/>
    <w:basedOn w:val="TableNormal"/>
    <w:next w:val="LightList-Accent3"/>
    <w:uiPriority w:val="61"/>
    <w:rsid w:val="006D0778"/>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Shading-Accent1385">
    <w:name w:val="Light Shading - Accent 1385"/>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24">
    <w:name w:val="Light Shading - Accent 13124"/>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224">
    <w:name w:val="Light Shading - Accent 13224"/>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55">
    <w:name w:val="Light Shading - Accent 1155"/>
    <w:basedOn w:val="TableNormal"/>
    <w:uiPriority w:val="60"/>
    <w:rsid w:val="006D0778"/>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95">
    <w:name w:val="Light Shading - Accent 1395"/>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66">
    <w:name w:val="Light Shading - Accent 1166"/>
    <w:basedOn w:val="TableNormal"/>
    <w:uiPriority w:val="60"/>
    <w:rsid w:val="006D0778"/>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05">
    <w:name w:val="Light Shading - Accent 13105"/>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34">
    <w:name w:val="Light Shading - Accent 13134"/>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tabele335">
    <w:name w:val="tabele 335"/>
    <w:basedOn w:val="TableNormal"/>
    <w:next w:val="LightList-Accent3"/>
    <w:uiPriority w:val="61"/>
    <w:rsid w:val="006D0778"/>
    <w:pPr>
      <w:spacing w:after="0" w:line="240" w:lineRule="auto"/>
    </w:pPr>
    <w:rPr>
      <w:rFonts w:ascii="Cambria Math" w:eastAsia="Calibri" w:hAnsi="Cambria Math" w:cs="Times New Roman"/>
      <w:sz w:val="18"/>
      <w:lang w:val="sr-Cyrl-CS"/>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LightShading-Accent1175">
    <w:name w:val="Light Shading - Accent 1175"/>
    <w:basedOn w:val="TableNormal"/>
    <w:uiPriority w:val="60"/>
    <w:rsid w:val="006D0778"/>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346">
    <w:name w:val="Light Shading - Accent 346"/>
    <w:basedOn w:val="TableNormal"/>
    <w:next w:val="LightShading-Accent3"/>
    <w:uiPriority w:val="60"/>
    <w:rsid w:val="006D0778"/>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List-Accent544">
    <w:name w:val="Light List - Accent 544"/>
    <w:basedOn w:val="TableNormal"/>
    <w:next w:val="LightList-Accent5"/>
    <w:uiPriority w:val="61"/>
    <w:rsid w:val="006D0778"/>
    <w:pPr>
      <w:spacing w:after="0" w:line="240" w:lineRule="auto"/>
    </w:pPr>
    <w:rPr>
      <w:rFonts w:ascii="Calibri" w:eastAsia="Calibri" w:hAnsi="Calibri" w:cs="Times New Roman"/>
      <w:sz w:val="20"/>
      <w:szCs w:val="20"/>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Shading-Accent3135">
    <w:name w:val="Light Shading - Accent 3135"/>
    <w:basedOn w:val="TableNormal"/>
    <w:next w:val="LightShading-Accent3"/>
    <w:uiPriority w:val="60"/>
    <w:rsid w:val="006D0778"/>
    <w:pPr>
      <w:spacing w:after="0" w:line="240" w:lineRule="auto"/>
    </w:pPr>
    <w:rPr>
      <w:rFonts w:ascii="Constantia" w:eastAsia="Constantia" w:hAnsi="Constantia" w:cs="Times New Roman"/>
      <w:color w:val="8CADAE"/>
      <w:lang w:val="sr-Cyrl-CS"/>
    </w:rPr>
    <w:tblPr>
      <w:tblStyleRowBandSize w:val="1"/>
      <w:tblStyleColBandSize w:val="1"/>
      <w:tblBorders>
        <w:top w:val="single" w:sz="8" w:space="0" w:color="8CADAE"/>
        <w:bottom w:val="single" w:sz="8" w:space="0" w:color="8CADAE"/>
      </w:tblBorders>
    </w:tblPr>
    <w:tblStylePr w:type="fir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la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2EAEB"/>
      </w:tcPr>
    </w:tblStylePr>
    <w:tblStylePr w:type="band1Horz">
      <w:tblPr/>
      <w:tcPr>
        <w:tcBorders>
          <w:left w:val="nil"/>
          <w:right w:val="nil"/>
          <w:insideH w:val="nil"/>
          <w:insideV w:val="nil"/>
        </w:tcBorders>
        <w:shd w:val="clear" w:color="auto" w:fill="E2EAEB"/>
      </w:tcPr>
    </w:tblStylePr>
  </w:style>
  <w:style w:type="table" w:customStyle="1" w:styleId="LightList-Accent3145">
    <w:name w:val="Light List - Accent 3145"/>
    <w:basedOn w:val="TableNormal"/>
    <w:next w:val="LightList-Accent3"/>
    <w:uiPriority w:val="61"/>
    <w:rsid w:val="006D0778"/>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5135">
    <w:name w:val="Light List - Accent 5135"/>
    <w:basedOn w:val="TableNormal"/>
    <w:next w:val="LightList-Accent5"/>
    <w:uiPriority w:val="61"/>
    <w:rsid w:val="006D0778"/>
    <w:pPr>
      <w:spacing w:after="0" w:line="240" w:lineRule="auto"/>
    </w:pPr>
    <w:rPr>
      <w:rFonts w:ascii="Times New Roman" w:eastAsia="Constantia" w:hAnsi="Times New Roman" w:cs="Times New Roman"/>
      <w:lang w:val="sr-Cyrl-CS"/>
    </w:rPr>
    <w:tblPr>
      <w:tblStyleRowBandSize w:val="1"/>
      <w:tblStyleColBandSize w:val="1"/>
      <w:tblBorders>
        <w:top w:val="single" w:sz="8" w:space="0" w:color="8FB08C"/>
        <w:left w:val="single" w:sz="8" w:space="0" w:color="8FB08C"/>
        <w:bottom w:val="single" w:sz="8" w:space="0" w:color="8FB08C"/>
        <w:right w:val="single" w:sz="8" w:space="0" w:color="8FB08C"/>
      </w:tblBorders>
    </w:tblPr>
    <w:tblStylePr w:type="firstRow">
      <w:pPr>
        <w:spacing w:before="0" w:after="0" w:line="240" w:lineRule="auto"/>
      </w:pPr>
      <w:rPr>
        <w:b/>
        <w:bCs/>
        <w:color w:val="FFFFFF"/>
      </w:rPr>
      <w:tblPr/>
      <w:tcPr>
        <w:shd w:val="clear" w:color="auto" w:fill="8FB08C"/>
      </w:tcPr>
    </w:tblStylePr>
    <w:tblStylePr w:type="lastRow">
      <w:pPr>
        <w:spacing w:before="0" w:after="0" w:line="240" w:lineRule="auto"/>
      </w:pPr>
      <w:rPr>
        <w:b/>
        <w:bCs/>
      </w:rPr>
      <w:tblPr/>
      <w:tcPr>
        <w:tcBorders>
          <w:top w:val="double" w:sz="6" w:space="0" w:color="8FB08C"/>
          <w:left w:val="single" w:sz="8" w:space="0" w:color="8FB08C"/>
          <w:bottom w:val="single" w:sz="8" w:space="0" w:color="8FB08C"/>
          <w:right w:val="single" w:sz="8" w:space="0" w:color="8FB08C"/>
        </w:tcBorders>
      </w:tcPr>
    </w:tblStylePr>
    <w:tblStylePr w:type="firstCol">
      <w:rPr>
        <w:b/>
        <w:bCs/>
      </w:rPr>
    </w:tblStylePr>
    <w:tblStylePr w:type="lastCol">
      <w:rPr>
        <w:b/>
        <w:bCs/>
      </w:rPr>
    </w:tblStylePr>
    <w:tblStylePr w:type="band1Vert">
      <w:tblPr/>
      <w:tcPr>
        <w:tcBorders>
          <w:top w:val="single" w:sz="8" w:space="0" w:color="8FB08C"/>
          <w:left w:val="single" w:sz="8" w:space="0" w:color="8FB08C"/>
          <w:bottom w:val="single" w:sz="8" w:space="0" w:color="8FB08C"/>
          <w:right w:val="single" w:sz="8" w:space="0" w:color="8FB08C"/>
        </w:tcBorders>
      </w:tcPr>
    </w:tblStylePr>
    <w:tblStylePr w:type="band1Horz">
      <w:tblPr/>
      <w:tcPr>
        <w:tcBorders>
          <w:top w:val="single" w:sz="8" w:space="0" w:color="8FB08C"/>
          <w:left w:val="single" w:sz="8" w:space="0" w:color="8FB08C"/>
          <w:bottom w:val="single" w:sz="8" w:space="0" w:color="8FB08C"/>
          <w:right w:val="single" w:sz="8" w:space="0" w:color="8FB08C"/>
        </w:tcBorders>
      </w:tcPr>
    </w:tblStylePr>
  </w:style>
  <w:style w:type="table" w:customStyle="1" w:styleId="LightGrid-Accent5136">
    <w:name w:val="Light Grid - Accent 5136"/>
    <w:basedOn w:val="TableNormal"/>
    <w:next w:val="LightGrid-Accent5"/>
    <w:uiPriority w:val="62"/>
    <w:rsid w:val="006D0778"/>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omic Sans MS" w:eastAsia="Times New Roman" w:hAnsi="Comic Sans MS"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omic Sans MS" w:eastAsia="Times New Roman" w:hAnsi="Comic Sans MS"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omic Sans MS" w:eastAsia="Times New Roman" w:hAnsi="Comic Sans MS" w:cs="Times New Roman"/>
        <w:b/>
        <w:bCs/>
      </w:rPr>
    </w:tblStylePr>
    <w:tblStylePr w:type="lastCol">
      <w:rPr>
        <w:rFonts w:ascii="Comic Sans MS" w:eastAsia="Times New Roman" w:hAnsi="Comic Sans MS"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1134">
    <w:name w:val="Светло сенчење – наглашавање 1134"/>
    <w:basedOn w:val="TableNormal"/>
    <w:uiPriority w:val="60"/>
    <w:rsid w:val="006D0778"/>
    <w:pPr>
      <w:spacing w:after="0" w:line="240" w:lineRule="auto"/>
    </w:pPr>
    <w:rPr>
      <w:rFonts w:ascii="Calibri" w:eastAsia="Calibri" w:hAnsi="Calibri" w:cs="Times New Roman"/>
      <w:color w:val="365F91"/>
      <w:sz w:val="20"/>
      <w:szCs w:val="20"/>
      <w:lang w:val="sr-Latn-CS" w:eastAsia="en-GB"/>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Grid-Accent546">
    <w:name w:val="Light Grid - Accent 546"/>
    <w:basedOn w:val="TableNormal"/>
    <w:next w:val="LightGrid-Accent5"/>
    <w:uiPriority w:val="62"/>
    <w:rsid w:val="006D0778"/>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Comic Sans MS" w:eastAsia="Times New Roman" w:hAnsi="Comic Sans MS"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Comic Sans MS" w:eastAsia="Times New Roman" w:hAnsi="Comic Sans MS"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Comic Sans MS" w:eastAsia="Times New Roman" w:hAnsi="Comic Sans MS" w:cs="Times New Roman"/>
        <w:b/>
        <w:bCs/>
      </w:rPr>
    </w:tblStylePr>
    <w:tblStylePr w:type="lastCol">
      <w:rPr>
        <w:rFonts w:ascii="Comic Sans MS" w:eastAsia="Times New Roman" w:hAnsi="Comic Sans MS"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Shading-Accent1234">
    <w:name w:val="Light Shading - Accent 1234"/>
    <w:basedOn w:val="TableNormal"/>
    <w:uiPriority w:val="60"/>
    <w:rsid w:val="006D0778"/>
    <w:pPr>
      <w:spacing w:after="0" w:line="240" w:lineRule="auto"/>
    </w:pPr>
    <w:rPr>
      <w:rFonts w:ascii="Cambria" w:eastAsia="Calibri" w:hAnsi="Cambria" w:cs="Times New Roman"/>
      <w:color w:val="A8422A"/>
      <w:sz w:val="20"/>
      <w:szCs w:val="20"/>
      <w:lang w:val="en-GB" w:eastAsia="sr-Cyrl-CS"/>
    </w:rPr>
    <w:tblPr>
      <w:tblStyleRowBandSize w:val="1"/>
      <w:tblStyleColBandSize w:val="1"/>
      <w:tblBorders>
        <w:top w:val="single" w:sz="8" w:space="0" w:color="D16349"/>
        <w:bottom w:val="single" w:sz="8" w:space="0" w:color="D16349"/>
      </w:tblBorders>
    </w:tblPr>
    <w:tblStylePr w:type="fir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la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D8D2"/>
      </w:tcPr>
    </w:tblStylePr>
    <w:tblStylePr w:type="band1Horz">
      <w:tblPr/>
      <w:tcPr>
        <w:tcBorders>
          <w:left w:val="nil"/>
          <w:right w:val="nil"/>
          <w:insideH w:val="nil"/>
          <w:insideV w:val="nil"/>
        </w:tcBorders>
        <w:shd w:val="clear" w:color="auto" w:fill="F3D8D2"/>
      </w:tcPr>
    </w:tblStylePr>
  </w:style>
  <w:style w:type="table" w:customStyle="1" w:styleId="LightList-Accent3234">
    <w:name w:val="Light List - Accent 3234"/>
    <w:basedOn w:val="TableNormal"/>
    <w:next w:val="LightList-Accent3"/>
    <w:uiPriority w:val="61"/>
    <w:rsid w:val="006D0778"/>
    <w:pPr>
      <w:spacing w:after="0" w:line="240" w:lineRule="auto"/>
    </w:pPr>
    <w:rPr>
      <w:rFonts w:ascii="Calibri" w:eastAsia="Calibri" w:hAnsi="Calibri" w:cs="Times New Roman"/>
      <w:sz w:val="20"/>
      <w:szCs w:val="20"/>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31135">
    <w:name w:val="Light List - Accent 31135"/>
    <w:basedOn w:val="TableNormal"/>
    <w:next w:val="LightList-Accent3"/>
    <w:uiPriority w:val="61"/>
    <w:rsid w:val="006D0778"/>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Shading-Accent13144">
    <w:name w:val="Light Shading - Accent 13144"/>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54">
    <w:name w:val="Light Shading - Accent 13154"/>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234">
    <w:name w:val="Light Shading - Accent 13234"/>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64">
    <w:name w:val="Light Shading - Accent 13164"/>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814">
    <w:name w:val="Light Shading - Accent 13814"/>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85">
    <w:name w:val="Light Shading - Accent 1185"/>
    <w:basedOn w:val="TableNormal"/>
    <w:uiPriority w:val="60"/>
    <w:rsid w:val="006D0778"/>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914">
    <w:name w:val="Light Shading - Accent 13914"/>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615">
    <w:name w:val="Light Shading - Accent 11615"/>
    <w:basedOn w:val="TableNormal"/>
    <w:uiPriority w:val="60"/>
    <w:rsid w:val="006D0778"/>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014">
    <w:name w:val="Light Shading - Accent 131014"/>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614">
    <w:name w:val="Light Shading - Accent 13614"/>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94">
    <w:name w:val="Light Shading - Accent 1194"/>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43">
    <w:name w:val="Light Shading - Accent 143"/>
    <w:basedOn w:val="TableNormal"/>
    <w:next w:val="LightShading-Accent1"/>
    <w:uiPriority w:val="60"/>
    <w:rsid w:val="006D0778"/>
    <w:pPr>
      <w:spacing w:after="0" w:line="240" w:lineRule="auto"/>
    </w:pPr>
    <w:rPr>
      <w:color w:val="BF2B0E"/>
    </w:rPr>
    <w:tblPr>
      <w:tblStyleRowBandSize w:val="1"/>
      <w:tblStyleColBandSize w:val="1"/>
      <w:tblBorders>
        <w:top w:val="single" w:sz="8" w:space="0" w:color="EF4623"/>
        <w:bottom w:val="single" w:sz="8" w:space="0" w:color="EF4623"/>
      </w:tblBorders>
    </w:tblPr>
    <w:tblStylePr w:type="firstRow">
      <w:pPr>
        <w:spacing w:before="0" w:after="0" w:line="240" w:lineRule="auto"/>
      </w:pPr>
      <w:rPr>
        <w:b/>
        <w:bCs/>
      </w:rPr>
      <w:tblPr/>
      <w:tcPr>
        <w:tcBorders>
          <w:top w:val="single" w:sz="8" w:space="0" w:color="EF4623"/>
          <w:left w:val="nil"/>
          <w:bottom w:val="single" w:sz="8" w:space="0" w:color="EF4623"/>
          <w:right w:val="nil"/>
          <w:insideH w:val="nil"/>
          <w:insideV w:val="nil"/>
        </w:tcBorders>
      </w:tcPr>
    </w:tblStylePr>
    <w:tblStylePr w:type="lastRow">
      <w:pPr>
        <w:spacing w:before="0" w:after="0" w:line="240" w:lineRule="auto"/>
      </w:pPr>
      <w:rPr>
        <w:b/>
        <w:bCs/>
      </w:rPr>
      <w:tblPr/>
      <w:tcPr>
        <w:tcBorders>
          <w:top w:val="single" w:sz="8" w:space="0" w:color="EF4623"/>
          <w:left w:val="nil"/>
          <w:bottom w:val="single" w:sz="8" w:space="0" w:color="EF462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BD1C8"/>
      </w:tcPr>
    </w:tblStylePr>
    <w:tblStylePr w:type="band1Horz">
      <w:tblPr/>
      <w:tcPr>
        <w:tcBorders>
          <w:left w:val="nil"/>
          <w:right w:val="nil"/>
          <w:insideH w:val="nil"/>
          <w:insideV w:val="nil"/>
        </w:tcBorders>
        <w:shd w:val="clear" w:color="auto" w:fill="FBD1C8"/>
      </w:tcPr>
    </w:tblStylePr>
  </w:style>
  <w:style w:type="table" w:customStyle="1" w:styleId="LightShading-Accent3314">
    <w:name w:val="Light Shading - Accent 3314"/>
    <w:basedOn w:val="TableNormal"/>
    <w:next w:val="LightShading-Accent3"/>
    <w:uiPriority w:val="60"/>
    <w:rsid w:val="006D0778"/>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Shading-Accent3324">
    <w:name w:val="Light Shading - Accent 3324"/>
    <w:basedOn w:val="TableNormal"/>
    <w:next w:val="LightShading-Accent3"/>
    <w:uiPriority w:val="60"/>
    <w:rsid w:val="006D0778"/>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Shading-Accent3334">
    <w:name w:val="Light Shading - Accent 3334"/>
    <w:basedOn w:val="TableNormal"/>
    <w:next w:val="LightShading-Accent3"/>
    <w:uiPriority w:val="60"/>
    <w:rsid w:val="006D0778"/>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Shading-Accent3414">
    <w:name w:val="Light Shading - Accent 3414"/>
    <w:basedOn w:val="TableNormal"/>
    <w:next w:val="LightShading-Accent3"/>
    <w:uiPriority w:val="60"/>
    <w:rsid w:val="006D0778"/>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Shading-Accent3424">
    <w:name w:val="Light Shading - Accent 3424"/>
    <w:basedOn w:val="TableNormal"/>
    <w:next w:val="LightShading-Accent3"/>
    <w:uiPriority w:val="60"/>
    <w:rsid w:val="006D0778"/>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Grid-Accent5144">
    <w:name w:val="Light Grid - Accent 5144"/>
    <w:basedOn w:val="TableNormal"/>
    <w:next w:val="LightGrid-Accent5"/>
    <w:uiPriority w:val="62"/>
    <w:rsid w:val="006D0778"/>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554">
    <w:name w:val="Light Grid - Accent 554"/>
    <w:basedOn w:val="TableNormal"/>
    <w:next w:val="LightGrid-Accent5"/>
    <w:uiPriority w:val="62"/>
    <w:rsid w:val="006D0778"/>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Grid-Accent51114">
    <w:name w:val="Light Grid - Accent 51114"/>
    <w:basedOn w:val="TableNormal"/>
    <w:next w:val="LightGrid-Accent5"/>
    <w:uiPriority w:val="62"/>
    <w:rsid w:val="006D0778"/>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5214">
    <w:name w:val="Light Grid - Accent 5214"/>
    <w:basedOn w:val="TableNormal"/>
    <w:next w:val="LightGrid-Accent5"/>
    <w:uiPriority w:val="62"/>
    <w:rsid w:val="006D0778"/>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Grid-Accent51214">
    <w:name w:val="Light Grid - Accent 51214"/>
    <w:basedOn w:val="TableNormal"/>
    <w:next w:val="LightGrid-Accent5"/>
    <w:uiPriority w:val="62"/>
    <w:rsid w:val="006D0778"/>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5314">
    <w:name w:val="Light Grid - Accent 5314"/>
    <w:basedOn w:val="TableNormal"/>
    <w:next w:val="LightGrid-Accent5"/>
    <w:uiPriority w:val="62"/>
    <w:rsid w:val="006D0778"/>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Grid-Accent51314">
    <w:name w:val="Light Grid - Accent 51314"/>
    <w:basedOn w:val="TableNormal"/>
    <w:next w:val="LightGrid-Accent5"/>
    <w:uiPriority w:val="62"/>
    <w:rsid w:val="006D0778"/>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5414">
    <w:name w:val="Light Grid - Accent 5414"/>
    <w:basedOn w:val="TableNormal"/>
    <w:next w:val="LightGrid-Accent5"/>
    <w:uiPriority w:val="62"/>
    <w:rsid w:val="006D0778"/>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Shading-Accent614">
    <w:name w:val="Light Shading - Accent 614"/>
    <w:basedOn w:val="TableNormal"/>
    <w:next w:val="LightShading-Accent6"/>
    <w:uiPriority w:val="60"/>
    <w:rsid w:val="006D0778"/>
    <w:pPr>
      <w:spacing w:after="0" w:line="240" w:lineRule="auto"/>
    </w:pPr>
    <w:rPr>
      <w:rFonts w:ascii="Calibri" w:eastAsia="Calibri" w:hAnsi="Calibri" w:cs="Times New Roman"/>
      <w:color w:val="393939"/>
      <w:sz w:val="20"/>
      <w:szCs w:val="20"/>
    </w:rPr>
    <w:tblPr>
      <w:tblStyleRowBandSize w:val="1"/>
      <w:tblStyleColBandSize w:val="1"/>
      <w:tblBorders>
        <w:top w:val="single" w:sz="8" w:space="0" w:color="4D4D4D"/>
        <w:bottom w:val="single" w:sz="8" w:space="0" w:color="4D4D4D"/>
      </w:tblBorders>
    </w:tblPr>
    <w:tblStylePr w:type="firstRow">
      <w:pPr>
        <w:spacing w:beforeLines="0" w:before="0" w:beforeAutospacing="0" w:afterLines="0" w:after="0" w:afterAutospacing="0" w:line="240" w:lineRule="auto"/>
      </w:pPr>
      <w:rPr>
        <w:b/>
        <w:bCs/>
      </w:rPr>
      <w:tblPr/>
      <w:tcPr>
        <w:tcBorders>
          <w:top w:val="single" w:sz="8" w:space="0" w:color="4D4D4D"/>
          <w:left w:val="nil"/>
          <w:bottom w:val="single" w:sz="8" w:space="0" w:color="4D4D4D"/>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4D4D4D"/>
          <w:left w:val="nil"/>
          <w:bottom w:val="single" w:sz="8" w:space="0" w:color="4D4D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3D3"/>
      </w:tcPr>
    </w:tblStylePr>
    <w:tblStylePr w:type="band1Horz">
      <w:tblPr/>
      <w:tcPr>
        <w:tcBorders>
          <w:left w:val="nil"/>
          <w:right w:val="nil"/>
          <w:insideH w:val="nil"/>
          <w:insideV w:val="nil"/>
        </w:tcBorders>
        <w:shd w:val="clear" w:color="auto" w:fill="D3D3D3"/>
      </w:tcPr>
    </w:tblStylePr>
  </w:style>
  <w:style w:type="table" w:customStyle="1" w:styleId="GridTable6Colorful-Accent414">
    <w:name w:val="Grid Table 6 Colorful - Accent 414"/>
    <w:basedOn w:val="TableNormal"/>
    <w:next w:val="GridTable6Colorful-Accent430"/>
    <w:uiPriority w:val="51"/>
    <w:rsid w:val="006D0778"/>
    <w:pPr>
      <w:spacing w:after="0" w:line="240" w:lineRule="auto"/>
    </w:pPr>
    <w:rPr>
      <w:color w:val="5F5F5F"/>
    </w:rPr>
    <w:tblPr>
      <w:tblStyleRowBandSize w:val="1"/>
      <w:tblStyleColBandSize w:val="1"/>
      <w:tblBorders>
        <w:top w:val="single" w:sz="4" w:space="0" w:color="B2B2B2"/>
        <w:left w:val="single" w:sz="4" w:space="0" w:color="B2B2B2"/>
        <w:bottom w:val="single" w:sz="4" w:space="0" w:color="B2B2B2"/>
        <w:right w:val="single" w:sz="4" w:space="0" w:color="B2B2B2"/>
        <w:insideH w:val="single" w:sz="4" w:space="0" w:color="B2B2B2"/>
        <w:insideV w:val="single" w:sz="4" w:space="0" w:color="B2B2B2"/>
      </w:tblBorders>
    </w:tblPr>
    <w:tblStylePr w:type="firstRow">
      <w:rPr>
        <w:b/>
        <w:bCs/>
      </w:rPr>
      <w:tblPr/>
      <w:tcPr>
        <w:tcBorders>
          <w:bottom w:val="single" w:sz="12" w:space="0" w:color="B2B2B2"/>
        </w:tcBorders>
      </w:tcPr>
    </w:tblStylePr>
    <w:tblStylePr w:type="lastRow">
      <w:rPr>
        <w:b/>
        <w:bCs/>
      </w:rPr>
      <w:tblPr/>
      <w:tcPr>
        <w:tcBorders>
          <w:top w:val="double" w:sz="4" w:space="0" w:color="B2B2B2"/>
        </w:tcBorders>
      </w:tcPr>
    </w:tblStylePr>
    <w:tblStylePr w:type="firstCol">
      <w:rPr>
        <w:b/>
        <w:bCs/>
      </w:rPr>
    </w:tblStylePr>
    <w:tblStylePr w:type="lastCol">
      <w:rPr>
        <w:b/>
        <w:bCs/>
      </w:rPr>
    </w:tblStylePr>
    <w:tblStylePr w:type="band1Vert">
      <w:tblPr/>
      <w:tcPr>
        <w:shd w:val="clear" w:color="auto" w:fill="E5E5E5"/>
      </w:tcPr>
    </w:tblStylePr>
    <w:tblStylePr w:type="band1Horz">
      <w:tblPr/>
      <w:tcPr>
        <w:shd w:val="clear" w:color="auto" w:fill="E5E5E5"/>
      </w:tcPr>
    </w:tblStylePr>
  </w:style>
  <w:style w:type="table" w:customStyle="1" w:styleId="LightShading-Accent6113">
    <w:name w:val="Light Shading - Accent 6113"/>
    <w:basedOn w:val="TableNormal"/>
    <w:next w:val="LightShading-Accent6"/>
    <w:uiPriority w:val="60"/>
    <w:rsid w:val="006D0778"/>
    <w:pPr>
      <w:spacing w:after="0" w:line="240" w:lineRule="auto"/>
    </w:pPr>
    <w:rPr>
      <w:rFonts w:ascii="Calibri" w:eastAsia="Calibri" w:hAnsi="Calibri" w:cs="Times New Roman"/>
      <w:color w:val="E36C0A"/>
      <w:sz w:val="20"/>
      <w:szCs w:val="20"/>
    </w:rPr>
    <w:tblPr>
      <w:tblStyleRowBandSize w:val="1"/>
      <w:tblStyleColBandSize w:val="1"/>
      <w:tblBorders>
        <w:top w:val="single" w:sz="8" w:space="0" w:color="F79646"/>
        <w:bottom w:val="single" w:sz="8" w:space="0" w:color="F79646"/>
      </w:tblBorders>
    </w:tblPr>
    <w:tblStylePr w:type="firstRow">
      <w:pPr>
        <w:spacing w:beforeLines="0" w:before="0" w:beforeAutospacing="0" w:afterLines="0" w:after="0" w:afterAutospacing="0" w:line="240" w:lineRule="auto"/>
      </w:pPr>
      <w:rPr>
        <w:b/>
        <w:bCs/>
      </w:rPr>
      <w:tblPr/>
      <w:tcPr>
        <w:tcBorders>
          <w:top w:val="single" w:sz="8" w:space="0" w:color="F79646"/>
          <w:left w:val="nil"/>
          <w:bottom w:val="single" w:sz="8" w:space="0" w:color="F79646"/>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F79646"/>
          <w:left w:val="nil"/>
          <w:bottom w:val="single" w:sz="8" w:space="0" w:color="F7964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cPr>
    </w:tblStylePr>
    <w:tblStylePr w:type="band1Horz">
      <w:tblPr/>
      <w:tcPr>
        <w:tcBorders>
          <w:left w:val="nil"/>
          <w:right w:val="nil"/>
          <w:insideH w:val="nil"/>
          <w:insideV w:val="nil"/>
        </w:tcBorders>
        <w:shd w:val="clear" w:color="auto" w:fill="FDE4D0"/>
      </w:tcPr>
    </w:tblStylePr>
  </w:style>
  <w:style w:type="table" w:customStyle="1" w:styleId="GridTable6Colorful-Accent314">
    <w:name w:val="Grid Table 6 Colorful - Accent 314"/>
    <w:basedOn w:val="TableNormal"/>
    <w:next w:val="GridTable6Colorful-Accent330"/>
    <w:uiPriority w:val="51"/>
    <w:rsid w:val="006D0778"/>
    <w:pPr>
      <w:spacing w:after="0" w:line="240" w:lineRule="auto"/>
    </w:pPr>
    <w:rPr>
      <w:rFonts w:ascii="Calibri" w:eastAsia="Calibri" w:hAnsi="Calibri" w:cs="Times New Roman"/>
      <w:color w:val="707070"/>
      <w:sz w:val="20"/>
      <w:szCs w:val="20"/>
    </w:rPr>
    <w:tblPr>
      <w:tblStyleRowBandSize w:val="1"/>
      <w:tblStyleColBandSize w:val="1"/>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Pr>
    <w:tblStylePr w:type="firstRow">
      <w:rPr>
        <w:b/>
        <w:bCs/>
      </w:rPr>
      <w:tblPr/>
      <w:tcPr>
        <w:tcBorders>
          <w:bottom w:val="single" w:sz="12" w:space="0" w:color="C0C0C0"/>
        </w:tcBorders>
      </w:tcPr>
    </w:tblStylePr>
    <w:tblStylePr w:type="lastRow">
      <w:rPr>
        <w:b/>
        <w:bCs/>
      </w:rPr>
      <w:tblPr/>
      <w:tcPr>
        <w:tcBorders>
          <w:top w:val="double" w:sz="4" w:space="0" w:color="C0C0C0"/>
        </w:tcBorders>
      </w:tcPr>
    </w:tblStylePr>
    <w:tblStylePr w:type="firstCol">
      <w:rPr>
        <w:b/>
        <w:bCs/>
      </w:rPr>
    </w:tblStylePr>
    <w:tblStylePr w:type="lastCol">
      <w:rPr>
        <w:b/>
        <w:bCs/>
      </w:rPr>
    </w:tblStylePr>
    <w:tblStylePr w:type="band1Vert">
      <w:tblPr/>
      <w:tcPr>
        <w:shd w:val="clear" w:color="auto" w:fill="EAEAEA"/>
      </w:tcPr>
    </w:tblStylePr>
    <w:tblStylePr w:type="band1Horz">
      <w:tblPr/>
      <w:tcPr>
        <w:shd w:val="clear" w:color="auto" w:fill="EAEAEA"/>
      </w:tcPr>
    </w:tblStylePr>
  </w:style>
  <w:style w:type="table" w:customStyle="1" w:styleId="GridTable4-Accent513">
    <w:name w:val="Grid Table 4 - Accent 513"/>
    <w:basedOn w:val="TableNormal"/>
    <w:next w:val="GridTable4-Accent530"/>
    <w:uiPriority w:val="49"/>
    <w:rsid w:val="006D0778"/>
    <w:pPr>
      <w:spacing w:after="0" w:line="240" w:lineRule="auto"/>
    </w:pPr>
    <w:rPr>
      <w:rFonts w:ascii="Calibri" w:eastAsia="Calibri" w:hAnsi="Calibri" w:cs="Times New Roman"/>
      <w:sz w:val="20"/>
      <w:szCs w:val="20"/>
    </w:rPr>
    <w:tblPr>
      <w:tblStyleRowBandSize w:val="1"/>
      <w:tblStyleColBandSize w:val="1"/>
      <w:tblBorders>
        <w:top w:val="single" w:sz="4" w:space="0" w:color="9F9F9F"/>
        <w:left w:val="single" w:sz="4" w:space="0" w:color="9F9F9F"/>
        <w:bottom w:val="single" w:sz="4" w:space="0" w:color="9F9F9F"/>
        <w:right w:val="single" w:sz="4" w:space="0" w:color="9F9F9F"/>
        <w:insideH w:val="single" w:sz="4" w:space="0" w:color="9F9F9F"/>
        <w:insideV w:val="single" w:sz="4" w:space="0" w:color="9F9F9F"/>
      </w:tblBorders>
    </w:tblPr>
    <w:tblStylePr w:type="firstRow">
      <w:rPr>
        <w:b/>
        <w:bCs/>
        <w:color w:val="FFFFFF"/>
      </w:rPr>
      <w:tblPr/>
      <w:tcPr>
        <w:tcBorders>
          <w:top w:val="single" w:sz="4" w:space="0" w:color="5F5F5F"/>
          <w:left w:val="single" w:sz="4" w:space="0" w:color="5F5F5F"/>
          <w:bottom w:val="single" w:sz="4" w:space="0" w:color="5F5F5F"/>
          <w:right w:val="single" w:sz="4" w:space="0" w:color="5F5F5F"/>
          <w:insideH w:val="nil"/>
          <w:insideV w:val="nil"/>
        </w:tcBorders>
        <w:shd w:val="clear" w:color="auto" w:fill="5F5F5F"/>
      </w:tcPr>
    </w:tblStylePr>
    <w:tblStylePr w:type="lastRow">
      <w:rPr>
        <w:b/>
        <w:bCs/>
      </w:rPr>
      <w:tblPr/>
      <w:tcPr>
        <w:tcBorders>
          <w:top w:val="double" w:sz="4" w:space="0" w:color="5F5F5F"/>
        </w:tcBorders>
      </w:tcPr>
    </w:tblStylePr>
    <w:tblStylePr w:type="firstCol">
      <w:rPr>
        <w:b/>
        <w:bCs/>
      </w:rPr>
    </w:tblStylePr>
    <w:tblStylePr w:type="lastCol">
      <w:rPr>
        <w:b/>
        <w:bCs/>
      </w:rPr>
    </w:tblStylePr>
    <w:tblStylePr w:type="band1Vert">
      <w:tblPr/>
      <w:tcPr>
        <w:shd w:val="clear" w:color="auto" w:fill="DFDFDF"/>
      </w:tcPr>
    </w:tblStylePr>
    <w:tblStylePr w:type="band1Horz">
      <w:tblPr/>
      <w:tcPr>
        <w:shd w:val="clear" w:color="auto" w:fill="DFDFDF"/>
      </w:tcPr>
    </w:tblStylePr>
  </w:style>
  <w:style w:type="table" w:customStyle="1" w:styleId="GridTable5Dark-Accent513">
    <w:name w:val="Grid Table 5 Dark - Accent 513"/>
    <w:basedOn w:val="TableNormal"/>
    <w:next w:val="GridTable5Dark-Accent530"/>
    <w:uiPriority w:val="50"/>
    <w:rsid w:val="006D0778"/>
    <w:pPr>
      <w:spacing w:after="0" w:line="240" w:lineRule="auto"/>
    </w:pPr>
    <w:rPr>
      <w:rFonts w:ascii="Calibri" w:eastAsia="Calibri" w:hAnsi="Calibri" w:cs="Times New Roman"/>
      <w:sz w:val="20"/>
      <w:szCs w:val="20"/>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DFDFDF"/>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5F5F5F"/>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5F5F5F"/>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5F5F5F"/>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5F5F5F"/>
      </w:tcPr>
    </w:tblStylePr>
    <w:tblStylePr w:type="band1Vert">
      <w:tblPr/>
      <w:tcPr>
        <w:shd w:val="clear" w:color="auto" w:fill="BFBFBF"/>
      </w:tcPr>
    </w:tblStylePr>
    <w:tblStylePr w:type="band1Horz">
      <w:tblPr/>
      <w:tcPr>
        <w:shd w:val="clear" w:color="auto" w:fill="BFBFBF"/>
      </w:tcPr>
    </w:tblStylePr>
  </w:style>
  <w:style w:type="table" w:customStyle="1" w:styleId="40">
    <w:name w:val="ФС4"/>
    <w:basedOn w:val="TableNormal"/>
    <w:uiPriority w:val="99"/>
    <w:rsid w:val="006D0778"/>
    <w:pPr>
      <w:spacing w:after="0" w:line="240" w:lineRule="auto"/>
    </w:pPr>
    <w:rPr>
      <w:rFonts w:ascii="Calibri" w:eastAsia="Calibri" w:hAnsi="Calibri" w:cs="Times New Roman"/>
      <w:sz w:val="20"/>
      <w:szCs w:val="20"/>
    </w:rPr>
    <w:tblPr/>
  </w:style>
  <w:style w:type="table" w:customStyle="1" w:styleId="ListTable6Colorful-Accent313">
    <w:name w:val="List Table 6 Colorful - Accent 313"/>
    <w:basedOn w:val="TableNormal"/>
    <w:next w:val="ListTable6Colorful-Accent330"/>
    <w:uiPriority w:val="51"/>
    <w:rsid w:val="006D0778"/>
    <w:pPr>
      <w:spacing w:after="0" w:line="240" w:lineRule="auto"/>
    </w:pPr>
    <w:rPr>
      <w:rFonts w:ascii="Calibri" w:eastAsia="Calibri" w:hAnsi="Calibri" w:cs="Times New Roman"/>
      <w:color w:val="707070"/>
      <w:sz w:val="20"/>
      <w:szCs w:val="20"/>
    </w:rPr>
    <w:tblPr>
      <w:tblStyleRowBandSize w:val="1"/>
      <w:tblStyleColBandSize w:val="1"/>
      <w:tblBorders>
        <w:top w:val="single" w:sz="4" w:space="0" w:color="969696"/>
        <w:bottom w:val="single" w:sz="4" w:space="0" w:color="969696"/>
      </w:tblBorders>
    </w:tblPr>
    <w:tblStylePr w:type="firstRow">
      <w:rPr>
        <w:b/>
        <w:bCs/>
      </w:rPr>
      <w:tblPr/>
      <w:tcPr>
        <w:tcBorders>
          <w:bottom w:val="single" w:sz="4" w:space="0" w:color="969696"/>
        </w:tcBorders>
      </w:tcPr>
    </w:tblStylePr>
    <w:tblStylePr w:type="lastRow">
      <w:rPr>
        <w:b/>
        <w:bCs/>
      </w:rPr>
      <w:tblPr/>
      <w:tcPr>
        <w:tcBorders>
          <w:top w:val="double" w:sz="4" w:space="0" w:color="969696"/>
        </w:tcBorders>
      </w:tcPr>
    </w:tblStylePr>
    <w:tblStylePr w:type="firstCol">
      <w:rPr>
        <w:b/>
        <w:bCs/>
      </w:rPr>
    </w:tblStylePr>
    <w:tblStylePr w:type="lastCol">
      <w:rPr>
        <w:b/>
        <w:bCs/>
      </w:rPr>
    </w:tblStylePr>
    <w:tblStylePr w:type="band1Vert">
      <w:tblPr/>
      <w:tcPr>
        <w:shd w:val="clear" w:color="auto" w:fill="EAEAEA"/>
      </w:tcPr>
    </w:tblStylePr>
    <w:tblStylePr w:type="band1Horz">
      <w:tblPr/>
      <w:tcPr>
        <w:shd w:val="clear" w:color="auto" w:fill="EAEAEA"/>
      </w:tcPr>
    </w:tblStylePr>
  </w:style>
  <w:style w:type="table" w:customStyle="1" w:styleId="GridTable1Light-Accent113">
    <w:name w:val="Grid Table 1 Light - Accent 113"/>
    <w:basedOn w:val="TableNormal"/>
    <w:next w:val="GridTable1Light-Accent130"/>
    <w:uiPriority w:val="46"/>
    <w:rsid w:val="006D0778"/>
    <w:pPr>
      <w:spacing w:after="0" w:line="240" w:lineRule="auto"/>
    </w:pPr>
    <w:tblPr>
      <w:tblStyleRowBandSize w:val="1"/>
      <w:tblStyleColBandSize w:val="1"/>
      <w:tblBorders>
        <w:top w:val="single" w:sz="4" w:space="0" w:color="F8B4A6"/>
        <w:left w:val="single" w:sz="4" w:space="0" w:color="F8B4A6"/>
        <w:bottom w:val="single" w:sz="4" w:space="0" w:color="F8B4A6"/>
        <w:right w:val="single" w:sz="4" w:space="0" w:color="F8B4A6"/>
        <w:insideH w:val="single" w:sz="4" w:space="0" w:color="F8B4A6"/>
        <w:insideV w:val="single" w:sz="4" w:space="0" w:color="F8B4A6"/>
      </w:tblBorders>
    </w:tblPr>
    <w:tblStylePr w:type="firstRow">
      <w:rPr>
        <w:b/>
        <w:bCs/>
      </w:rPr>
      <w:tblPr/>
      <w:tcPr>
        <w:tcBorders>
          <w:bottom w:val="single" w:sz="12" w:space="0" w:color="F58F7A"/>
        </w:tcBorders>
      </w:tcPr>
    </w:tblStylePr>
    <w:tblStylePr w:type="lastRow">
      <w:rPr>
        <w:b/>
        <w:bCs/>
      </w:rPr>
      <w:tblPr/>
      <w:tcPr>
        <w:tcBorders>
          <w:top w:val="double" w:sz="2" w:space="0" w:color="F58F7A"/>
        </w:tcBorders>
      </w:tcPr>
    </w:tblStylePr>
    <w:tblStylePr w:type="firstCol">
      <w:rPr>
        <w:b/>
        <w:bCs/>
      </w:rPr>
    </w:tblStylePr>
    <w:tblStylePr w:type="lastCol">
      <w:rPr>
        <w:b/>
        <w:bCs/>
      </w:rPr>
    </w:tblStylePr>
  </w:style>
  <w:style w:type="table" w:customStyle="1" w:styleId="ListTable1Light-Accent113">
    <w:name w:val="List Table 1 Light - Accent 113"/>
    <w:basedOn w:val="TableNormal"/>
    <w:next w:val="ListTable1Light-Accent130"/>
    <w:uiPriority w:val="46"/>
    <w:rsid w:val="006D0778"/>
    <w:pPr>
      <w:spacing w:after="0" w:line="240" w:lineRule="auto"/>
    </w:pPr>
    <w:tblPr>
      <w:tblStyleRowBandSize w:val="1"/>
      <w:tblStyleColBandSize w:val="1"/>
    </w:tblPr>
    <w:tblStylePr w:type="firstRow">
      <w:rPr>
        <w:b/>
        <w:bCs/>
      </w:rPr>
      <w:tblPr/>
      <w:tcPr>
        <w:tcBorders>
          <w:bottom w:val="single" w:sz="4" w:space="0" w:color="F58F7A"/>
        </w:tcBorders>
      </w:tcPr>
    </w:tblStylePr>
    <w:tblStylePr w:type="lastRow">
      <w:rPr>
        <w:b/>
        <w:bCs/>
      </w:rPr>
      <w:tblPr/>
      <w:tcPr>
        <w:tcBorders>
          <w:top w:val="single" w:sz="4" w:space="0" w:color="F58F7A"/>
        </w:tcBorders>
      </w:tcPr>
    </w:tblStylePr>
    <w:tblStylePr w:type="firstCol">
      <w:rPr>
        <w:b/>
        <w:bCs/>
      </w:rPr>
    </w:tblStylePr>
    <w:tblStylePr w:type="lastCol">
      <w:rPr>
        <w:b/>
        <w:bCs/>
      </w:rPr>
    </w:tblStylePr>
    <w:tblStylePr w:type="band1Vert">
      <w:tblPr/>
      <w:tcPr>
        <w:shd w:val="clear" w:color="auto" w:fill="FBD9D2"/>
      </w:tcPr>
    </w:tblStylePr>
    <w:tblStylePr w:type="band1Horz">
      <w:tblPr/>
      <w:tcPr>
        <w:shd w:val="clear" w:color="auto" w:fill="FBD9D2"/>
      </w:tcPr>
    </w:tblStylePr>
  </w:style>
  <w:style w:type="table" w:customStyle="1" w:styleId="ListTable2-Accent113">
    <w:name w:val="List Table 2 - Accent 113"/>
    <w:basedOn w:val="TableNormal"/>
    <w:next w:val="ListTable2-Accent130"/>
    <w:uiPriority w:val="47"/>
    <w:rsid w:val="006D0778"/>
    <w:pPr>
      <w:spacing w:after="0" w:line="240" w:lineRule="auto"/>
    </w:pPr>
    <w:tblPr>
      <w:tblStyleRowBandSize w:val="1"/>
      <w:tblStyleColBandSize w:val="1"/>
      <w:tblBorders>
        <w:top w:val="single" w:sz="4" w:space="0" w:color="F58F7A"/>
        <w:bottom w:val="single" w:sz="4" w:space="0" w:color="F58F7A"/>
        <w:insideH w:val="single" w:sz="4" w:space="0" w:color="F58F7A"/>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BD9D2"/>
      </w:tcPr>
    </w:tblStylePr>
    <w:tblStylePr w:type="band1Horz">
      <w:tblPr/>
      <w:tcPr>
        <w:shd w:val="clear" w:color="auto" w:fill="FBD9D2"/>
      </w:tcPr>
    </w:tblStylePr>
  </w:style>
  <w:style w:type="table" w:customStyle="1" w:styleId="ListTable2-Accent513">
    <w:name w:val="List Table 2 - Accent 513"/>
    <w:basedOn w:val="TableNormal"/>
    <w:next w:val="ListTable2-Accent530"/>
    <w:uiPriority w:val="47"/>
    <w:rsid w:val="006D0778"/>
    <w:pPr>
      <w:spacing w:after="0" w:line="240" w:lineRule="auto"/>
    </w:pPr>
    <w:tblPr>
      <w:tblStyleRowBandSize w:val="1"/>
      <w:tblStyleColBandSize w:val="1"/>
      <w:tblBorders>
        <w:top w:val="single" w:sz="4" w:space="0" w:color="9F9F9F"/>
        <w:bottom w:val="single" w:sz="4" w:space="0" w:color="9F9F9F"/>
        <w:insideH w:val="single" w:sz="4" w:space="0" w:color="9F9F9F"/>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FDFDF"/>
      </w:tcPr>
    </w:tblStylePr>
    <w:tblStylePr w:type="band1Horz">
      <w:tblPr/>
      <w:tcPr>
        <w:shd w:val="clear" w:color="auto" w:fill="DFDFDF"/>
      </w:tcPr>
    </w:tblStylePr>
  </w:style>
  <w:style w:type="table" w:customStyle="1" w:styleId="GridTable2-Accent513">
    <w:name w:val="Grid Table 2 - Accent 513"/>
    <w:basedOn w:val="TableNormal"/>
    <w:next w:val="GridTable2-Accent530"/>
    <w:uiPriority w:val="47"/>
    <w:rsid w:val="006D0778"/>
    <w:pPr>
      <w:spacing w:after="0" w:line="240" w:lineRule="auto"/>
    </w:pPr>
    <w:tblPr>
      <w:tblStyleRowBandSize w:val="1"/>
      <w:tblStyleColBandSize w:val="1"/>
      <w:tblBorders>
        <w:top w:val="single" w:sz="2" w:space="0" w:color="9F9F9F"/>
        <w:bottom w:val="single" w:sz="2" w:space="0" w:color="9F9F9F"/>
        <w:insideH w:val="single" w:sz="2" w:space="0" w:color="9F9F9F"/>
        <w:insideV w:val="single" w:sz="2" w:space="0" w:color="9F9F9F"/>
      </w:tblBorders>
    </w:tblPr>
    <w:tblStylePr w:type="firstRow">
      <w:rPr>
        <w:b/>
        <w:bCs/>
      </w:rPr>
      <w:tblPr/>
      <w:tcPr>
        <w:tcBorders>
          <w:top w:val="nil"/>
          <w:bottom w:val="single" w:sz="12" w:space="0" w:color="9F9F9F"/>
          <w:insideH w:val="nil"/>
          <w:insideV w:val="nil"/>
        </w:tcBorders>
        <w:shd w:val="clear" w:color="auto" w:fill="FFFFFF"/>
      </w:tcPr>
    </w:tblStylePr>
    <w:tblStylePr w:type="lastRow">
      <w:rPr>
        <w:b/>
        <w:bCs/>
      </w:rPr>
      <w:tblPr/>
      <w:tcPr>
        <w:tcBorders>
          <w:top w:val="double" w:sz="2" w:space="0" w:color="9F9F9F"/>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FDFDF"/>
      </w:tcPr>
    </w:tblStylePr>
    <w:tblStylePr w:type="band1Horz">
      <w:tblPr/>
      <w:tcPr>
        <w:shd w:val="clear" w:color="auto" w:fill="DFDFDF"/>
      </w:tcPr>
    </w:tblStylePr>
  </w:style>
  <w:style w:type="table" w:customStyle="1" w:styleId="TableGrid25">
    <w:name w:val="Table Grid25"/>
    <w:basedOn w:val="TableNormal"/>
    <w:next w:val="TableGrid"/>
    <w:uiPriority w:val="39"/>
    <w:rsid w:val="006D0778"/>
    <w:pPr>
      <w:spacing w:before="120" w:after="120" w:line="264" w:lineRule="auto"/>
      <w:ind w:left="115" w:right="115"/>
    </w:pPr>
    <w:rPr>
      <w:rFonts w:eastAsia="MS PGothic"/>
      <w:sz w:val="20"/>
      <w:szCs w:val="20"/>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
    <w:tcPr>
      <w:vAlign w:val="center"/>
    </w:tcPr>
    <w:tblStylePr w:type="firstRow">
      <w:pPr>
        <w:wordWrap/>
        <w:jc w:val="center"/>
      </w:pPr>
      <w:rPr>
        <w:b/>
        <w:i w:val="0"/>
        <w:sz w:val="22"/>
      </w:rPr>
    </w:tblStylePr>
    <w:tblStylePr w:type="lastRow">
      <w:rPr>
        <w:b/>
        <w:i w:val="0"/>
        <w:sz w:val="22"/>
      </w:rPr>
      <w:tblPr/>
      <w:tcPr>
        <w:tcBorders>
          <w:top w:val="double" w:sz="4" w:space="0" w:color="auto"/>
          <w:left w:val="single" w:sz="4" w:space="0" w:color="auto"/>
          <w:bottom w:val="single" w:sz="18" w:space="0" w:color="auto"/>
          <w:right w:val="single" w:sz="4" w:space="0" w:color="auto"/>
          <w:insideH w:val="nil"/>
          <w:insideV w:val="single" w:sz="4" w:space="0" w:color="auto"/>
          <w:tl2br w:val="nil"/>
          <w:tr2bl w:val="nil"/>
        </w:tcBorders>
      </w:tcPr>
    </w:tblStylePr>
  </w:style>
  <w:style w:type="table" w:customStyle="1" w:styleId="LightShading-Accent1244">
    <w:name w:val="Light Shading - Accent 1244"/>
    <w:basedOn w:val="TableNormal"/>
    <w:uiPriority w:val="60"/>
    <w:rsid w:val="006D0778"/>
    <w:pPr>
      <w:spacing w:after="0" w:line="264" w:lineRule="auto"/>
    </w:pPr>
    <w:rPr>
      <w:rFonts w:ascii="Cambria" w:eastAsia="Calibri" w:hAnsi="Cambria" w:cs="Times New Roman"/>
      <w:color w:val="A8422A"/>
      <w:sz w:val="20"/>
      <w:szCs w:val="20"/>
      <w:lang w:val="en-GB" w:eastAsia="sr-Cyrl-CS"/>
    </w:rPr>
    <w:tblPr>
      <w:tblStyleRowBandSize w:val="1"/>
      <w:tblStyleColBandSize w:val="1"/>
      <w:tblBorders>
        <w:top w:val="single" w:sz="8" w:space="0" w:color="D16349"/>
        <w:bottom w:val="single" w:sz="8" w:space="0" w:color="D16349"/>
      </w:tblBorders>
    </w:tblPr>
    <w:tblStylePr w:type="fir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la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D8D2"/>
      </w:tcPr>
    </w:tblStylePr>
    <w:tblStylePr w:type="band1Horz">
      <w:tblPr/>
      <w:tcPr>
        <w:tcBorders>
          <w:left w:val="nil"/>
          <w:right w:val="nil"/>
          <w:insideH w:val="nil"/>
          <w:insideV w:val="nil"/>
        </w:tcBorders>
        <w:shd w:val="clear" w:color="auto" w:fill="F3D8D2"/>
      </w:tcPr>
    </w:tblStylePr>
  </w:style>
  <w:style w:type="table" w:customStyle="1" w:styleId="GridTable6Colorful-Accent5123">
    <w:name w:val="Grid Table 6 Colorful - Accent 5123"/>
    <w:basedOn w:val="TableNormal"/>
    <w:next w:val="GridTable6Colorful-Accent540"/>
    <w:uiPriority w:val="51"/>
    <w:rsid w:val="006D0778"/>
    <w:pPr>
      <w:spacing w:after="0" w:line="240" w:lineRule="auto"/>
    </w:pPr>
    <w:rPr>
      <w:rFonts w:ascii="Calibri" w:eastAsia="Calibri" w:hAnsi="Calibri" w:cs="Times New Roman"/>
      <w:color w:val="C19300"/>
      <w:sz w:val="20"/>
      <w:szCs w:val="20"/>
    </w:rPr>
    <w:tblPr>
      <w:tblStyleRowBandSize w:val="1"/>
      <w:tblStyleColBandSize w:val="1"/>
      <w:tblBorders>
        <w:top w:val="single" w:sz="4" w:space="0" w:color="FEDA69"/>
        <w:left w:val="single" w:sz="4" w:space="0" w:color="FEDA69"/>
        <w:bottom w:val="single" w:sz="4" w:space="0" w:color="FEDA69"/>
        <w:right w:val="single" w:sz="4" w:space="0" w:color="FEDA69"/>
        <w:insideH w:val="single" w:sz="4" w:space="0" w:color="FEDA69"/>
        <w:insideV w:val="single" w:sz="4" w:space="0" w:color="FEDA69"/>
      </w:tblBorders>
    </w:tblPr>
    <w:tblStylePr w:type="firstRow">
      <w:rPr>
        <w:b/>
        <w:bCs/>
      </w:rPr>
      <w:tblPr/>
      <w:tcPr>
        <w:tcBorders>
          <w:bottom w:val="single" w:sz="12" w:space="0" w:color="FEDA69"/>
        </w:tcBorders>
      </w:tcPr>
    </w:tblStylePr>
    <w:tblStylePr w:type="lastRow">
      <w:rPr>
        <w:b/>
        <w:bCs/>
      </w:rPr>
      <w:tblPr/>
      <w:tcPr>
        <w:tcBorders>
          <w:top w:val="double" w:sz="4" w:space="0" w:color="FEDA69"/>
        </w:tcBorders>
      </w:tcPr>
    </w:tblStylePr>
    <w:tblStylePr w:type="firstCol">
      <w:rPr>
        <w:b/>
        <w:bCs/>
      </w:rPr>
    </w:tblStylePr>
    <w:tblStylePr w:type="lastCol">
      <w:rPr>
        <w:b/>
        <w:bCs/>
      </w:rPr>
    </w:tblStylePr>
    <w:tblStylePr w:type="band1Vert">
      <w:tblPr/>
      <w:tcPr>
        <w:shd w:val="clear" w:color="auto" w:fill="FEF2CD"/>
      </w:tcPr>
    </w:tblStylePr>
    <w:tblStylePr w:type="band1Horz">
      <w:tblPr/>
      <w:tcPr>
        <w:shd w:val="clear" w:color="auto" w:fill="FEF2CD"/>
      </w:tcPr>
    </w:tblStylePr>
  </w:style>
  <w:style w:type="table" w:customStyle="1" w:styleId="GridTable6Colorful-Accent5133">
    <w:name w:val="Grid Table 6 Colorful - Accent 5133"/>
    <w:basedOn w:val="TableNormal"/>
    <w:uiPriority w:val="51"/>
    <w:rsid w:val="006D0778"/>
    <w:pPr>
      <w:spacing w:after="0" w:line="264" w:lineRule="auto"/>
    </w:pPr>
    <w:rPr>
      <w:rFonts w:ascii="Calibri" w:eastAsia="Calibri" w:hAnsi="Calibri" w:cs="Times New Roman"/>
      <w:color w:val="474747"/>
      <w:sz w:val="20"/>
      <w:szCs w:val="20"/>
    </w:rPr>
    <w:tblPr>
      <w:tblStyleRowBandSize w:val="1"/>
      <w:tblStyleColBandSize w:val="1"/>
      <w:tblBorders>
        <w:top w:val="single" w:sz="4" w:space="0" w:color="9F9F9F"/>
        <w:left w:val="single" w:sz="4" w:space="0" w:color="9F9F9F"/>
        <w:bottom w:val="single" w:sz="4" w:space="0" w:color="9F9F9F"/>
        <w:right w:val="single" w:sz="4" w:space="0" w:color="9F9F9F"/>
        <w:insideH w:val="single" w:sz="4" w:space="0" w:color="9F9F9F"/>
        <w:insideV w:val="single" w:sz="4" w:space="0" w:color="9F9F9F"/>
      </w:tblBorders>
    </w:tblPr>
    <w:tblStylePr w:type="firstRow">
      <w:rPr>
        <w:b/>
        <w:bCs/>
      </w:rPr>
      <w:tblPr/>
      <w:tcPr>
        <w:tcBorders>
          <w:bottom w:val="single" w:sz="12" w:space="0" w:color="9F9F9F"/>
        </w:tcBorders>
      </w:tcPr>
    </w:tblStylePr>
    <w:tblStylePr w:type="lastRow">
      <w:rPr>
        <w:b/>
        <w:bCs/>
      </w:rPr>
      <w:tblPr/>
      <w:tcPr>
        <w:tcBorders>
          <w:top w:val="double" w:sz="4" w:space="0" w:color="9F9F9F"/>
        </w:tcBorders>
      </w:tcPr>
    </w:tblStylePr>
    <w:tblStylePr w:type="firstCol">
      <w:rPr>
        <w:b/>
        <w:bCs/>
      </w:rPr>
    </w:tblStylePr>
    <w:tblStylePr w:type="lastCol">
      <w:rPr>
        <w:b/>
        <w:bCs/>
      </w:rPr>
    </w:tblStylePr>
    <w:tblStylePr w:type="band1Vert">
      <w:tblPr/>
      <w:tcPr>
        <w:shd w:val="clear" w:color="auto" w:fill="DFDFDF"/>
      </w:tcPr>
    </w:tblStylePr>
    <w:tblStylePr w:type="band1Horz">
      <w:tblPr/>
      <w:tcPr>
        <w:shd w:val="clear" w:color="auto" w:fill="DFDFDF"/>
      </w:tcPr>
    </w:tblStylePr>
  </w:style>
  <w:style w:type="numbering" w:customStyle="1" w:styleId="NoList33">
    <w:name w:val="No List33"/>
    <w:next w:val="NoList"/>
    <w:uiPriority w:val="99"/>
    <w:semiHidden/>
    <w:unhideWhenUsed/>
    <w:rsid w:val="006D0778"/>
  </w:style>
  <w:style w:type="table" w:customStyle="1" w:styleId="TableGrid34">
    <w:name w:val="Table Grid34"/>
    <w:basedOn w:val="TableNormal"/>
    <w:next w:val="TableGrid"/>
    <w:uiPriority w:val="39"/>
    <w:rsid w:val="006D0778"/>
    <w:pPr>
      <w:spacing w:before="120" w:after="120" w:line="264" w:lineRule="auto"/>
      <w:ind w:left="115" w:right="115"/>
    </w:pPr>
    <w:rPr>
      <w:rFonts w:eastAsia="MS PGothic"/>
      <w:sz w:val="20"/>
      <w:szCs w:val="20"/>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
    <w:tcPr>
      <w:vAlign w:val="center"/>
    </w:tcPr>
    <w:tblStylePr w:type="firstRow">
      <w:pPr>
        <w:wordWrap/>
        <w:jc w:val="center"/>
      </w:pPr>
      <w:rPr>
        <w:b/>
        <w:i w:val="0"/>
        <w:sz w:val="22"/>
      </w:rPr>
    </w:tblStylePr>
    <w:tblStylePr w:type="lastRow">
      <w:rPr>
        <w:b/>
        <w:i w:val="0"/>
        <w:sz w:val="22"/>
      </w:rPr>
      <w:tblPr/>
      <w:tcPr>
        <w:tcBorders>
          <w:top w:val="double" w:sz="4" w:space="0" w:color="auto"/>
          <w:left w:val="single" w:sz="4" w:space="0" w:color="auto"/>
          <w:bottom w:val="single" w:sz="18" w:space="0" w:color="auto"/>
          <w:right w:val="single" w:sz="4" w:space="0" w:color="auto"/>
          <w:insideH w:val="nil"/>
          <w:insideV w:val="single" w:sz="4" w:space="0" w:color="auto"/>
          <w:tl2br w:val="nil"/>
          <w:tr2bl w:val="nil"/>
        </w:tcBorders>
      </w:tcPr>
    </w:tblStylePr>
  </w:style>
  <w:style w:type="table" w:customStyle="1" w:styleId="FinancialTable13">
    <w:name w:val="Financial Table13"/>
    <w:basedOn w:val="TableNormal"/>
    <w:uiPriority w:val="99"/>
    <w:rsid w:val="006D0778"/>
    <w:pPr>
      <w:spacing w:before="60" w:after="60" w:line="264" w:lineRule="auto"/>
    </w:pPr>
    <w:rPr>
      <w:rFonts w:eastAsia="MS PGothic"/>
      <w:sz w:val="20"/>
      <w:szCs w:val="20"/>
      <w:lang w:eastAsia="ja-JP"/>
    </w:rPr>
    <w:tblPr>
      <w:tblBorders>
        <w:top w:val="single" w:sz="8" w:space="0" w:color="000000"/>
        <w:left w:val="single" w:sz="8" w:space="0" w:color="000000"/>
        <w:bottom w:val="single" w:sz="24" w:space="0" w:color="000000"/>
        <w:right w:val="single" w:sz="8" w:space="0" w:color="000000"/>
        <w:insideH w:val="single" w:sz="8" w:space="0" w:color="000000"/>
        <w:insideV w:val="single" w:sz="8" w:space="0" w:color="000000"/>
      </w:tblBorders>
      <w:tblCellMar>
        <w:left w:w="72" w:type="dxa"/>
        <w:right w:w="72" w:type="dxa"/>
      </w:tblCellMar>
    </w:tblPr>
    <w:tblStylePr w:type="firstRow">
      <w:pPr>
        <w:wordWrap/>
        <w:spacing w:beforeLines="0" w:before="40" w:beforeAutospacing="0" w:afterLines="0" w:after="40" w:afterAutospacing="0"/>
        <w:jc w:val="left"/>
      </w:pPr>
      <w:rPr>
        <w:rFonts w:ascii="Arial" w:hAnsi="Arial"/>
        <w:b/>
        <w:i w:val="0"/>
        <w:caps w:val="0"/>
        <w:smallCaps w:val="0"/>
        <w:color w:val="000000"/>
        <w:sz w:val="22"/>
      </w:rPr>
    </w:tblStylePr>
    <w:tblStylePr w:type="firstCol">
      <w:rPr>
        <w:b/>
        <w:color w:val="000000"/>
      </w:rPr>
    </w:tblStylePr>
  </w:style>
  <w:style w:type="table" w:customStyle="1" w:styleId="GridTable6Colorful-Accent533">
    <w:name w:val="Grid Table 6 Colorful - Accent 533"/>
    <w:basedOn w:val="TableNormal"/>
    <w:next w:val="GridTable6Colorful-Accent540"/>
    <w:uiPriority w:val="51"/>
    <w:rsid w:val="006D0778"/>
    <w:pPr>
      <w:spacing w:after="0" w:line="264" w:lineRule="auto"/>
    </w:pPr>
    <w:rPr>
      <w:rFonts w:ascii="Calibri" w:eastAsia="Calibri" w:hAnsi="Calibri" w:cs="Times New Roman"/>
      <w:color w:val="474747"/>
      <w:sz w:val="20"/>
      <w:szCs w:val="20"/>
    </w:rPr>
    <w:tblPr>
      <w:tblStyleRowBandSize w:val="1"/>
      <w:tblStyleColBandSize w:val="1"/>
      <w:tblBorders>
        <w:top w:val="single" w:sz="4" w:space="0" w:color="9F9F9F"/>
        <w:left w:val="single" w:sz="4" w:space="0" w:color="9F9F9F"/>
        <w:bottom w:val="single" w:sz="4" w:space="0" w:color="9F9F9F"/>
        <w:right w:val="single" w:sz="4" w:space="0" w:color="9F9F9F"/>
        <w:insideH w:val="single" w:sz="4" w:space="0" w:color="9F9F9F"/>
        <w:insideV w:val="single" w:sz="4" w:space="0" w:color="9F9F9F"/>
      </w:tblBorders>
    </w:tblPr>
    <w:tblStylePr w:type="firstRow">
      <w:rPr>
        <w:b/>
        <w:bCs/>
      </w:rPr>
      <w:tblPr/>
      <w:tcPr>
        <w:tcBorders>
          <w:bottom w:val="single" w:sz="12" w:space="0" w:color="9F9F9F"/>
        </w:tcBorders>
      </w:tcPr>
    </w:tblStylePr>
    <w:tblStylePr w:type="lastRow">
      <w:rPr>
        <w:b/>
        <w:bCs/>
      </w:rPr>
      <w:tblPr/>
      <w:tcPr>
        <w:tcBorders>
          <w:top w:val="double" w:sz="4" w:space="0" w:color="9F9F9F"/>
        </w:tcBorders>
      </w:tcPr>
    </w:tblStylePr>
    <w:tblStylePr w:type="firstCol">
      <w:rPr>
        <w:b/>
        <w:bCs/>
      </w:rPr>
    </w:tblStylePr>
    <w:tblStylePr w:type="lastCol">
      <w:rPr>
        <w:b/>
        <w:bCs/>
      </w:rPr>
    </w:tblStylePr>
    <w:tblStylePr w:type="band1Vert">
      <w:tblPr/>
      <w:tcPr>
        <w:shd w:val="clear" w:color="auto" w:fill="DFDFDF"/>
      </w:tcPr>
    </w:tblStylePr>
    <w:tblStylePr w:type="band1Horz">
      <w:tblPr/>
      <w:tcPr>
        <w:shd w:val="clear" w:color="auto" w:fill="DFDFDF"/>
      </w:tcPr>
    </w:tblStylePr>
  </w:style>
  <w:style w:type="table" w:customStyle="1" w:styleId="LightShading-Accent1254">
    <w:name w:val="Light Shading - Accent 1254"/>
    <w:basedOn w:val="TableNormal"/>
    <w:uiPriority w:val="60"/>
    <w:rsid w:val="006D0778"/>
    <w:pPr>
      <w:spacing w:after="0" w:line="264" w:lineRule="auto"/>
    </w:pPr>
    <w:rPr>
      <w:rFonts w:ascii="Cambria" w:eastAsia="Calibri" w:hAnsi="Cambria" w:cs="Times New Roman"/>
      <w:color w:val="A8422A"/>
      <w:sz w:val="20"/>
      <w:szCs w:val="20"/>
      <w:lang w:val="en-GB" w:eastAsia="sr-Cyrl-CS"/>
    </w:rPr>
    <w:tblPr>
      <w:tblStyleRowBandSize w:val="1"/>
      <w:tblStyleColBandSize w:val="1"/>
      <w:tblBorders>
        <w:top w:val="single" w:sz="8" w:space="0" w:color="D16349"/>
        <w:bottom w:val="single" w:sz="8" w:space="0" w:color="D16349"/>
      </w:tblBorders>
    </w:tblPr>
    <w:tblStylePr w:type="fir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la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D8D2"/>
      </w:tcPr>
    </w:tblStylePr>
    <w:tblStylePr w:type="band1Horz">
      <w:tblPr/>
      <w:tcPr>
        <w:tcBorders>
          <w:left w:val="nil"/>
          <w:right w:val="nil"/>
          <w:insideH w:val="nil"/>
          <w:insideV w:val="nil"/>
        </w:tcBorders>
        <w:shd w:val="clear" w:color="auto" w:fill="F3D8D2"/>
      </w:tcPr>
    </w:tblStylePr>
  </w:style>
  <w:style w:type="table" w:customStyle="1" w:styleId="GridTable6Colorful-Accent5143">
    <w:name w:val="Grid Table 6 Colorful - Accent 5143"/>
    <w:basedOn w:val="TableNormal"/>
    <w:uiPriority w:val="51"/>
    <w:rsid w:val="006D0778"/>
    <w:pPr>
      <w:spacing w:after="0" w:line="264" w:lineRule="auto"/>
    </w:pPr>
    <w:rPr>
      <w:rFonts w:ascii="Calibri" w:eastAsia="Calibri" w:hAnsi="Calibri" w:cs="Times New Roman"/>
      <w:color w:val="387AAA"/>
      <w:sz w:val="20"/>
      <w:szCs w:val="20"/>
    </w:rPr>
    <w:tblPr>
      <w:tblStyleRowBandSize w:val="1"/>
      <w:tblStyleColBandSize w:val="1"/>
      <w:tblBorders>
        <w:top w:val="single" w:sz="4" w:space="0" w:color="A1C5E0"/>
        <w:left w:val="single" w:sz="4" w:space="0" w:color="A1C5E0"/>
        <w:bottom w:val="single" w:sz="4" w:space="0" w:color="A1C5E0"/>
        <w:right w:val="single" w:sz="4" w:space="0" w:color="A1C5E0"/>
        <w:insideH w:val="single" w:sz="4" w:space="0" w:color="A1C5E0"/>
        <w:insideV w:val="single" w:sz="4" w:space="0" w:color="A1C5E0"/>
      </w:tblBorders>
    </w:tblPr>
    <w:tblStylePr w:type="firstRow">
      <w:rPr>
        <w:b/>
        <w:bCs/>
      </w:rPr>
      <w:tblPr/>
      <w:tcPr>
        <w:tcBorders>
          <w:bottom w:val="single" w:sz="12" w:space="0" w:color="A1C5E0"/>
        </w:tcBorders>
      </w:tcPr>
    </w:tblStylePr>
    <w:tblStylePr w:type="lastRow">
      <w:rPr>
        <w:b/>
        <w:bCs/>
      </w:rPr>
      <w:tblPr/>
      <w:tcPr>
        <w:tcBorders>
          <w:top w:val="double" w:sz="4" w:space="0" w:color="A1C5E0"/>
        </w:tcBorders>
      </w:tcPr>
    </w:tblStylePr>
    <w:tblStylePr w:type="firstCol">
      <w:rPr>
        <w:b/>
        <w:bCs/>
      </w:rPr>
    </w:tblStylePr>
    <w:tblStylePr w:type="lastCol">
      <w:rPr>
        <w:b/>
        <w:bCs/>
      </w:rPr>
    </w:tblStylePr>
    <w:tblStylePr w:type="band1Vert">
      <w:tblPr/>
      <w:tcPr>
        <w:shd w:val="clear" w:color="auto" w:fill="DFEBF4"/>
      </w:tcPr>
    </w:tblStylePr>
    <w:tblStylePr w:type="band1Horz">
      <w:tblPr/>
      <w:tcPr>
        <w:shd w:val="clear" w:color="auto" w:fill="DFEBF4"/>
      </w:tcPr>
    </w:tblStylePr>
  </w:style>
  <w:style w:type="table" w:customStyle="1" w:styleId="LightShading-Accent12113">
    <w:name w:val="Light Shading - Accent 12113"/>
    <w:basedOn w:val="TableNormal"/>
    <w:uiPriority w:val="60"/>
    <w:rsid w:val="006D0778"/>
    <w:pPr>
      <w:spacing w:after="0" w:line="264" w:lineRule="auto"/>
    </w:pPr>
    <w:rPr>
      <w:rFonts w:ascii="Cambria" w:eastAsia="Calibri" w:hAnsi="Cambria" w:cs="Times New Roman"/>
      <w:color w:val="A8422A"/>
      <w:sz w:val="20"/>
      <w:szCs w:val="20"/>
      <w:lang w:val="en-GB" w:eastAsia="sr-Cyrl-CS"/>
    </w:rPr>
    <w:tblPr>
      <w:tblStyleRowBandSize w:val="1"/>
      <w:tblStyleColBandSize w:val="1"/>
      <w:tblBorders>
        <w:top w:val="single" w:sz="8" w:space="0" w:color="D16349"/>
        <w:bottom w:val="single" w:sz="8" w:space="0" w:color="D16349"/>
      </w:tblBorders>
    </w:tblPr>
    <w:tblStylePr w:type="fir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la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D8D2"/>
      </w:tcPr>
    </w:tblStylePr>
    <w:tblStylePr w:type="band1Horz">
      <w:tblPr/>
      <w:tcPr>
        <w:tcBorders>
          <w:left w:val="nil"/>
          <w:right w:val="nil"/>
          <w:insideH w:val="nil"/>
          <w:insideV w:val="nil"/>
        </w:tcBorders>
        <w:shd w:val="clear" w:color="auto" w:fill="F3D8D2"/>
      </w:tcPr>
    </w:tblStylePr>
  </w:style>
  <w:style w:type="table" w:customStyle="1" w:styleId="GridTable6Colorful-Accent51113">
    <w:name w:val="Grid Table 6 Colorful - Accent 51113"/>
    <w:basedOn w:val="TableNormal"/>
    <w:uiPriority w:val="51"/>
    <w:rsid w:val="006D0778"/>
    <w:pPr>
      <w:spacing w:after="0" w:line="264" w:lineRule="auto"/>
    </w:pPr>
    <w:rPr>
      <w:rFonts w:ascii="Calibri" w:eastAsia="Calibri" w:hAnsi="Calibri" w:cs="Times New Roman"/>
      <w:color w:val="387AAA"/>
      <w:sz w:val="20"/>
      <w:szCs w:val="20"/>
    </w:rPr>
    <w:tblPr>
      <w:tblStyleRowBandSize w:val="1"/>
      <w:tblStyleColBandSize w:val="1"/>
      <w:tblBorders>
        <w:top w:val="single" w:sz="4" w:space="0" w:color="A1C5E0"/>
        <w:left w:val="single" w:sz="4" w:space="0" w:color="A1C5E0"/>
        <w:bottom w:val="single" w:sz="4" w:space="0" w:color="A1C5E0"/>
        <w:right w:val="single" w:sz="4" w:space="0" w:color="A1C5E0"/>
        <w:insideH w:val="single" w:sz="4" w:space="0" w:color="A1C5E0"/>
        <w:insideV w:val="single" w:sz="4" w:space="0" w:color="A1C5E0"/>
      </w:tblBorders>
    </w:tblPr>
    <w:tblStylePr w:type="firstRow">
      <w:rPr>
        <w:b/>
        <w:bCs/>
      </w:rPr>
      <w:tblPr/>
      <w:tcPr>
        <w:tcBorders>
          <w:bottom w:val="single" w:sz="12" w:space="0" w:color="A1C5E0"/>
        </w:tcBorders>
      </w:tcPr>
    </w:tblStylePr>
    <w:tblStylePr w:type="lastRow">
      <w:rPr>
        <w:b/>
        <w:bCs/>
      </w:rPr>
      <w:tblPr/>
      <w:tcPr>
        <w:tcBorders>
          <w:top w:val="double" w:sz="4" w:space="0" w:color="A1C5E0"/>
        </w:tcBorders>
      </w:tcPr>
    </w:tblStylePr>
    <w:tblStylePr w:type="firstCol">
      <w:rPr>
        <w:b/>
        <w:bCs/>
      </w:rPr>
    </w:tblStylePr>
    <w:tblStylePr w:type="lastCol">
      <w:rPr>
        <w:b/>
        <w:bCs/>
      </w:rPr>
    </w:tblStylePr>
    <w:tblStylePr w:type="band1Vert">
      <w:tblPr/>
      <w:tcPr>
        <w:shd w:val="clear" w:color="auto" w:fill="DFEBF4"/>
      </w:tcPr>
    </w:tblStylePr>
    <w:tblStylePr w:type="band1Horz">
      <w:tblPr/>
      <w:tcPr>
        <w:shd w:val="clear" w:color="auto" w:fill="DFEBF4"/>
      </w:tcPr>
    </w:tblStylePr>
  </w:style>
  <w:style w:type="table" w:customStyle="1" w:styleId="GridTable6Colorful-Accent123">
    <w:name w:val="Grid Table 6 Colorful - Accent 123"/>
    <w:basedOn w:val="TableNormal"/>
    <w:next w:val="GridTable6Colorful-Accent130"/>
    <w:uiPriority w:val="51"/>
    <w:rsid w:val="006D0778"/>
    <w:pPr>
      <w:spacing w:after="0" w:line="264" w:lineRule="auto"/>
    </w:pPr>
    <w:rPr>
      <w:rFonts w:eastAsia="MS PGothic"/>
      <w:color w:val="BF2B0E"/>
      <w:sz w:val="20"/>
      <w:szCs w:val="20"/>
      <w:lang w:eastAsia="ja-JP"/>
    </w:rPr>
    <w:tblPr>
      <w:tblStyleRowBandSize w:val="1"/>
      <w:tblStyleColBandSize w:val="1"/>
      <w:tblBorders>
        <w:top w:val="single" w:sz="4" w:space="0" w:color="F58F7A"/>
        <w:left w:val="single" w:sz="4" w:space="0" w:color="F58F7A"/>
        <w:bottom w:val="single" w:sz="4" w:space="0" w:color="F58F7A"/>
        <w:right w:val="single" w:sz="4" w:space="0" w:color="F58F7A"/>
        <w:insideH w:val="single" w:sz="4" w:space="0" w:color="F58F7A"/>
        <w:insideV w:val="single" w:sz="4" w:space="0" w:color="F58F7A"/>
      </w:tblBorders>
    </w:tblPr>
    <w:tblStylePr w:type="firstRow">
      <w:rPr>
        <w:b/>
        <w:bCs/>
      </w:rPr>
      <w:tblPr/>
      <w:tcPr>
        <w:tcBorders>
          <w:bottom w:val="single" w:sz="12" w:space="0" w:color="F58F7A"/>
        </w:tcBorders>
      </w:tcPr>
    </w:tblStylePr>
    <w:tblStylePr w:type="lastRow">
      <w:rPr>
        <w:b/>
        <w:bCs/>
      </w:rPr>
      <w:tblPr/>
      <w:tcPr>
        <w:tcBorders>
          <w:top w:val="double" w:sz="4" w:space="0" w:color="F58F7A"/>
        </w:tcBorders>
      </w:tcPr>
    </w:tblStylePr>
    <w:tblStylePr w:type="firstCol">
      <w:rPr>
        <w:b/>
        <w:bCs/>
      </w:rPr>
    </w:tblStylePr>
    <w:tblStylePr w:type="lastCol">
      <w:rPr>
        <w:b/>
        <w:bCs/>
      </w:rPr>
    </w:tblStylePr>
    <w:tblStylePr w:type="band1Vert">
      <w:tblPr/>
      <w:tcPr>
        <w:shd w:val="clear" w:color="auto" w:fill="FBD9D2"/>
      </w:tcPr>
    </w:tblStylePr>
    <w:tblStylePr w:type="band1Horz">
      <w:tblPr/>
      <w:tcPr>
        <w:shd w:val="clear" w:color="auto" w:fill="FBD9D2"/>
      </w:tcPr>
    </w:tblStylePr>
  </w:style>
  <w:style w:type="table" w:customStyle="1" w:styleId="LightShading-Accent12213">
    <w:name w:val="Light Shading - Accent 12213"/>
    <w:basedOn w:val="TableNormal"/>
    <w:uiPriority w:val="60"/>
    <w:rsid w:val="006D0778"/>
    <w:pPr>
      <w:spacing w:after="0" w:line="240" w:lineRule="auto"/>
    </w:pPr>
    <w:rPr>
      <w:rFonts w:ascii="Cambria" w:eastAsia="Calibri" w:hAnsi="Cambria" w:cs="Times New Roman"/>
      <w:color w:val="A8422A"/>
      <w:sz w:val="20"/>
      <w:szCs w:val="20"/>
      <w:lang w:val="en-GB" w:eastAsia="sr-Cyrl-CS"/>
    </w:rPr>
    <w:tblPr>
      <w:tblStyleRowBandSize w:val="1"/>
      <w:tblStyleColBandSize w:val="1"/>
      <w:tblBorders>
        <w:top w:val="single" w:sz="8" w:space="0" w:color="D16349"/>
        <w:bottom w:val="single" w:sz="8" w:space="0" w:color="D16349"/>
      </w:tblBorders>
    </w:tblPr>
    <w:tblStylePr w:type="fir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la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D8D2"/>
      </w:tcPr>
    </w:tblStylePr>
    <w:tblStylePr w:type="band1Horz">
      <w:tblPr/>
      <w:tcPr>
        <w:tcBorders>
          <w:left w:val="nil"/>
          <w:right w:val="nil"/>
          <w:insideH w:val="nil"/>
          <w:insideV w:val="nil"/>
        </w:tcBorders>
        <w:shd w:val="clear" w:color="auto" w:fill="F3D8D2"/>
      </w:tcPr>
    </w:tblStylePr>
  </w:style>
  <w:style w:type="table" w:customStyle="1" w:styleId="GridTable6Colorful-Accent5213">
    <w:name w:val="Grid Table 6 Colorful - Accent 5213"/>
    <w:basedOn w:val="TableNormal"/>
    <w:next w:val="GridTable6Colorful-Accent540"/>
    <w:uiPriority w:val="51"/>
    <w:rsid w:val="006D0778"/>
    <w:pPr>
      <w:spacing w:after="0" w:line="240" w:lineRule="auto"/>
    </w:pPr>
    <w:rPr>
      <w:rFonts w:ascii="Calibri" w:eastAsia="Calibri" w:hAnsi="Calibri" w:cs="Times New Roman"/>
      <w:color w:val="C19300"/>
      <w:sz w:val="20"/>
      <w:szCs w:val="20"/>
    </w:rPr>
    <w:tblPr>
      <w:tblStyleRowBandSize w:val="1"/>
      <w:tblStyleColBandSize w:val="1"/>
      <w:tblBorders>
        <w:top w:val="single" w:sz="4" w:space="0" w:color="FEDA69"/>
        <w:left w:val="single" w:sz="4" w:space="0" w:color="FEDA69"/>
        <w:bottom w:val="single" w:sz="4" w:space="0" w:color="FEDA69"/>
        <w:right w:val="single" w:sz="4" w:space="0" w:color="FEDA69"/>
        <w:insideH w:val="single" w:sz="4" w:space="0" w:color="FEDA69"/>
        <w:insideV w:val="single" w:sz="4" w:space="0" w:color="FEDA69"/>
      </w:tblBorders>
    </w:tblPr>
    <w:tblStylePr w:type="firstRow">
      <w:rPr>
        <w:b/>
        <w:bCs/>
      </w:rPr>
      <w:tblPr/>
      <w:tcPr>
        <w:tcBorders>
          <w:bottom w:val="single" w:sz="12" w:space="0" w:color="FEDA69"/>
        </w:tcBorders>
      </w:tcPr>
    </w:tblStylePr>
    <w:tblStylePr w:type="lastRow">
      <w:rPr>
        <w:b/>
        <w:bCs/>
      </w:rPr>
      <w:tblPr/>
      <w:tcPr>
        <w:tcBorders>
          <w:top w:val="double" w:sz="4" w:space="0" w:color="FEDA69"/>
        </w:tcBorders>
      </w:tcPr>
    </w:tblStylePr>
    <w:tblStylePr w:type="firstCol">
      <w:rPr>
        <w:b/>
        <w:bCs/>
      </w:rPr>
    </w:tblStylePr>
    <w:tblStylePr w:type="lastCol">
      <w:rPr>
        <w:b/>
        <w:bCs/>
      </w:rPr>
    </w:tblStylePr>
    <w:tblStylePr w:type="band1Vert">
      <w:tblPr/>
      <w:tcPr>
        <w:shd w:val="clear" w:color="auto" w:fill="FEF2CD"/>
      </w:tcPr>
    </w:tblStylePr>
    <w:tblStylePr w:type="band1Horz">
      <w:tblPr/>
      <w:tcPr>
        <w:shd w:val="clear" w:color="auto" w:fill="FEF2CD"/>
      </w:tcPr>
    </w:tblStylePr>
  </w:style>
  <w:style w:type="table" w:customStyle="1" w:styleId="tabele343">
    <w:name w:val="tabele 343"/>
    <w:basedOn w:val="TableNormal"/>
    <w:next w:val="LightList-Accent3"/>
    <w:uiPriority w:val="61"/>
    <w:rsid w:val="006D0778"/>
    <w:pPr>
      <w:spacing w:after="0" w:line="240" w:lineRule="auto"/>
    </w:pPr>
    <w:rPr>
      <w:rFonts w:ascii="Cambria Math" w:eastAsia="Calibri" w:hAnsi="Cambria Math" w:cs="Times New Roman"/>
      <w:sz w:val="18"/>
      <w:lang w:val="sr-Cyrl-CS"/>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LightShading-Accent11103">
    <w:name w:val="Light Shading - Accent 11103"/>
    <w:basedOn w:val="TableNormal"/>
    <w:uiPriority w:val="60"/>
    <w:rsid w:val="006D0778"/>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354">
    <w:name w:val="Light Shading - Accent 354"/>
    <w:basedOn w:val="TableNormal"/>
    <w:next w:val="LightShading-Accent3"/>
    <w:uiPriority w:val="60"/>
    <w:rsid w:val="006D0778"/>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List-Accent553">
    <w:name w:val="Light List - Accent 553"/>
    <w:basedOn w:val="TableNormal"/>
    <w:next w:val="LightList-Accent5"/>
    <w:uiPriority w:val="61"/>
    <w:rsid w:val="006D0778"/>
    <w:pPr>
      <w:spacing w:after="0" w:line="240" w:lineRule="auto"/>
    </w:pPr>
    <w:rPr>
      <w:rFonts w:ascii="Calibri" w:eastAsia="Calibri" w:hAnsi="Calibri" w:cs="Times New Roman"/>
      <w:sz w:val="20"/>
      <w:szCs w:val="20"/>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Shading-Accent3143">
    <w:name w:val="Light Shading - Accent 3143"/>
    <w:basedOn w:val="TableNormal"/>
    <w:next w:val="LightShading-Accent3"/>
    <w:uiPriority w:val="60"/>
    <w:rsid w:val="006D0778"/>
    <w:pPr>
      <w:spacing w:after="0" w:line="240" w:lineRule="auto"/>
    </w:pPr>
    <w:rPr>
      <w:rFonts w:ascii="Constantia" w:eastAsia="Constantia" w:hAnsi="Constantia" w:cs="Times New Roman"/>
      <w:color w:val="8CADAE"/>
      <w:lang w:val="sr-Cyrl-CS"/>
    </w:rPr>
    <w:tblPr>
      <w:tblStyleRowBandSize w:val="1"/>
      <w:tblStyleColBandSize w:val="1"/>
      <w:tblBorders>
        <w:top w:val="single" w:sz="8" w:space="0" w:color="8CADAE"/>
        <w:bottom w:val="single" w:sz="8" w:space="0" w:color="8CADAE"/>
      </w:tblBorders>
    </w:tblPr>
    <w:tblStylePr w:type="fir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la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2EAEB"/>
      </w:tcPr>
    </w:tblStylePr>
    <w:tblStylePr w:type="band1Horz">
      <w:tblPr/>
      <w:tcPr>
        <w:tcBorders>
          <w:left w:val="nil"/>
          <w:right w:val="nil"/>
          <w:insideH w:val="nil"/>
          <w:insideV w:val="nil"/>
        </w:tcBorders>
        <w:shd w:val="clear" w:color="auto" w:fill="E2EAEB"/>
      </w:tcPr>
    </w:tblStylePr>
  </w:style>
  <w:style w:type="table" w:customStyle="1" w:styleId="LightList-Accent3153">
    <w:name w:val="Light List - Accent 3153"/>
    <w:basedOn w:val="TableNormal"/>
    <w:next w:val="LightList-Accent3"/>
    <w:uiPriority w:val="61"/>
    <w:rsid w:val="006D0778"/>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TableGrid113">
    <w:name w:val="Table Grid113"/>
    <w:basedOn w:val="TableNormal"/>
    <w:next w:val="TableGrid"/>
    <w:uiPriority w:val="59"/>
    <w:rsid w:val="006D0778"/>
    <w:pPr>
      <w:spacing w:after="0" w:line="240" w:lineRule="auto"/>
    </w:pPr>
    <w:rPr>
      <w:rFonts w:ascii="Constantia" w:eastAsia="Constantia" w:hAnsi="Constantia" w:cs="Times New Roman"/>
      <w:lang w:val="sr-Cyrl-C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ghtList-Accent5143">
    <w:name w:val="Light List - Accent 5143"/>
    <w:basedOn w:val="TableNormal"/>
    <w:next w:val="LightList-Accent5"/>
    <w:uiPriority w:val="61"/>
    <w:rsid w:val="006D0778"/>
    <w:pPr>
      <w:spacing w:after="0" w:line="240" w:lineRule="auto"/>
    </w:pPr>
    <w:rPr>
      <w:rFonts w:ascii="Times New Roman" w:eastAsia="Constantia" w:hAnsi="Times New Roman" w:cs="Times New Roman"/>
      <w:lang w:val="sr-Cyrl-CS"/>
    </w:rPr>
    <w:tblPr>
      <w:tblStyleRowBandSize w:val="1"/>
      <w:tblStyleColBandSize w:val="1"/>
      <w:tblBorders>
        <w:top w:val="single" w:sz="8" w:space="0" w:color="8FB08C"/>
        <w:left w:val="single" w:sz="8" w:space="0" w:color="8FB08C"/>
        <w:bottom w:val="single" w:sz="8" w:space="0" w:color="8FB08C"/>
        <w:right w:val="single" w:sz="8" w:space="0" w:color="8FB08C"/>
      </w:tblBorders>
    </w:tblPr>
    <w:tblStylePr w:type="firstRow">
      <w:pPr>
        <w:spacing w:before="0" w:after="0" w:line="240" w:lineRule="auto"/>
      </w:pPr>
      <w:rPr>
        <w:b/>
        <w:bCs/>
        <w:color w:val="FFFFFF"/>
      </w:rPr>
      <w:tblPr/>
      <w:tcPr>
        <w:shd w:val="clear" w:color="auto" w:fill="8FB08C"/>
      </w:tcPr>
    </w:tblStylePr>
    <w:tblStylePr w:type="lastRow">
      <w:pPr>
        <w:spacing w:before="0" w:after="0" w:line="240" w:lineRule="auto"/>
      </w:pPr>
      <w:rPr>
        <w:b/>
        <w:bCs/>
      </w:rPr>
      <w:tblPr/>
      <w:tcPr>
        <w:tcBorders>
          <w:top w:val="double" w:sz="6" w:space="0" w:color="8FB08C"/>
          <w:left w:val="single" w:sz="8" w:space="0" w:color="8FB08C"/>
          <w:bottom w:val="single" w:sz="8" w:space="0" w:color="8FB08C"/>
          <w:right w:val="single" w:sz="8" w:space="0" w:color="8FB08C"/>
        </w:tcBorders>
      </w:tcPr>
    </w:tblStylePr>
    <w:tblStylePr w:type="firstCol">
      <w:rPr>
        <w:b/>
        <w:bCs/>
      </w:rPr>
    </w:tblStylePr>
    <w:tblStylePr w:type="lastCol">
      <w:rPr>
        <w:b/>
        <w:bCs/>
      </w:rPr>
    </w:tblStylePr>
    <w:tblStylePr w:type="band1Vert">
      <w:tblPr/>
      <w:tcPr>
        <w:tcBorders>
          <w:top w:val="single" w:sz="8" w:space="0" w:color="8FB08C"/>
          <w:left w:val="single" w:sz="8" w:space="0" w:color="8FB08C"/>
          <w:bottom w:val="single" w:sz="8" w:space="0" w:color="8FB08C"/>
          <w:right w:val="single" w:sz="8" w:space="0" w:color="8FB08C"/>
        </w:tcBorders>
      </w:tcPr>
    </w:tblStylePr>
    <w:tblStylePr w:type="band1Horz">
      <w:tblPr/>
      <w:tcPr>
        <w:tcBorders>
          <w:top w:val="single" w:sz="8" w:space="0" w:color="8FB08C"/>
          <w:left w:val="single" w:sz="8" w:space="0" w:color="8FB08C"/>
          <w:bottom w:val="single" w:sz="8" w:space="0" w:color="8FB08C"/>
          <w:right w:val="single" w:sz="8" w:space="0" w:color="8FB08C"/>
        </w:tcBorders>
      </w:tcPr>
    </w:tblStylePr>
  </w:style>
  <w:style w:type="table" w:customStyle="1" w:styleId="MediumList1-Accent5113">
    <w:name w:val="Medium List 1 - Accent 5113"/>
    <w:basedOn w:val="TableNormal"/>
    <w:next w:val="MediumList1-Accent5"/>
    <w:uiPriority w:val="65"/>
    <w:rsid w:val="006D0778"/>
    <w:pPr>
      <w:spacing w:after="0" w:line="240" w:lineRule="auto"/>
    </w:pPr>
    <w:rPr>
      <w:rFonts w:ascii="Constantia" w:eastAsia="Constantia" w:hAnsi="Constantia" w:cs="Times New Roman"/>
      <w:color w:val="000000"/>
      <w:lang w:val="sr-Cyrl-CS"/>
    </w:rPr>
    <w:tblPr>
      <w:tblStyleRowBandSize w:val="1"/>
      <w:tblStyleColBandSize w:val="1"/>
      <w:tblBorders>
        <w:top w:val="single" w:sz="8" w:space="0" w:color="8FB08C"/>
        <w:bottom w:val="single" w:sz="8" w:space="0" w:color="8FB08C"/>
      </w:tblBorders>
    </w:tblPr>
    <w:tblStylePr w:type="firstRow">
      <w:rPr>
        <w:rFonts w:ascii="Verdana" w:eastAsia="Times New Roman" w:hAnsi="Verdana" w:cs="Times New Roman"/>
      </w:rPr>
      <w:tblPr/>
      <w:tcPr>
        <w:tcBorders>
          <w:top w:val="nil"/>
          <w:bottom w:val="single" w:sz="8" w:space="0" w:color="8FB08C"/>
        </w:tcBorders>
      </w:tcPr>
    </w:tblStylePr>
    <w:tblStylePr w:type="lastRow">
      <w:rPr>
        <w:b/>
        <w:bCs/>
        <w:color w:val="646B86"/>
      </w:rPr>
      <w:tblPr/>
      <w:tcPr>
        <w:tcBorders>
          <w:top w:val="single" w:sz="8" w:space="0" w:color="8FB08C"/>
          <w:bottom w:val="single" w:sz="8" w:space="0" w:color="8FB08C"/>
        </w:tcBorders>
      </w:tcPr>
    </w:tblStylePr>
    <w:tblStylePr w:type="firstCol">
      <w:rPr>
        <w:b/>
        <w:bCs/>
      </w:rPr>
    </w:tblStylePr>
    <w:tblStylePr w:type="lastCol">
      <w:rPr>
        <w:b/>
        <w:bCs/>
      </w:rPr>
      <w:tblPr/>
      <w:tcPr>
        <w:tcBorders>
          <w:top w:val="single" w:sz="8" w:space="0" w:color="8FB08C"/>
          <w:bottom w:val="single" w:sz="8" w:space="0" w:color="8FB08C"/>
        </w:tcBorders>
      </w:tcPr>
    </w:tblStylePr>
    <w:tblStylePr w:type="band1Vert">
      <w:tblPr/>
      <w:tcPr>
        <w:shd w:val="clear" w:color="auto" w:fill="E3EBE2"/>
      </w:tcPr>
    </w:tblStylePr>
    <w:tblStylePr w:type="band1Horz">
      <w:tblPr/>
      <w:tcPr>
        <w:shd w:val="clear" w:color="auto" w:fill="E3EBE2"/>
      </w:tcPr>
    </w:tblStylePr>
  </w:style>
  <w:style w:type="table" w:customStyle="1" w:styleId="MediumList1-Accent523">
    <w:name w:val="Medium List 1 - Accent 523"/>
    <w:basedOn w:val="TableNormal"/>
    <w:next w:val="MediumList1-Accent5"/>
    <w:uiPriority w:val="65"/>
    <w:rsid w:val="006D0778"/>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4BACC6"/>
        <w:bottom w:val="single" w:sz="8" w:space="0" w:color="4BACC6"/>
      </w:tblBorders>
    </w:tblPr>
    <w:tblStylePr w:type="firstRow">
      <w:rPr>
        <w:rFonts w:ascii="Times New Roman" w:eastAsia="Times New Roman" w:hAnsi="Times New Roman" w:cs="Times New Roman"/>
      </w:rPr>
      <w:tblPr/>
      <w:tcPr>
        <w:tcBorders>
          <w:top w:val="nil"/>
          <w:bottom w:val="single" w:sz="8" w:space="0" w:color="4BACC6"/>
        </w:tcBorders>
      </w:tcPr>
    </w:tblStylePr>
    <w:tblStylePr w:type="lastRow">
      <w:rPr>
        <w:b/>
        <w:bCs/>
        <w:color w:val="1F497D"/>
      </w:rPr>
      <w:tblPr/>
      <w:tcPr>
        <w:tcBorders>
          <w:top w:val="single" w:sz="8" w:space="0" w:color="4BACC6"/>
          <w:bottom w:val="single" w:sz="8" w:space="0" w:color="4BACC6"/>
        </w:tcBorders>
      </w:tcPr>
    </w:tblStylePr>
    <w:tblStylePr w:type="firstCol">
      <w:rPr>
        <w:b/>
        <w:bCs/>
      </w:rPr>
    </w:tblStylePr>
    <w:tblStylePr w:type="lastCol">
      <w:rPr>
        <w:b/>
        <w:bCs/>
      </w:rPr>
      <w:tblPr/>
      <w:tcPr>
        <w:tcBorders>
          <w:top w:val="single" w:sz="8" w:space="0" w:color="4BACC6"/>
          <w:bottom w:val="single" w:sz="8" w:space="0" w:color="4BACC6"/>
        </w:tcBorders>
      </w:tcPr>
    </w:tblStylePr>
    <w:tblStylePr w:type="band1Vert">
      <w:tblPr/>
      <w:tcPr>
        <w:shd w:val="clear" w:color="auto" w:fill="D2EAF1"/>
      </w:tcPr>
    </w:tblStylePr>
    <w:tblStylePr w:type="band1Horz">
      <w:tblPr/>
      <w:tcPr>
        <w:shd w:val="clear" w:color="auto" w:fill="D2EAF1"/>
      </w:tcPr>
    </w:tblStylePr>
  </w:style>
  <w:style w:type="numbering" w:customStyle="1" w:styleId="NoList1113">
    <w:name w:val="No List1113"/>
    <w:next w:val="NoList"/>
    <w:uiPriority w:val="99"/>
    <w:semiHidden/>
    <w:unhideWhenUsed/>
    <w:rsid w:val="006D0778"/>
  </w:style>
  <w:style w:type="table" w:customStyle="1" w:styleId="LightGrid-Accent5153">
    <w:name w:val="Light Grid - Accent 5153"/>
    <w:basedOn w:val="TableNormal"/>
    <w:next w:val="LightGrid-Accent5"/>
    <w:uiPriority w:val="62"/>
    <w:rsid w:val="006D0778"/>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omic Sans MS" w:eastAsia="Times New Roman" w:hAnsi="Comic Sans MS"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omic Sans MS" w:eastAsia="Times New Roman" w:hAnsi="Comic Sans MS"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omic Sans MS" w:eastAsia="Times New Roman" w:hAnsi="Comic Sans MS" w:cs="Times New Roman"/>
        <w:b/>
        <w:bCs/>
      </w:rPr>
    </w:tblStylePr>
    <w:tblStylePr w:type="lastCol">
      <w:rPr>
        <w:rFonts w:ascii="Comic Sans MS" w:eastAsia="Times New Roman" w:hAnsi="Comic Sans MS"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1143">
    <w:name w:val="Светло сенчење – наглашавање 1143"/>
    <w:basedOn w:val="TableNormal"/>
    <w:uiPriority w:val="60"/>
    <w:rsid w:val="006D0778"/>
    <w:pPr>
      <w:spacing w:after="0" w:line="240" w:lineRule="auto"/>
    </w:pPr>
    <w:rPr>
      <w:rFonts w:ascii="Calibri" w:eastAsia="Calibri" w:hAnsi="Calibri" w:cs="Times New Roman"/>
      <w:color w:val="365F91"/>
      <w:sz w:val="20"/>
      <w:szCs w:val="20"/>
      <w:lang w:val="sr-Latn-CS" w:eastAsia="en-GB"/>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Grid-Accent563">
    <w:name w:val="Light Grid - Accent 563"/>
    <w:basedOn w:val="TableNormal"/>
    <w:next w:val="LightGrid-Accent5"/>
    <w:uiPriority w:val="62"/>
    <w:rsid w:val="006D0778"/>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Comic Sans MS" w:eastAsia="Times New Roman" w:hAnsi="Comic Sans MS"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Comic Sans MS" w:eastAsia="Times New Roman" w:hAnsi="Comic Sans MS"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Comic Sans MS" w:eastAsia="Times New Roman" w:hAnsi="Comic Sans MS" w:cs="Times New Roman"/>
        <w:b/>
        <w:bCs/>
      </w:rPr>
    </w:tblStylePr>
    <w:tblStylePr w:type="lastCol">
      <w:rPr>
        <w:rFonts w:ascii="Comic Sans MS" w:eastAsia="Times New Roman" w:hAnsi="Comic Sans MS"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tabelezaifs130">
    <w:name w:val="tabele za ifs13"/>
    <w:basedOn w:val="TableNormal"/>
    <w:uiPriority w:val="99"/>
    <w:qFormat/>
    <w:rsid w:val="006D0778"/>
    <w:pPr>
      <w:spacing w:after="0" w:line="240" w:lineRule="auto"/>
    </w:pPr>
    <w:rPr>
      <w:rFonts w:ascii="Cambria Math" w:eastAsia="Calibri" w:hAnsi="Cambria Math" w:cs="Times New Roman"/>
      <w:sz w:val="20"/>
      <w:szCs w:val="20"/>
      <w:lang w:val="en-GB" w:eastAsia="en-GB"/>
    </w:rPr>
    <w:tblPr/>
  </w:style>
  <w:style w:type="table" w:customStyle="1" w:styleId="tabelezaifs113">
    <w:name w:val="tabele za ifs 113"/>
    <w:basedOn w:val="TableNormal"/>
    <w:uiPriority w:val="66"/>
    <w:rsid w:val="006D0778"/>
    <w:pPr>
      <w:spacing w:after="0" w:line="240" w:lineRule="auto"/>
    </w:pPr>
    <w:rPr>
      <w:rFonts w:ascii="Cambria Math" w:eastAsia="Times New Roman" w:hAnsi="Cambria Math" w:cs="Times New Roman"/>
      <w:color w:val="000000"/>
      <w:sz w:val="20"/>
      <w:szCs w:val="20"/>
      <w:lang w:val="en-GB" w:eastAsia="en-GB"/>
    </w:rPr>
    <w:tblPr>
      <w:tblStyleRowBandSize w:val="1"/>
      <w:tblStyleColBandSize w:val="1"/>
      <w:tblBorders>
        <w:top w:val="single" w:sz="8" w:space="0" w:color="8CADAE"/>
        <w:left w:val="single" w:sz="8" w:space="0" w:color="8CADAE"/>
        <w:bottom w:val="single" w:sz="8" w:space="0" w:color="8CADAE"/>
        <w:right w:val="single" w:sz="8" w:space="0" w:color="8CADAE"/>
      </w:tblBorders>
    </w:tblPr>
    <w:tcPr>
      <w:vAlign w:val="bottom"/>
    </w:tcPr>
    <w:tblStylePr w:type="firstRow">
      <w:rPr>
        <w:sz w:val="24"/>
        <w:szCs w:val="24"/>
      </w:rPr>
      <w:tblPr/>
      <w:tcPr>
        <w:tcBorders>
          <w:top w:val="nil"/>
          <w:left w:val="nil"/>
          <w:bottom w:val="single" w:sz="24" w:space="0" w:color="8CADAE"/>
          <w:right w:val="nil"/>
          <w:insideH w:val="nil"/>
          <w:insideV w:val="nil"/>
        </w:tcBorders>
        <w:shd w:val="clear" w:color="auto" w:fill="FFFFFF"/>
      </w:tcPr>
    </w:tblStylePr>
    <w:tblStylePr w:type="lastRow">
      <w:tblPr/>
      <w:tcPr>
        <w:tcBorders>
          <w:top w:val="single" w:sz="8" w:space="0" w:color="8CADAE"/>
          <w:left w:val="nil"/>
          <w:bottom w:val="nil"/>
          <w:right w:val="nil"/>
          <w:insideH w:val="nil"/>
          <w:insideV w:val="nil"/>
        </w:tcBorders>
        <w:shd w:val="clear" w:color="auto" w:fill="FFFFFF"/>
      </w:tcPr>
    </w:tblStylePr>
    <w:tblStylePr w:type="firstCol">
      <w:tblPr/>
      <w:tcPr>
        <w:tcBorders>
          <w:top w:val="nil"/>
          <w:left w:val="nil"/>
          <w:bottom w:val="nil"/>
          <w:right w:val="single" w:sz="8" w:space="0" w:color="8CADAE"/>
          <w:insideH w:val="nil"/>
          <w:insideV w:val="nil"/>
        </w:tcBorders>
        <w:shd w:val="clear" w:color="auto" w:fill="FFFFFF"/>
      </w:tcPr>
    </w:tblStylePr>
    <w:tblStylePr w:type="lastCol">
      <w:tblPr/>
      <w:tcPr>
        <w:tcBorders>
          <w:top w:val="nil"/>
          <w:left w:val="single" w:sz="8" w:space="0" w:color="8CADAE"/>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2EAEB"/>
      </w:tcPr>
    </w:tblStylePr>
    <w:tblStylePr w:type="band1Horz">
      <w:tblPr/>
      <w:tcPr>
        <w:tcBorders>
          <w:top w:val="nil"/>
          <w:bottom w:val="nil"/>
          <w:insideH w:val="nil"/>
          <w:insideV w:val="nil"/>
        </w:tcBorders>
        <w:shd w:val="clear" w:color="auto" w:fill="E2EAEB"/>
      </w:tcPr>
    </w:tblStylePr>
    <w:tblStylePr w:type="nwCell">
      <w:tblPr/>
      <w:tcPr>
        <w:shd w:val="clear" w:color="auto" w:fill="FFFFFF"/>
      </w:tcPr>
    </w:tblStylePr>
    <w:tblStylePr w:type="swCell">
      <w:tblPr/>
      <w:tcPr>
        <w:tcBorders>
          <w:top w:val="nil"/>
        </w:tcBorders>
      </w:tcPr>
    </w:tblStylePr>
  </w:style>
  <w:style w:type="table" w:customStyle="1" w:styleId="ColorfulList-Accent113">
    <w:name w:val="Colorful List - Accent 113"/>
    <w:basedOn w:val="TableNormal"/>
    <w:next w:val="ColorfulList-Accent1"/>
    <w:uiPriority w:val="72"/>
    <w:rsid w:val="006D0778"/>
    <w:pPr>
      <w:spacing w:after="0" w:line="240" w:lineRule="auto"/>
    </w:pPr>
    <w:rPr>
      <w:rFonts w:ascii="Calibri" w:eastAsia="Calibri" w:hAnsi="Calibri" w:cs="Times New Roman"/>
      <w:color w:val="000000"/>
      <w:sz w:val="20"/>
      <w:szCs w:val="20"/>
      <w:lang w:val="en-GB" w:eastAsia="en-GB"/>
    </w:rPr>
    <w:tblPr>
      <w:tblStyleRowBandSize w:val="1"/>
      <w:tblStyleColBandSize w:val="1"/>
    </w:tblPr>
    <w:tcPr>
      <w:shd w:val="clear" w:color="auto" w:fill="FAEFEC"/>
    </w:tcPr>
    <w:tblStylePr w:type="firstRow">
      <w:rPr>
        <w:b/>
        <w:bCs/>
        <w:color w:val="FFFFFF"/>
      </w:rPr>
      <w:tblPr/>
      <w:tcPr>
        <w:tcBorders>
          <w:bottom w:val="single" w:sz="12" w:space="0" w:color="FFFFFF"/>
        </w:tcBorders>
        <w:shd w:val="clear" w:color="auto" w:fill="A38F00"/>
      </w:tcPr>
    </w:tblStylePr>
    <w:tblStylePr w:type="lastRow">
      <w:rPr>
        <w:b/>
        <w:bCs/>
        <w:color w:val="A38F00"/>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3D8D2"/>
      </w:tcPr>
    </w:tblStylePr>
    <w:tblStylePr w:type="band1Horz">
      <w:tblPr/>
      <w:tcPr>
        <w:shd w:val="clear" w:color="auto" w:fill="F5DFDA"/>
      </w:tcPr>
    </w:tblStylePr>
  </w:style>
  <w:style w:type="numbering" w:customStyle="1" w:styleId="NoList213">
    <w:name w:val="No List213"/>
    <w:next w:val="NoList"/>
    <w:uiPriority w:val="99"/>
    <w:semiHidden/>
    <w:unhideWhenUsed/>
    <w:rsid w:val="006D0778"/>
  </w:style>
  <w:style w:type="table" w:customStyle="1" w:styleId="LightList-Accent3243">
    <w:name w:val="Light List - Accent 3243"/>
    <w:basedOn w:val="TableNormal"/>
    <w:next w:val="LightList-Accent3"/>
    <w:uiPriority w:val="61"/>
    <w:rsid w:val="006D0778"/>
    <w:pPr>
      <w:spacing w:after="0" w:line="240" w:lineRule="auto"/>
    </w:pPr>
    <w:rPr>
      <w:rFonts w:ascii="Calibri" w:eastAsia="Calibri" w:hAnsi="Calibri" w:cs="Times New Roman"/>
      <w:sz w:val="20"/>
      <w:szCs w:val="20"/>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31143">
    <w:name w:val="Light List - Accent 31143"/>
    <w:basedOn w:val="TableNormal"/>
    <w:next w:val="LightList-Accent3"/>
    <w:uiPriority w:val="61"/>
    <w:rsid w:val="006D0778"/>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Shading-Accent13173">
    <w:name w:val="Light Shading - Accent 13173"/>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83">
    <w:name w:val="Light Shading - Accent 13183"/>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243">
    <w:name w:val="Light Shading - Accent 13243"/>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tabele3113">
    <w:name w:val="tabele 3113"/>
    <w:basedOn w:val="TableNormal"/>
    <w:next w:val="LightList-Accent3"/>
    <w:uiPriority w:val="61"/>
    <w:rsid w:val="006D0778"/>
    <w:pPr>
      <w:spacing w:after="0" w:line="240" w:lineRule="auto"/>
    </w:pPr>
    <w:rPr>
      <w:rFonts w:ascii="Cambria Math" w:eastAsia="Calibri" w:hAnsi="Cambria Math" w:cs="Times New Roman"/>
      <w:sz w:val="18"/>
      <w:lang w:val="sr-Cyrl-CS"/>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LightShading-Accent11113">
    <w:name w:val="Light Shading - Accent 11113"/>
    <w:basedOn w:val="TableNormal"/>
    <w:uiPriority w:val="60"/>
    <w:rsid w:val="006D0778"/>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3213">
    <w:name w:val="Light Shading - Accent 3213"/>
    <w:basedOn w:val="TableNormal"/>
    <w:next w:val="LightShading-Accent3"/>
    <w:uiPriority w:val="60"/>
    <w:rsid w:val="006D0778"/>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List-Accent5213">
    <w:name w:val="Light List - Accent 5213"/>
    <w:basedOn w:val="TableNormal"/>
    <w:next w:val="LightList-Accent5"/>
    <w:uiPriority w:val="61"/>
    <w:rsid w:val="006D0778"/>
    <w:pPr>
      <w:spacing w:after="0" w:line="240" w:lineRule="auto"/>
    </w:pPr>
    <w:rPr>
      <w:rFonts w:ascii="Calibri" w:eastAsia="Calibri" w:hAnsi="Calibri" w:cs="Times New Roman"/>
      <w:sz w:val="20"/>
      <w:szCs w:val="20"/>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Shading-Accent31113">
    <w:name w:val="Light Shading - Accent 31113"/>
    <w:basedOn w:val="TableNormal"/>
    <w:next w:val="LightShading-Accent3"/>
    <w:uiPriority w:val="60"/>
    <w:rsid w:val="006D0778"/>
    <w:pPr>
      <w:spacing w:after="0" w:line="240" w:lineRule="auto"/>
    </w:pPr>
    <w:rPr>
      <w:rFonts w:ascii="Constantia" w:eastAsia="Constantia" w:hAnsi="Constantia" w:cs="Times New Roman"/>
      <w:color w:val="8CADAE"/>
      <w:lang w:val="sr-Cyrl-CS"/>
    </w:rPr>
    <w:tblPr>
      <w:tblStyleRowBandSize w:val="1"/>
      <w:tblStyleColBandSize w:val="1"/>
      <w:tblBorders>
        <w:top w:val="single" w:sz="8" w:space="0" w:color="8CADAE"/>
        <w:bottom w:val="single" w:sz="8" w:space="0" w:color="8CADAE"/>
      </w:tblBorders>
    </w:tblPr>
    <w:tblStylePr w:type="fir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la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2EAEB"/>
      </w:tcPr>
    </w:tblStylePr>
    <w:tblStylePr w:type="band1Horz">
      <w:tblPr/>
      <w:tcPr>
        <w:tcBorders>
          <w:left w:val="nil"/>
          <w:right w:val="nil"/>
          <w:insideH w:val="nil"/>
          <w:insideV w:val="nil"/>
        </w:tcBorders>
        <w:shd w:val="clear" w:color="auto" w:fill="E2EAEB"/>
      </w:tcPr>
    </w:tblStylePr>
  </w:style>
  <w:style w:type="table" w:customStyle="1" w:styleId="LightList-Accent31213">
    <w:name w:val="Light List - Accent 31213"/>
    <w:basedOn w:val="TableNormal"/>
    <w:next w:val="LightList-Accent3"/>
    <w:uiPriority w:val="61"/>
    <w:rsid w:val="006D0778"/>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51113">
    <w:name w:val="Light List - Accent 51113"/>
    <w:basedOn w:val="TableNormal"/>
    <w:next w:val="LightList-Accent5"/>
    <w:uiPriority w:val="61"/>
    <w:rsid w:val="006D0778"/>
    <w:pPr>
      <w:spacing w:after="0" w:line="240" w:lineRule="auto"/>
    </w:pPr>
    <w:rPr>
      <w:rFonts w:ascii="Times New Roman" w:eastAsia="Constantia" w:hAnsi="Times New Roman" w:cs="Times New Roman"/>
      <w:lang w:val="sr-Cyrl-CS"/>
    </w:rPr>
    <w:tblPr>
      <w:tblStyleRowBandSize w:val="1"/>
      <w:tblStyleColBandSize w:val="1"/>
      <w:tblBorders>
        <w:top w:val="single" w:sz="8" w:space="0" w:color="8FB08C"/>
        <w:left w:val="single" w:sz="8" w:space="0" w:color="8FB08C"/>
        <w:bottom w:val="single" w:sz="8" w:space="0" w:color="8FB08C"/>
        <w:right w:val="single" w:sz="8" w:space="0" w:color="8FB08C"/>
      </w:tblBorders>
    </w:tblPr>
    <w:tblStylePr w:type="firstRow">
      <w:pPr>
        <w:spacing w:before="0" w:after="0" w:line="240" w:lineRule="auto"/>
      </w:pPr>
      <w:rPr>
        <w:b/>
        <w:bCs/>
        <w:color w:val="FFFFFF"/>
      </w:rPr>
      <w:tblPr/>
      <w:tcPr>
        <w:shd w:val="clear" w:color="auto" w:fill="8FB08C"/>
      </w:tcPr>
    </w:tblStylePr>
    <w:tblStylePr w:type="lastRow">
      <w:pPr>
        <w:spacing w:before="0" w:after="0" w:line="240" w:lineRule="auto"/>
      </w:pPr>
      <w:rPr>
        <w:b/>
        <w:bCs/>
      </w:rPr>
      <w:tblPr/>
      <w:tcPr>
        <w:tcBorders>
          <w:top w:val="double" w:sz="6" w:space="0" w:color="8FB08C"/>
          <w:left w:val="single" w:sz="8" w:space="0" w:color="8FB08C"/>
          <w:bottom w:val="single" w:sz="8" w:space="0" w:color="8FB08C"/>
          <w:right w:val="single" w:sz="8" w:space="0" w:color="8FB08C"/>
        </w:tcBorders>
      </w:tcPr>
    </w:tblStylePr>
    <w:tblStylePr w:type="firstCol">
      <w:rPr>
        <w:b/>
        <w:bCs/>
      </w:rPr>
    </w:tblStylePr>
    <w:tblStylePr w:type="lastCol">
      <w:rPr>
        <w:b/>
        <w:bCs/>
      </w:rPr>
    </w:tblStylePr>
    <w:tblStylePr w:type="band1Vert">
      <w:tblPr/>
      <w:tcPr>
        <w:tcBorders>
          <w:top w:val="single" w:sz="8" w:space="0" w:color="8FB08C"/>
          <w:left w:val="single" w:sz="8" w:space="0" w:color="8FB08C"/>
          <w:bottom w:val="single" w:sz="8" w:space="0" w:color="8FB08C"/>
          <w:right w:val="single" w:sz="8" w:space="0" w:color="8FB08C"/>
        </w:tcBorders>
      </w:tcPr>
    </w:tblStylePr>
    <w:tblStylePr w:type="band1Horz">
      <w:tblPr/>
      <w:tcPr>
        <w:tcBorders>
          <w:top w:val="single" w:sz="8" w:space="0" w:color="8FB08C"/>
          <w:left w:val="single" w:sz="8" w:space="0" w:color="8FB08C"/>
          <w:bottom w:val="single" w:sz="8" w:space="0" w:color="8FB08C"/>
          <w:right w:val="single" w:sz="8" w:space="0" w:color="8FB08C"/>
        </w:tcBorders>
      </w:tcPr>
    </w:tblStylePr>
  </w:style>
  <w:style w:type="table" w:customStyle="1" w:styleId="LightGrid-Accent51123">
    <w:name w:val="Light Grid - Accent 51123"/>
    <w:basedOn w:val="TableNormal"/>
    <w:next w:val="LightGrid-Accent5"/>
    <w:uiPriority w:val="62"/>
    <w:rsid w:val="006D0778"/>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omic Sans MS" w:eastAsia="Times New Roman" w:hAnsi="Comic Sans MS"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omic Sans MS" w:eastAsia="Times New Roman" w:hAnsi="Comic Sans MS"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omic Sans MS" w:eastAsia="Times New Roman" w:hAnsi="Comic Sans MS" w:cs="Times New Roman"/>
        <w:b/>
        <w:bCs/>
      </w:rPr>
    </w:tblStylePr>
    <w:tblStylePr w:type="lastCol">
      <w:rPr>
        <w:rFonts w:ascii="Comic Sans MS" w:eastAsia="Times New Roman" w:hAnsi="Comic Sans MS"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11113">
    <w:name w:val="Светло сенчење – наглашавање 11113"/>
    <w:basedOn w:val="TableNormal"/>
    <w:uiPriority w:val="60"/>
    <w:rsid w:val="006D0778"/>
    <w:pPr>
      <w:spacing w:after="0" w:line="240" w:lineRule="auto"/>
    </w:pPr>
    <w:rPr>
      <w:rFonts w:ascii="Calibri" w:eastAsia="Calibri" w:hAnsi="Calibri" w:cs="Times New Roman"/>
      <w:color w:val="365F91"/>
      <w:sz w:val="20"/>
      <w:szCs w:val="20"/>
      <w:lang w:val="sr-Latn-CS" w:eastAsia="en-GB"/>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Grid-Accent5223">
    <w:name w:val="Light Grid - Accent 5223"/>
    <w:basedOn w:val="TableNormal"/>
    <w:next w:val="LightGrid-Accent5"/>
    <w:uiPriority w:val="62"/>
    <w:rsid w:val="006D0778"/>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Comic Sans MS" w:eastAsia="Times New Roman" w:hAnsi="Comic Sans MS"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Comic Sans MS" w:eastAsia="Times New Roman" w:hAnsi="Comic Sans MS"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Comic Sans MS" w:eastAsia="Times New Roman" w:hAnsi="Comic Sans MS" w:cs="Times New Roman"/>
        <w:b/>
        <w:bCs/>
      </w:rPr>
    </w:tblStylePr>
    <w:tblStylePr w:type="lastCol">
      <w:rPr>
        <w:rFonts w:ascii="Comic Sans MS" w:eastAsia="Times New Roman" w:hAnsi="Comic Sans MS"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List-Accent32113">
    <w:name w:val="Light List - Accent 32113"/>
    <w:basedOn w:val="TableNormal"/>
    <w:next w:val="LightList-Accent3"/>
    <w:uiPriority w:val="61"/>
    <w:rsid w:val="006D0778"/>
    <w:pPr>
      <w:spacing w:after="0" w:line="240" w:lineRule="auto"/>
    </w:pPr>
    <w:rPr>
      <w:rFonts w:ascii="Calibri" w:eastAsia="Calibri" w:hAnsi="Calibri" w:cs="Times New Roman"/>
      <w:sz w:val="20"/>
      <w:szCs w:val="20"/>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311113">
    <w:name w:val="Light List - Accent 311113"/>
    <w:basedOn w:val="TableNormal"/>
    <w:next w:val="LightList-Accent3"/>
    <w:uiPriority w:val="61"/>
    <w:rsid w:val="006D0778"/>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Shading-Accent13313">
    <w:name w:val="Light Shading - Accent 13313"/>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113">
    <w:name w:val="Light Shading - Accent 131113"/>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2113">
    <w:name w:val="Light Shading - Accent 132113"/>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213">
    <w:name w:val="Light Shading - Accent 11213"/>
    <w:basedOn w:val="TableNormal"/>
    <w:uiPriority w:val="60"/>
    <w:rsid w:val="006D0778"/>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413">
    <w:name w:val="Light Shading - Accent 13413"/>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313">
    <w:name w:val="Light Shading - Accent 11313"/>
    <w:basedOn w:val="TableNormal"/>
    <w:uiPriority w:val="60"/>
    <w:rsid w:val="006D0778"/>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513">
    <w:name w:val="Light Shading - Accent 13513"/>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623">
    <w:name w:val="Light Shading - Accent 13623"/>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713">
    <w:name w:val="Light Shading - Accent 13713"/>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tabele3213">
    <w:name w:val="tabele 3213"/>
    <w:basedOn w:val="TableNormal"/>
    <w:next w:val="LightList-Accent3"/>
    <w:uiPriority w:val="61"/>
    <w:rsid w:val="006D0778"/>
    <w:pPr>
      <w:spacing w:after="0" w:line="240" w:lineRule="auto"/>
    </w:pPr>
    <w:rPr>
      <w:rFonts w:ascii="Cambria Math" w:eastAsia="Calibri" w:hAnsi="Cambria Math" w:cs="Times New Roman"/>
      <w:sz w:val="18"/>
      <w:lang w:val="sr-Cyrl-CS"/>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LightShading-Accent11413">
    <w:name w:val="Light Shading - Accent 11413"/>
    <w:basedOn w:val="TableNormal"/>
    <w:uiPriority w:val="60"/>
    <w:rsid w:val="006D0778"/>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3343">
    <w:name w:val="Light Shading - Accent 3343"/>
    <w:basedOn w:val="TableNormal"/>
    <w:next w:val="LightShading-Accent3"/>
    <w:uiPriority w:val="60"/>
    <w:rsid w:val="006D0778"/>
    <w:pPr>
      <w:spacing w:after="0" w:line="240" w:lineRule="auto"/>
    </w:pPr>
    <w:rPr>
      <w:rFonts w:ascii="Arial" w:eastAsia="Calibri" w:hAnsi="Arial" w:cs="Times New Roman"/>
      <w:color w:val="474747"/>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List-Accent5313">
    <w:name w:val="Light List - Accent 5313"/>
    <w:basedOn w:val="TableNormal"/>
    <w:next w:val="LightList-Accent5"/>
    <w:uiPriority w:val="61"/>
    <w:rsid w:val="006D0778"/>
    <w:pPr>
      <w:spacing w:after="0" w:line="240" w:lineRule="auto"/>
    </w:pPr>
    <w:rPr>
      <w:rFonts w:ascii="Calibri" w:eastAsia="Calibri" w:hAnsi="Calibri" w:cs="Times New Roman"/>
      <w:sz w:val="20"/>
      <w:szCs w:val="20"/>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Shading-Accent31213">
    <w:name w:val="Light Shading - Accent 31213"/>
    <w:basedOn w:val="TableNormal"/>
    <w:next w:val="LightShading-Accent3"/>
    <w:uiPriority w:val="60"/>
    <w:rsid w:val="006D0778"/>
    <w:pPr>
      <w:spacing w:after="0" w:line="240" w:lineRule="auto"/>
    </w:pPr>
    <w:rPr>
      <w:rFonts w:ascii="Constantia" w:eastAsia="Constantia" w:hAnsi="Constantia" w:cs="Times New Roman"/>
      <w:color w:val="8CADAE"/>
      <w:lang w:val="sr-Cyrl-CS"/>
    </w:rPr>
    <w:tblPr>
      <w:tblStyleRowBandSize w:val="1"/>
      <w:tblStyleColBandSize w:val="1"/>
      <w:tblBorders>
        <w:top w:val="single" w:sz="8" w:space="0" w:color="8CADAE"/>
        <w:bottom w:val="single" w:sz="8" w:space="0" w:color="8CADAE"/>
      </w:tblBorders>
    </w:tblPr>
    <w:tblStylePr w:type="fir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la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2EAEB"/>
      </w:tcPr>
    </w:tblStylePr>
    <w:tblStylePr w:type="band1Horz">
      <w:tblPr/>
      <w:tcPr>
        <w:tcBorders>
          <w:left w:val="nil"/>
          <w:right w:val="nil"/>
          <w:insideH w:val="nil"/>
          <w:insideV w:val="nil"/>
        </w:tcBorders>
        <w:shd w:val="clear" w:color="auto" w:fill="E2EAEB"/>
      </w:tcPr>
    </w:tblStylePr>
  </w:style>
  <w:style w:type="table" w:customStyle="1" w:styleId="LightList-Accent31313">
    <w:name w:val="Light List - Accent 31313"/>
    <w:basedOn w:val="TableNormal"/>
    <w:next w:val="LightList-Accent3"/>
    <w:uiPriority w:val="61"/>
    <w:rsid w:val="006D0778"/>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51213">
    <w:name w:val="Light List - Accent 51213"/>
    <w:basedOn w:val="TableNormal"/>
    <w:next w:val="LightList-Accent5"/>
    <w:uiPriority w:val="61"/>
    <w:rsid w:val="006D0778"/>
    <w:pPr>
      <w:spacing w:after="0" w:line="240" w:lineRule="auto"/>
    </w:pPr>
    <w:rPr>
      <w:rFonts w:ascii="Times New Roman" w:eastAsia="Constantia" w:hAnsi="Times New Roman" w:cs="Times New Roman"/>
      <w:lang w:val="sr-Cyrl-CS"/>
    </w:rPr>
    <w:tblPr>
      <w:tblStyleRowBandSize w:val="1"/>
      <w:tblStyleColBandSize w:val="1"/>
      <w:tblBorders>
        <w:top w:val="single" w:sz="8" w:space="0" w:color="8FB08C"/>
        <w:left w:val="single" w:sz="8" w:space="0" w:color="8FB08C"/>
        <w:bottom w:val="single" w:sz="8" w:space="0" w:color="8FB08C"/>
        <w:right w:val="single" w:sz="8" w:space="0" w:color="8FB08C"/>
      </w:tblBorders>
    </w:tblPr>
    <w:tblStylePr w:type="firstRow">
      <w:pPr>
        <w:spacing w:before="0" w:after="0" w:line="240" w:lineRule="auto"/>
      </w:pPr>
      <w:rPr>
        <w:b/>
        <w:bCs/>
        <w:color w:val="FFFFFF"/>
      </w:rPr>
      <w:tblPr/>
      <w:tcPr>
        <w:shd w:val="clear" w:color="auto" w:fill="8FB08C"/>
      </w:tcPr>
    </w:tblStylePr>
    <w:tblStylePr w:type="lastRow">
      <w:pPr>
        <w:spacing w:before="0" w:after="0" w:line="240" w:lineRule="auto"/>
      </w:pPr>
      <w:rPr>
        <w:b/>
        <w:bCs/>
      </w:rPr>
      <w:tblPr/>
      <w:tcPr>
        <w:tcBorders>
          <w:top w:val="double" w:sz="6" w:space="0" w:color="8FB08C"/>
          <w:left w:val="single" w:sz="8" w:space="0" w:color="8FB08C"/>
          <w:bottom w:val="single" w:sz="8" w:space="0" w:color="8FB08C"/>
          <w:right w:val="single" w:sz="8" w:space="0" w:color="8FB08C"/>
        </w:tcBorders>
      </w:tcPr>
    </w:tblStylePr>
    <w:tblStylePr w:type="firstCol">
      <w:rPr>
        <w:b/>
        <w:bCs/>
      </w:rPr>
    </w:tblStylePr>
    <w:tblStylePr w:type="lastCol">
      <w:rPr>
        <w:b/>
        <w:bCs/>
      </w:rPr>
    </w:tblStylePr>
    <w:tblStylePr w:type="band1Vert">
      <w:tblPr/>
      <w:tcPr>
        <w:tcBorders>
          <w:top w:val="single" w:sz="8" w:space="0" w:color="8FB08C"/>
          <w:left w:val="single" w:sz="8" w:space="0" w:color="8FB08C"/>
          <w:bottom w:val="single" w:sz="8" w:space="0" w:color="8FB08C"/>
          <w:right w:val="single" w:sz="8" w:space="0" w:color="8FB08C"/>
        </w:tcBorders>
      </w:tcPr>
    </w:tblStylePr>
    <w:tblStylePr w:type="band1Horz">
      <w:tblPr/>
      <w:tcPr>
        <w:tcBorders>
          <w:top w:val="single" w:sz="8" w:space="0" w:color="8FB08C"/>
          <w:left w:val="single" w:sz="8" w:space="0" w:color="8FB08C"/>
          <w:bottom w:val="single" w:sz="8" w:space="0" w:color="8FB08C"/>
          <w:right w:val="single" w:sz="8" w:space="0" w:color="8FB08C"/>
        </w:tcBorders>
      </w:tcPr>
    </w:tblStylePr>
  </w:style>
  <w:style w:type="table" w:customStyle="1" w:styleId="LightGrid-Accent51223">
    <w:name w:val="Light Grid - Accent 51223"/>
    <w:basedOn w:val="TableNormal"/>
    <w:next w:val="LightGrid-Accent5"/>
    <w:uiPriority w:val="62"/>
    <w:rsid w:val="006D0778"/>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omic Sans MS" w:eastAsia="Times New Roman" w:hAnsi="Comic Sans MS"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omic Sans MS" w:eastAsia="Times New Roman" w:hAnsi="Comic Sans MS"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omic Sans MS" w:eastAsia="Times New Roman" w:hAnsi="Comic Sans MS" w:cs="Times New Roman"/>
        <w:b/>
        <w:bCs/>
      </w:rPr>
    </w:tblStylePr>
    <w:tblStylePr w:type="lastCol">
      <w:rPr>
        <w:rFonts w:ascii="Comic Sans MS" w:eastAsia="Times New Roman" w:hAnsi="Comic Sans MS"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11213">
    <w:name w:val="Светло сенчење – наглашавање 11213"/>
    <w:basedOn w:val="TableNormal"/>
    <w:uiPriority w:val="60"/>
    <w:rsid w:val="006D0778"/>
    <w:pPr>
      <w:spacing w:after="0" w:line="240" w:lineRule="auto"/>
    </w:pPr>
    <w:rPr>
      <w:rFonts w:ascii="Calibri" w:eastAsia="Calibri" w:hAnsi="Calibri" w:cs="Times New Roman"/>
      <w:color w:val="365F91"/>
      <w:sz w:val="20"/>
      <w:szCs w:val="20"/>
      <w:lang w:val="sr-Latn-CS" w:eastAsia="en-GB"/>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Grid-Accent5323">
    <w:name w:val="Light Grid - Accent 5323"/>
    <w:basedOn w:val="TableNormal"/>
    <w:next w:val="LightGrid-Accent5"/>
    <w:uiPriority w:val="62"/>
    <w:rsid w:val="006D0778"/>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Comic Sans MS" w:eastAsia="Times New Roman" w:hAnsi="Comic Sans MS"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Comic Sans MS" w:eastAsia="Times New Roman" w:hAnsi="Comic Sans MS"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Comic Sans MS" w:eastAsia="Times New Roman" w:hAnsi="Comic Sans MS" w:cs="Times New Roman"/>
        <w:b/>
        <w:bCs/>
      </w:rPr>
    </w:tblStylePr>
    <w:tblStylePr w:type="lastCol">
      <w:rPr>
        <w:rFonts w:ascii="Comic Sans MS" w:eastAsia="Times New Roman" w:hAnsi="Comic Sans MS"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List-Accent32213">
    <w:name w:val="Light List - Accent 32213"/>
    <w:basedOn w:val="TableNormal"/>
    <w:next w:val="LightList-Accent3"/>
    <w:uiPriority w:val="61"/>
    <w:rsid w:val="006D0778"/>
    <w:pPr>
      <w:spacing w:after="0" w:line="240" w:lineRule="auto"/>
    </w:pPr>
    <w:rPr>
      <w:rFonts w:ascii="Calibri" w:eastAsia="Calibri" w:hAnsi="Calibri" w:cs="Times New Roman"/>
      <w:sz w:val="20"/>
      <w:szCs w:val="20"/>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311213">
    <w:name w:val="Light List - Accent 311213"/>
    <w:basedOn w:val="TableNormal"/>
    <w:next w:val="LightList-Accent3"/>
    <w:uiPriority w:val="61"/>
    <w:rsid w:val="006D0778"/>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Shading-Accent13823">
    <w:name w:val="Light Shading - Accent 13823"/>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213">
    <w:name w:val="Light Shading - Accent 131213"/>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2213">
    <w:name w:val="Light Shading - Accent 132213"/>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513">
    <w:name w:val="Light Shading - Accent 11513"/>
    <w:basedOn w:val="TableNormal"/>
    <w:uiPriority w:val="60"/>
    <w:rsid w:val="006D0778"/>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923">
    <w:name w:val="Light Shading - Accent 13923"/>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623">
    <w:name w:val="Light Shading - Accent 11623"/>
    <w:basedOn w:val="TableNormal"/>
    <w:uiPriority w:val="60"/>
    <w:rsid w:val="006D0778"/>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023">
    <w:name w:val="Light Shading - Accent 131023"/>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313">
    <w:name w:val="Light Shading - Accent 131313"/>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tabele3313">
    <w:name w:val="tabele 3313"/>
    <w:basedOn w:val="TableNormal"/>
    <w:next w:val="LightList-Accent3"/>
    <w:uiPriority w:val="61"/>
    <w:rsid w:val="006D0778"/>
    <w:pPr>
      <w:spacing w:after="0" w:line="240" w:lineRule="auto"/>
    </w:pPr>
    <w:rPr>
      <w:rFonts w:ascii="Cambria Math" w:eastAsia="Calibri" w:hAnsi="Cambria Math" w:cs="Times New Roman"/>
      <w:sz w:val="18"/>
      <w:lang w:val="sr-Cyrl-CS"/>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LightShading-Accent11713">
    <w:name w:val="Light Shading - Accent 11713"/>
    <w:basedOn w:val="TableNormal"/>
    <w:uiPriority w:val="60"/>
    <w:rsid w:val="006D0778"/>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3433">
    <w:name w:val="Light Shading - Accent 3433"/>
    <w:basedOn w:val="TableNormal"/>
    <w:next w:val="LightShading-Accent3"/>
    <w:uiPriority w:val="60"/>
    <w:rsid w:val="006D0778"/>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List-Accent5413">
    <w:name w:val="Light List - Accent 5413"/>
    <w:basedOn w:val="TableNormal"/>
    <w:next w:val="LightList-Accent5"/>
    <w:uiPriority w:val="61"/>
    <w:rsid w:val="006D0778"/>
    <w:pPr>
      <w:spacing w:after="0" w:line="240" w:lineRule="auto"/>
    </w:pPr>
    <w:rPr>
      <w:rFonts w:ascii="Calibri" w:eastAsia="Calibri" w:hAnsi="Calibri" w:cs="Times New Roman"/>
      <w:sz w:val="20"/>
      <w:szCs w:val="20"/>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Shading-Accent31313">
    <w:name w:val="Light Shading - Accent 31313"/>
    <w:basedOn w:val="TableNormal"/>
    <w:next w:val="LightShading-Accent3"/>
    <w:uiPriority w:val="60"/>
    <w:rsid w:val="006D0778"/>
    <w:pPr>
      <w:spacing w:after="0" w:line="240" w:lineRule="auto"/>
    </w:pPr>
    <w:rPr>
      <w:rFonts w:ascii="Constantia" w:eastAsia="Constantia" w:hAnsi="Constantia" w:cs="Times New Roman"/>
      <w:color w:val="8CADAE"/>
      <w:lang w:val="sr-Cyrl-CS"/>
    </w:rPr>
    <w:tblPr>
      <w:tblStyleRowBandSize w:val="1"/>
      <w:tblStyleColBandSize w:val="1"/>
      <w:tblBorders>
        <w:top w:val="single" w:sz="8" w:space="0" w:color="8CADAE"/>
        <w:bottom w:val="single" w:sz="8" w:space="0" w:color="8CADAE"/>
      </w:tblBorders>
    </w:tblPr>
    <w:tblStylePr w:type="fir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la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2EAEB"/>
      </w:tcPr>
    </w:tblStylePr>
    <w:tblStylePr w:type="band1Horz">
      <w:tblPr/>
      <w:tcPr>
        <w:tcBorders>
          <w:left w:val="nil"/>
          <w:right w:val="nil"/>
          <w:insideH w:val="nil"/>
          <w:insideV w:val="nil"/>
        </w:tcBorders>
        <w:shd w:val="clear" w:color="auto" w:fill="E2EAEB"/>
      </w:tcPr>
    </w:tblStylePr>
  </w:style>
  <w:style w:type="table" w:customStyle="1" w:styleId="LightList-Accent31413">
    <w:name w:val="Light List - Accent 31413"/>
    <w:basedOn w:val="TableNormal"/>
    <w:next w:val="LightList-Accent3"/>
    <w:uiPriority w:val="61"/>
    <w:rsid w:val="006D0778"/>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51313">
    <w:name w:val="Light List - Accent 51313"/>
    <w:basedOn w:val="TableNormal"/>
    <w:next w:val="LightList-Accent5"/>
    <w:uiPriority w:val="61"/>
    <w:rsid w:val="006D0778"/>
    <w:pPr>
      <w:spacing w:after="0" w:line="240" w:lineRule="auto"/>
    </w:pPr>
    <w:rPr>
      <w:rFonts w:ascii="Times New Roman" w:eastAsia="Constantia" w:hAnsi="Times New Roman" w:cs="Times New Roman"/>
      <w:lang w:val="sr-Cyrl-CS"/>
    </w:rPr>
    <w:tblPr>
      <w:tblStyleRowBandSize w:val="1"/>
      <w:tblStyleColBandSize w:val="1"/>
      <w:tblBorders>
        <w:top w:val="single" w:sz="8" w:space="0" w:color="8FB08C"/>
        <w:left w:val="single" w:sz="8" w:space="0" w:color="8FB08C"/>
        <w:bottom w:val="single" w:sz="8" w:space="0" w:color="8FB08C"/>
        <w:right w:val="single" w:sz="8" w:space="0" w:color="8FB08C"/>
      </w:tblBorders>
    </w:tblPr>
    <w:tblStylePr w:type="firstRow">
      <w:pPr>
        <w:spacing w:before="0" w:after="0" w:line="240" w:lineRule="auto"/>
      </w:pPr>
      <w:rPr>
        <w:b/>
        <w:bCs/>
        <w:color w:val="FFFFFF"/>
      </w:rPr>
      <w:tblPr/>
      <w:tcPr>
        <w:shd w:val="clear" w:color="auto" w:fill="8FB08C"/>
      </w:tcPr>
    </w:tblStylePr>
    <w:tblStylePr w:type="lastRow">
      <w:pPr>
        <w:spacing w:before="0" w:after="0" w:line="240" w:lineRule="auto"/>
      </w:pPr>
      <w:rPr>
        <w:b/>
        <w:bCs/>
      </w:rPr>
      <w:tblPr/>
      <w:tcPr>
        <w:tcBorders>
          <w:top w:val="double" w:sz="6" w:space="0" w:color="8FB08C"/>
          <w:left w:val="single" w:sz="8" w:space="0" w:color="8FB08C"/>
          <w:bottom w:val="single" w:sz="8" w:space="0" w:color="8FB08C"/>
          <w:right w:val="single" w:sz="8" w:space="0" w:color="8FB08C"/>
        </w:tcBorders>
      </w:tcPr>
    </w:tblStylePr>
    <w:tblStylePr w:type="firstCol">
      <w:rPr>
        <w:b/>
        <w:bCs/>
      </w:rPr>
    </w:tblStylePr>
    <w:tblStylePr w:type="lastCol">
      <w:rPr>
        <w:b/>
        <w:bCs/>
      </w:rPr>
    </w:tblStylePr>
    <w:tblStylePr w:type="band1Vert">
      <w:tblPr/>
      <w:tcPr>
        <w:tcBorders>
          <w:top w:val="single" w:sz="8" w:space="0" w:color="8FB08C"/>
          <w:left w:val="single" w:sz="8" w:space="0" w:color="8FB08C"/>
          <w:bottom w:val="single" w:sz="8" w:space="0" w:color="8FB08C"/>
          <w:right w:val="single" w:sz="8" w:space="0" w:color="8FB08C"/>
        </w:tcBorders>
      </w:tcPr>
    </w:tblStylePr>
    <w:tblStylePr w:type="band1Horz">
      <w:tblPr/>
      <w:tcPr>
        <w:tcBorders>
          <w:top w:val="single" w:sz="8" w:space="0" w:color="8FB08C"/>
          <w:left w:val="single" w:sz="8" w:space="0" w:color="8FB08C"/>
          <w:bottom w:val="single" w:sz="8" w:space="0" w:color="8FB08C"/>
          <w:right w:val="single" w:sz="8" w:space="0" w:color="8FB08C"/>
        </w:tcBorders>
      </w:tcPr>
    </w:tblStylePr>
  </w:style>
  <w:style w:type="table" w:customStyle="1" w:styleId="LightGrid-Accent51323">
    <w:name w:val="Light Grid - Accent 51323"/>
    <w:basedOn w:val="TableNormal"/>
    <w:next w:val="LightGrid-Accent5"/>
    <w:uiPriority w:val="62"/>
    <w:rsid w:val="006D0778"/>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omic Sans MS" w:eastAsia="Times New Roman" w:hAnsi="Comic Sans MS"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omic Sans MS" w:eastAsia="Times New Roman" w:hAnsi="Comic Sans MS"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omic Sans MS" w:eastAsia="Times New Roman" w:hAnsi="Comic Sans MS" w:cs="Times New Roman"/>
        <w:b/>
        <w:bCs/>
      </w:rPr>
    </w:tblStylePr>
    <w:tblStylePr w:type="lastCol">
      <w:rPr>
        <w:rFonts w:ascii="Comic Sans MS" w:eastAsia="Times New Roman" w:hAnsi="Comic Sans MS"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11313">
    <w:name w:val="Светло сенчење – наглашавање 11313"/>
    <w:basedOn w:val="TableNormal"/>
    <w:uiPriority w:val="60"/>
    <w:rsid w:val="006D0778"/>
    <w:pPr>
      <w:spacing w:after="0" w:line="240" w:lineRule="auto"/>
    </w:pPr>
    <w:rPr>
      <w:rFonts w:ascii="Calibri" w:eastAsia="Calibri" w:hAnsi="Calibri" w:cs="Times New Roman"/>
      <w:color w:val="365F91"/>
      <w:sz w:val="20"/>
      <w:szCs w:val="20"/>
      <w:lang w:val="sr-Latn-CS" w:eastAsia="en-GB"/>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Grid-Accent5423">
    <w:name w:val="Light Grid - Accent 5423"/>
    <w:basedOn w:val="TableNormal"/>
    <w:next w:val="LightGrid-Accent5"/>
    <w:uiPriority w:val="62"/>
    <w:rsid w:val="006D0778"/>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Comic Sans MS" w:eastAsia="Times New Roman" w:hAnsi="Comic Sans MS"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Comic Sans MS" w:eastAsia="Times New Roman" w:hAnsi="Comic Sans MS"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Comic Sans MS" w:eastAsia="Times New Roman" w:hAnsi="Comic Sans MS" w:cs="Times New Roman"/>
        <w:b/>
        <w:bCs/>
      </w:rPr>
    </w:tblStylePr>
    <w:tblStylePr w:type="lastCol">
      <w:rPr>
        <w:rFonts w:ascii="Comic Sans MS" w:eastAsia="Times New Roman" w:hAnsi="Comic Sans MS"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Shading-Accent12313">
    <w:name w:val="Light Shading - Accent 12313"/>
    <w:basedOn w:val="TableNormal"/>
    <w:uiPriority w:val="60"/>
    <w:rsid w:val="006D0778"/>
    <w:pPr>
      <w:spacing w:after="0" w:line="240" w:lineRule="auto"/>
    </w:pPr>
    <w:rPr>
      <w:rFonts w:ascii="Cambria" w:eastAsia="Calibri" w:hAnsi="Cambria" w:cs="Times New Roman"/>
      <w:color w:val="A8422A"/>
      <w:sz w:val="20"/>
      <w:szCs w:val="20"/>
      <w:lang w:val="en-GB" w:eastAsia="sr-Cyrl-CS"/>
    </w:rPr>
    <w:tblPr>
      <w:tblStyleRowBandSize w:val="1"/>
      <w:tblStyleColBandSize w:val="1"/>
      <w:tblBorders>
        <w:top w:val="single" w:sz="8" w:space="0" w:color="D16349"/>
        <w:bottom w:val="single" w:sz="8" w:space="0" w:color="D16349"/>
      </w:tblBorders>
    </w:tblPr>
    <w:tblStylePr w:type="fir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la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D8D2"/>
      </w:tcPr>
    </w:tblStylePr>
    <w:tblStylePr w:type="band1Horz">
      <w:tblPr/>
      <w:tcPr>
        <w:tcBorders>
          <w:left w:val="nil"/>
          <w:right w:val="nil"/>
          <w:insideH w:val="nil"/>
          <w:insideV w:val="nil"/>
        </w:tcBorders>
        <w:shd w:val="clear" w:color="auto" w:fill="F3D8D2"/>
      </w:tcPr>
    </w:tblStylePr>
  </w:style>
  <w:style w:type="table" w:customStyle="1" w:styleId="LightList-Accent32313">
    <w:name w:val="Light List - Accent 32313"/>
    <w:basedOn w:val="TableNormal"/>
    <w:next w:val="LightList-Accent3"/>
    <w:uiPriority w:val="61"/>
    <w:rsid w:val="006D0778"/>
    <w:pPr>
      <w:spacing w:after="0" w:line="240" w:lineRule="auto"/>
    </w:pPr>
    <w:rPr>
      <w:rFonts w:ascii="Calibri" w:eastAsia="Calibri" w:hAnsi="Calibri" w:cs="Times New Roman"/>
      <w:sz w:val="20"/>
      <w:szCs w:val="20"/>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311313">
    <w:name w:val="Light List - Accent 311313"/>
    <w:basedOn w:val="TableNormal"/>
    <w:next w:val="LightList-Accent3"/>
    <w:uiPriority w:val="61"/>
    <w:rsid w:val="006D0778"/>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Shading-Accent131413">
    <w:name w:val="Light Shading - Accent 131413"/>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513">
    <w:name w:val="Light Shading - Accent 131513"/>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2313">
    <w:name w:val="Light Shading - Accent 132313"/>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613">
    <w:name w:val="Light Shading - Accent 131613"/>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8113">
    <w:name w:val="Light Shading - Accent 138113"/>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813">
    <w:name w:val="Light Shading - Accent 11813"/>
    <w:basedOn w:val="TableNormal"/>
    <w:uiPriority w:val="60"/>
    <w:rsid w:val="006D0778"/>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9113">
    <w:name w:val="Light Shading - Accent 139113"/>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6113">
    <w:name w:val="Light Shading - Accent 116113"/>
    <w:basedOn w:val="TableNormal"/>
    <w:uiPriority w:val="60"/>
    <w:rsid w:val="006D0778"/>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0113">
    <w:name w:val="Light Shading - Accent 1310113"/>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6113">
    <w:name w:val="Light Shading - Accent 136113"/>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913">
    <w:name w:val="Light Shading - Accent 11913"/>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33113">
    <w:name w:val="Light Shading - Accent 33113"/>
    <w:basedOn w:val="TableNormal"/>
    <w:next w:val="LightShading-Accent3"/>
    <w:uiPriority w:val="60"/>
    <w:rsid w:val="006D0778"/>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Shading-Accent33213">
    <w:name w:val="Light Shading - Accent 33213"/>
    <w:basedOn w:val="TableNormal"/>
    <w:next w:val="LightShading-Accent3"/>
    <w:uiPriority w:val="60"/>
    <w:rsid w:val="006D0778"/>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Shading-Accent33313">
    <w:name w:val="Light Shading - Accent 33313"/>
    <w:basedOn w:val="TableNormal"/>
    <w:next w:val="LightShading-Accent3"/>
    <w:uiPriority w:val="60"/>
    <w:rsid w:val="006D0778"/>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Shading-Accent34113">
    <w:name w:val="Light Shading - Accent 34113"/>
    <w:basedOn w:val="TableNormal"/>
    <w:next w:val="LightShading-Accent3"/>
    <w:uiPriority w:val="60"/>
    <w:rsid w:val="006D0778"/>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Shading-Accent34213">
    <w:name w:val="Light Shading - Accent 34213"/>
    <w:basedOn w:val="TableNormal"/>
    <w:next w:val="LightShading-Accent3"/>
    <w:uiPriority w:val="60"/>
    <w:rsid w:val="006D0778"/>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Grid-Accent51413">
    <w:name w:val="Light Grid - Accent 51413"/>
    <w:basedOn w:val="TableNormal"/>
    <w:next w:val="LightGrid-Accent5"/>
    <w:uiPriority w:val="62"/>
    <w:rsid w:val="006D0778"/>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5513">
    <w:name w:val="Light Grid - Accent 5513"/>
    <w:basedOn w:val="TableNormal"/>
    <w:next w:val="LightGrid-Accent5"/>
    <w:uiPriority w:val="62"/>
    <w:rsid w:val="006D0778"/>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Grid-Accent511113">
    <w:name w:val="Light Grid - Accent 511113"/>
    <w:basedOn w:val="TableNormal"/>
    <w:next w:val="LightGrid-Accent5"/>
    <w:uiPriority w:val="62"/>
    <w:rsid w:val="006D0778"/>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52113">
    <w:name w:val="Light Grid - Accent 52113"/>
    <w:basedOn w:val="TableNormal"/>
    <w:next w:val="LightGrid-Accent5"/>
    <w:uiPriority w:val="62"/>
    <w:rsid w:val="006D0778"/>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Grid-Accent512113">
    <w:name w:val="Light Grid - Accent 512113"/>
    <w:basedOn w:val="TableNormal"/>
    <w:next w:val="LightGrid-Accent5"/>
    <w:uiPriority w:val="62"/>
    <w:rsid w:val="006D0778"/>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53113">
    <w:name w:val="Light Grid - Accent 53113"/>
    <w:basedOn w:val="TableNormal"/>
    <w:next w:val="LightGrid-Accent5"/>
    <w:uiPriority w:val="62"/>
    <w:rsid w:val="006D0778"/>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Grid-Accent513113">
    <w:name w:val="Light Grid - Accent 513113"/>
    <w:basedOn w:val="TableNormal"/>
    <w:next w:val="LightGrid-Accent5"/>
    <w:uiPriority w:val="62"/>
    <w:rsid w:val="006D0778"/>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54113">
    <w:name w:val="Light Grid - Accent 54113"/>
    <w:basedOn w:val="TableNormal"/>
    <w:next w:val="LightGrid-Accent5"/>
    <w:uiPriority w:val="62"/>
    <w:rsid w:val="006D0778"/>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Shading-Accent623">
    <w:name w:val="Light Shading - Accent 623"/>
    <w:basedOn w:val="TableNormal"/>
    <w:next w:val="LightShading-Accent6"/>
    <w:uiPriority w:val="60"/>
    <w:rsid w:val="006D0778"/>
    <w:pPr>
      <w:spacing w:after="0" w:line="240" w:lineRule="auto"/>
    </w:pPr>
    <w:rPr>
      <w:rFonts w:ascii="Calibri" w:eastAsia="Calibri" w:hAnsi="Calibri" w:cs="Times New Roman"/>
      <w:color w:val="393939"/>
      <w:sz w:val="20"/>
      <w:szCs w:val="20"/>
    </w:rPr>
    <w:tblPr>
      <w:tblStyleRowBandSize w:val="1"/>
      <w:tblStyleColBandSize w:val="1"/>
      <w:tblBorders>
        <w:top w:val="single" w:sz="8" w:space="0" w:color="4D4D4D"/>
        <w:bottom w:val="single" w:sz="8" w:space="0" w:color="4D4D4D"/>
      </w:tblBorders>
    </w:tblPr>
    <w:tblStylePr w:type="firstRow">
      <w:pPr>
        <w:spacing w:beforeLines="0" w:before="0" w:beforeAutospacing="0" w:afterLines="0" w:after="0" w:afterAutospacing="0" w:line="240" w:lineRule="auto"/>
      </w:pPr>
      <w:rPr>
        <w:b/>
        <w:bCs/>
      </w:rPr>
      <w:tblPr/>
      <w:tcPr>
        <w:tcBorders>
          <w:top w:val="single" w:sz="8" w:space="0" w:color="4D4D4D"/>
          <w:left w:val="nil"/>
          <w:bottom w:val="single" w:sz="8" w:space="0" w:color="4D4D4D"/>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4D4D4D"/>
          <w:left w:val="nil"/>
          <w:bottom w:val="single" w:sz="8" w:space="0" w:color="4D4D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3D3"/>
      </w:tcPr>
    </w:tblStylePr>
    <w:tblStylePr w:type="band1Horz">
      <w:tblPr/>
      <w:tcPr>
        <w:tcBorders>
          <w:left w:val="nil"/>
          <w:right w:val="nil"/>
          <w:insideH w:val="nil"/>
          <w:insideV w:val="nil"/>
        </w:tcBorders>
        <w:shd w:val="clear" w:color="auto" w:fill="D3D3D3"/>
      </w:tcPr>
    </w:tblStylePr>
  </w:style>
  <w:style w:type="table" w:customStyle="1" w:styleId="GridTable6Colorful-Accent423">
    <w:name w:val="Grid Table 6 Colorful - Accent 423"/>
    <w:basedOn w:val="TableNormal"/>
    <w:next w:val="GridTable6Colorful-Accent430"/>
    <w:uiPriority w:val="51"/>
    <w:rsid w:val="006D0778"/>
    <w:pPr>
      <w:spacing w:after="0" w:line="240" w:lineRule="auto"/>
    </w:pPr>
    <w:rPr>
      <w:color w:val="5F5F5F"/>
    </w:rPr>
    <w:tblPr>
      <w:tblStyleRowBandSize w:val="1"/>
      <w:tblStyleColBandSize w:val="1"/>
      <w:tblBorders>
        <w:top w:val="single" w:sz="4" w:space="0" w:color="B2B2B2"/>
        <w:left w:val="single" w:sz="4" w:space="0" w:color="B2B2B2"/>
        <w:bottom w:val="single" w:sz="4" w:space="0" w:color="B2B2B2"/>
        <w:right w:val="single" w:sz="4" w:space="0" w:color="B2B2B2"/>
        <w:insideH w:val="single" w:sz="4" w:space="0" w:color="B2B2B2"/>
        <w:insideV w:val="single" w:sz="4" w:space="0" w:color="B2B2B2"/>
      </w:tblBorders>
    </w:tblPr>
    <w:tblStylePr w:type="firstRow">
      <w:rPr>
        <w:b/>
        <w:bCs/>
      </w:rPr>
      <w:tblPr/>
      <w:tcPr>
        <w:tcBorders>
          <w:bottom w:val="single" w:sz="12" w:space="0" w:color="B2B2B2"/>
        </w:tcBorders>
      </w:tcPr>
    </w:tblStylePr>
    <w:tblStylePr w:type="lastRow">
      <w:rPr>
        <w:b/>
        <w:bCs/>
      </w:rPr>
      <w:tblPr/>
      <w:tcPr>
        <w:tcBorders>
          <w:top w:val="double" w:sz="4" w:space="0" w:color="B2B2B2"/>
        </w:tcBorders>
      </w:tcPr>
    </w:tblStylePr>
    <w:tblStylePr w:type="firstCol">
      <w:rPr>
        <w:b/>
        <w:bCs/>
      </w:rPr>
    </w:tblStylePr>
    <w:tblStylePr w:type="lastCol">
      <w:rPr>
        <w:b/>
        <w:bCs/>
      </w:rPr>
    </w:tblStylePr>
    <w:tblStylePr w:type="band1Vert">
      <w:tblPr/>
      <w:tcPr>
        <w:shd w:val="clear" w:color="auto" w:fill="E5E5E5"/>
      </w:tcPr>
    </w:tblStylePr>
    <w:tblStylePr w:type="band1Horz">
      <w:tblPr/>
      <w:tcPr>
        <w:shd w:val="clear" w:color="auto" w:fill="E5E5E5"/>
      </w:tcPr>
    </w:tblStylePr>
  </w:style>
  <w:style w:type="table" w:customStyle="1" w:styleId="GridTable6Colorful-Accent323">
    <w:name w:val="Grid Table 6 Colorful - Accent 323"/>
    <w:basedOn w:val="TableNormal"/>
    <w:next w:val="GridTable6Colorful-Accent330"/>
    <w:uiPriority w:val="51"/>
    <w:rsid w:val="006D0778"/>
    <w:pPr>
      <w:spacing w:after="0" w:line="240" w:lineRule="auto"/>
    </w:pPr>
    <w:rPr>
      <w:rFonts w:ascii="Calibri" w:eastAsia="Calibri" w:hAnsi="Calibri" w:cs="Times New Roman"/>
      <w:color w:val="707070"/>
      <w:sz w:val="20"/>
      <w:szCs w:val="20"/>
    </w:rPr>
    <w:tblPr>
      <w:tblStyleRowBandSize w:val="1"/>
      <w:tblStyleColBandSize w:val="1"/>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Pr>
    <w:tblStylePr w:type="firstRow">
      <w:rPr>
        <w:b/>
        <w:bCs/>
      </w:rPr>
      <w:tblPr/>
      <w:tcPr>
        <w:tcBorders>
          <w:bottom w:val="single" w:sz="12" w:space="0" w:color="C0C0C0"/>
        </w:tcBorders>
      </w:tcPr>
    </w:tblStylePr>
    <w:tblStylePr w:type="lastRow">
      <w:rPr>
        <w:b/>
        <w:bCs/>
      </w:rPr>
      <w:tblPr/>
      <w:tcPr>
        <w:tcBorders>
          <w:top w:val="double" w:sz="4" w:space="0" w:color="C0C0C0"/>
        </w:tcBorders>
      </w:tcPr>
    </w:tblStylePr>
    <w:tblStylePr w:type="firstCol">
      <w:rPr>
        <w:b/>
        <w:bCs/>
      </w:rPr>
    </w:tblStylePr>
    <w:tblStylePr w:type="lastCol">
      <w:rPr>
        <w:b/>
        <w:bCs/>
      </w:rPr>
    </w:tblStylePr>
    <w:tblStylePr w:type="band1Vert">
      <w:tblPr/>
      <w:tcPr>
        <w:shd w:val="clear" w:color="auto" w:fill="EAEAEA"/>
      </w:tcPr>
    </w:tblStylePr>
    <w:tblStylePr w:type="band1Horz">
      <w:tblPr/>
      <w:tcPr>
        <w:shd w:val="clear" w:color="auto" w:fill="EAEAEA"/>
      </w:tcPr>
    </w:tblStylePr>
  </w:style>
  <w:style w:type="table" w:customStyle="1" w:styleId="GridTable4-Accent523">
    <w:name w:val="Grid Table 4 - Accent 523"/>
    <w:basedOn w:val="TableNormal"/>
    <w:next w:val="GridTable4-Accent530"/>
    <w:uiPriority w:val="49"/>
    <w:rsid w:val="006D0778"/>
    <w:pPr>
      <w:spacing w:after="0" w:line="240" w:lineRule="auto"/>
    </w:pPr>
    <w:rPr>
      <w:rFonts w:ascii="Calibri" w:eastAsia="Calibri" w:hAnsi="Calibri" w:cs="Times New Roman"/>
      <w:sz w:val="20"/>
      <w:szCs w:val="20"/>
    </w:rPr>
    <w:tblPr>
      <w:tblStyleRowBandSize w:val="1"/>
      <w:tblStyleColBandSize w:val="1"/>
      <w:tblBorders>
        <w:top w:val="single" w:sz="4" w:space="0" w:color="9F9F9F"/>
        <w:left w:val="single" w:sz="4" w:space="0" w:color="9F9F9F"/>
        <w:bottom w:val="single" w:sz="4" w:space="0" w:color="9F9F9F"/>
        <w:right w:val="single" w:sz="4" w:space="0" w:color="9F9F9F"/>
        <w:insideH w:val="single" w:sz="4" w:space="0" w:color="9F9F9F"/>
        <w:insideV w:val="single" w:sz="4" w:space="0" w:color="9F9F9F"/>
      </w:tblBorders>
    </w:tblPr>
    <w:tblStylePr w:type="firstRow">
      <w:rPr>
        <w:b/>
        <w:bCs/>
        <w:color w:val="FFFFFF"/>
      </w:rPr>
      <w:tblPr/>
      <w:tcPr>
        <w:tcBorders>
          <w:top w:val="single" w:sz="4" w:space="0" w:color="5F5F5F"/>
          <w:left w:val="single" w:sz="4" w:space="0" w:color="5F5F5F"/>
          <w:bottom w:val="single" w:sz="4" w:space="0" w:color="5F5F5F"/>
          <w:right w:val="single" w:sz="4" w:space="0" w:color="5F5F5F"/>
          <w:insideH w:val="nil"/>
          <w:insideV w:val="nil"/>
        </w:tcBorders>
        <w:shd w:val="clear" w:color="auto" w:fill="5F5F5F"/>
      </w:tcPr>
    </w:tblStylePr>
    <w:tblStylePr w:type="lastRow">
      <w:rPr>
        <w:b/>
        <w:bCs/>
      </w:rPr>
      <w:tblPr/>
      <w:tcPr>
        <w:tcBorders>
          <w:top w:val="double" w:sz="4" w:space="0" w:color="5F5F5F"/>
        </w:tcBorders>
      </w:tcPr>
    </w:tblStylePr>
    <w:tblStylePr w:type="firstCol">
      <w:rPr>
        <w:b/>
        <w:bCs/>
      </w:rPr>
    </w:tblStylePr>
    <w:tblStylePr w:type="lastCol">
      <w:rPr>
        <w:b/>
        <w:bCs/>
      </w:rPr>
    </w:tblStylePr>
    <w:tblStylePr w:type="band1Vert">
      <w:tblPr/>
      <w:tcPr>
        <w:shd w:val="clear" w:color="auto" w:fill="DFDFDF"/>
      </w:tcPr>
    </w:tblStylePr>
    <w:tblStylePr w:type="band1Horz">
      <w:tblPr/>
      <w:tcPr>
        <w:shd w:val="clear" w:color="auto" w:fill="DFDFDF"/>
      </w:tcPr>
    </w:tblStylePr>
  </w:style>
  <w:style w:type="table" w:customStyle="1" w:styleId="GridTable5Dark-Accent523">
    <w:name w:val="Grid Table 5 Dark - Accent 523"/>
    <w:basedOn w:val="TableNormal"/>
    <w:next w:val="GridTable5Dark-Accent530"/>
    <w:uiPriority w:val="50"/>
    <w:rsid w:val="006D0778"/>
    <w:pPr>
      <w:spacing w:after="0" w:line="240" w:lineRule="auto"/>
    </w:pPr>
    <w:rPr>
      <w:rFonts w:ascii="Calibri" w:eastAsia="Calibri" w:hAnsi="Calibri" w:cs="Times New Roman"/>
      <w:sz w:val="20"/>
      <w:szCs w:val="20"/>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DFDFDF"/>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5F5F5F"/>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5F5F5F"/>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5F5F5F"/>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5F5F5F"/>
      </w:tcPr>
    </w:tblStylePr>
    <w:tblStylePr w:type="band1Vert">
      <w:tblPr/>
      <w:tcPr>
        <w:shd w:val="clear" w:color="auto" w:fill="BFBFBF"/>
      </w:tcPr>
    </w:tblStylePr>
    <w:tblStylePr w:type="band1Horz">
      <w:tblPr/>
      <w:tcPr>
        <w:shd w:val="clear" w:color="auto" w:fill="BFBFBF"/>
      </w:tcPr>
    </w:tblStylePr>
  </w:style>
  <w:style w:type="table" w:customStyle="1" w:styleId="130">
    <w:name w:val="ФС13"/>
    <w:basedOn w:val="TableNormal"/>
    <w:uiPriority w:val="99"/>
    <w:rsid w:val="006D0778"/>
    <w:pPr>
      <w:spacing w:after="0" w:line="240" w:lineRule="auto"/>
    </w:pPr>
    <w:rPr>
      <w:rFonts w:ascii="Calibri" w:eastAsia="Calibri" w:hAnsi="Calibri" w:cs="Times New Roman"/>
      <w:sz w:val="20"/>
      <w:szCs w:val="20"/>
    </w:rPr>
    <w:tblPr/>
  </w:style>
  <w:style w:type="table" w:customStyle="1" w:styleId="ListTable6Colorful-Accent323">
    <w:name w:val="List Table 6 Colorful - Accent 323"/>
    <w:basedOn w:val="TableNormal"/>
    <w:next w:val="ListTable6Colorful-Accent330"/>
    <w:uiPriority w:val="51"/>
    <w:rsid w:val="006D0778"/>
    <w:pPr>
      <w:spacing w:after="0" w:line="240" w:lineRule="auto"/>
    </w:pPr>
    <w:rPr>
      <w:rFonts w:ascii="Calibri" w:eastAsia="Calibri" w:hAnsi="Calibri" w:cs="Times New Roman"/>
      <w:color w:val="707070"/>
      <w:sz w:val="20"/>
      <w:szCs w:val="20"/>
    </w:rPr>
    <w:tblPr>
      <w:tblStyleRowBandSize w:val="1"/>
      <w:tblStyleColBandSize w:val="1"/>
      <w:tblBorders>
        <w:top w:val="single" w:sz="4" w:space="0" w:color="969696"/>
        <w:bottom w:val="single" w:sz="4" w:space="0" w:color="969696"/>
      </w:tblBorders>
    </w:tblPr>
    <w:tblStylePr w:type="firstRow">
      <w:rPr>
        <w:b/>
        <w:bCs/>
      </w:rPr>
      <w:tblPr/>
      <w:tcPr>
        <w:tcBorders>
          <w:bottom w:val="single" w:sz="4" w:space="0" w:color="969696"/>
        </w:tcBorders>
      </w:tcPr>
    </w:tblStylePr>
    <w:tblStylePr w:type="lastRow">
      <w:rPr>
        <w:b/>
        <w:bCs/>
      </w:rPr>
      <w:tblPr/>
      <w:tcPr>
        <w:tcBorders>
          <w:top w:val="double" w:sz="4" w:space="0" w:color="969696"/>
        </w:tcBorders>
      </w:tcPr>
    </w:tblStylePr>
    <w:tblStylePr w:type="firstCol">
      <w:rPr>
        <w:b/>
        <w:bCs/>
      </w:rPr>
    </w:tblStylePr>
    <w:tblStylePr w:type="lastCol">
      <w:rPr>
        <w:b/>
        <w:bCs/>
      </w:rPr>
    </w:tblStylePr>
    <w:tblStylePr w:type="band1Vert">
      <w:tblPr/>
      <w:tcPr>
        <w:shd w:val="clear" w:color="auto" w:fill="EAEAEA"/>
      </w:tcPr>
    </w:tblStylePr>
    <w:tblStylePr w:type="band1Horz">
      <w:tblPr/>
      <w:tcPr>
        <w:shd w:val="clear" w:color="auto" w:fill="EAEAEA"/>
      </w:tcPr>
    </w:tblStylePr>
  </w:style>
  <w:style w:type="table" w:customStyle="1" w:styleId="GridTable1Light-Accent123">
    <w:name w:val="Grid Table 1 Light - Accent 123"/>
    <w:basedOn w:val="TableNormal"/>
    <w:next w:val="GridTable1Light-Accent130"/>
    <w:uiPriority w:val="46"/>
    <w:rsid w:val="006D0778"/>
    <w:pPr>
      <w:spacing w:after="0" w:line="240" w:lineRule="auto"/>
    </w:pPr>
    <w:tblPr>
      <w:tblStyleRowBandSize w:val="1"/>
      <w:tblStyleColBandSize w:val="1"/>
      <w:tblBorders>
        <w:top w:val="single" w:sz="4" w:space="0" w:color="F8B4A6"/>
        <w:left w:val="single" w:sz="4" w:space="0" w:color="F8B4A6"/>
        <w:bottom w:val="single" w:sz="4" w:space="0" w:color="F8B4A6"/>
        <w:right w:val="single" w:sz="4" w:space="0" w:color="F8B4A6"/>
        <w:insideH w:val="single" w:sz="4" w:space="0" w:color="F8B4A6"/>
        <w:insideV w:val="single" w:sz="4" w:space="0" w:color="F8B4A6"/>
      </w:tblBorders>
    </w:tblPr>
    <w:tblStylePr w:type="firstRow">
      <w:rPr>
        <w:b/>
        <w:bCs/>
      </w:rPr>
      <w:tblPr/>
      <w:tcPr>
        <w:tcBorders>
          <w:bottom w:val="single" w:sz="12" w:space="0" w:color="F58F7A"/>
        </w:tcBorders>
      </w:tcPr>
    </w:tblStylePr>
    <w:tblStylePr w:type="lastRow">
      <w:rPr>
        <w:b/>
        <w:bCs/>
      </w:rPr>
      <w:tblPr/>
      <w:tcPr>
        <w:tcBorders>
          <w:top w:val="double" w:sz="2" w:space="0" w:color="F58F7A"/>
        </w:tcBorders>
      </w:tcPr>
    </w:tblStylePr>
    <w:tblStylePr w:type="firstCol">
      <w:rPr>
        <w:b/>
        <w:bCs/>
      </w:rPr>
    </w:tblStylePr>
    <w:tblStylePr w:type="lastCol">
      <w:rPr>
        <w:b/>
        <w:bCs/>
      </w:rPr>
    </w:tblStylePr>
  </w:style>
  <w:style w:type="table" w:customStyle="1" w:styleId="ListTable1Light-Accent123">
    <w:name w:val="List Table 1 Light - Accent 123"/>
    <w:basedOn w:val="TableNormal"/>
    <w:next w:val="ListTable1Light-Accent130"/>
    <w:uiPriority w:val="46"/>
    <w:rsid w:val="006D0778"/>
    <w:pPr>
      <w:spacing w:after="0" w:line="240" w:lineRule="auto"/>
    </w:pPr>
    <w:tblPr>
      <w:tblStyleRowBandSize w:val="1"/>
      <w:tblStyleColBandSize w:val="1"/>
    </w:tblPr>
    <w:tblStylePr w:type="firstRow">
      <w:rPr>
        <w:b/>
        <w:bCs/>
      </w:rPr>
      <w:tblPr/>
      <w:tcPr>
        <w:tcBorders>
          <w:bottom w:val="single" w:sz="4" w:space="0" w:color="F58F7A"/>
        </w:tcBorders>
      </w:tcPr>
    </w:tblStylePr>
    <w:tblStylePr w:type="lastRow">
      <w:rPr>
        <w:b/>
        <w:bCs/>
      </w:rPr>
      <w:tblPr/>
      <w:tcPr>
        <w:tcBorders>
          <w:top w:val="single" w:sz="4" w:space="0" w:color="F58F7A"/>
        </w:tcBorders>
      </w:tcPr>
    </w:tblStylePr>
    <w:tblStylePr w:type="firstCol">
      <w:rPr>
        <w:b/>
        <w:bCs/>
      </w:rPr>
    </w:tblStylePr>
    <w:tblStylePr w:type="lastCol">
      <w:rPr>
        <w:b/>
        <w:bCs/>
      </w:rPr>
    </w:tblStylePr>
    <w:tblStylePr w:type="band1Vert">
      <w:tblPr/>
      <w:tcPr>
        <w:shd w:val="clear" w:color="auto" w:fill="FBD9D2"/>
      </w:tcPr>
    </w:tblStylePr>
    <w:tblStylePr w:type="band1Horz">
      <w:tblPr/>
      <w:tcPr>
        <w:shd w:val="clear" w:color="auto" w:fill="FBD9D2"/>
      </w:tcPr>
    </w:tblStylePr>
  </w:style>
  <w:style w:type="table" w:customStyle="1" w:styleId="ListTable2-Accent123">
    <w:name w:val="List Table 2 - Accent 123"/>
    <w:basedOn w:val="TableNormal"/>
    <w:next w:val="ListTable2-Accent130"/>
    <w:uiPriority w:val="47"/>
    <w:rsid w:val="006D0778"/>
    <w:pPr>
      <w:spacing w:after="0" w:line="240" w:lineRule="auto"/>
    </w:pPr>
    <w:tblPr>
      <w:tblStyleRowBandSize w:val="1"/>
      <w:tblStyleColBandSize w:val="1"/>
      <w:tblBorders>
        <w:top w:val="single" w:sz="4" w:space="0" w:color="F58F7A"/>
        <w:bottom w:val="single" w:sz="4" w:space="0" w:color="F58F7A"/>
        <w:insideH w:val="single" w:sz="4" w:space="0" w:color="F58F7A"/>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BD9D2"/>
      </w:tcPr>
    </w:tblStylePr>
    <w:tblStylePr w:type="band1Horz">
      <w:tblPr/>
      <w:tcPr>
        <w:shd w:val="clear" w:color="auto" w:fill="FBD9D2"/>
      </w:tcPr>
    </w:tblStylePr>
  </w:style>
  <w:style w:type="table" w:customStyle="1" w:styleId="ListTable2-Accent523">
    <w:name w:val="List Table 2 - Accent 523"/>
    <w:basedOn w:val="TableNormal"/>
    <w:next w:val="ListTable2-Accent530"/>
    <w:uiPriority w:val="47"/>
    <w:rsid w:val="006D0778"/>
    <w:pPr>
      <w:spacing w:after="0" w:line="240" w:lineRule="auto"/>
    </w:pPr>
    <w:tblPr>
      <w:tblStyleRowBandSize w:val="1"/>
      <w:tblStyleColBandSize w:val="1"/>
      <w:tblBorders>
        <w:top w:val="single" w:sz="4" w:space="0" w:color="9F9F9F"/>
        <w:bottom w:val="single" w:sz="4" w:space="0" w:color="9F9F9F"/>
        <w:insideH w:val="single" w:sz="4" w:space="0" w:color="9F9F9F"/>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FDFDF"/>
      </w:tcPr>
    </w:tblStylePr>
    <w:tblStylePr w:type="band1Horz">
      <w:tblPr/>
      <w:tcPr>
        <w:shd w:val="clear" w:color="auto" w:fill="DFDFDF"/>
      </w:tcPr>
    </w:tblStylePr>
  </w:style>
  <w:style w:type="table" w:customStyle="1" w:styleId="GridTable2-Accent523">
    <w:name w:val="Grid Table 2 - Accent 523"/>
    <w:basedOn w:val="TableNormal"/>
    <w:next w:val="GridTable2-Accent530"/>
    <w:uiPriority w:val="47"/>
    <w:rsid w:val="006D0778"/>
    <w:pPr>
      <w:spacing w:after="0" w:line="240" w:lineRule="auto"/>
    </w:pPr>
    <w:tblPr>
      <w:tblStyleRowBandSize w:val="1"/>
      <w:tblStyleColBandSize w:val="1"/>
      <w:tblBorders>
        <w:top w:val="single" w:sz="2" w:space="0" w:color="9F9F9F"/>
        <w:bottom w:val="single" w:sz="2" w:space="0" w:color="9F9F9F"/>
        <w:insideH w:val="single" w:sz="2" w:space="0" w:color="9F9F9F"/>
        <w:insideV w:val="single" w:sz="2" w:space="0" w:color="9F9F9F"/>
      </w:tblBorders>
    </w:tblPr>
    <w:tblStylePr w:type="firstRow">
      <w:rPr>
        <w:b/>
        <w:bCs/>
      </w:rPr>
      <w:tblPr/>
      <w:tcPr>
        <w:tcBorders>
          <w:top w:val="nil"/>
          <w:bottom w:val="single" w:sz="12" w:space="0" w:color="9F9F9F"/>
          <w:insideH w:val="nil"/>
          <w:insideV w:val="nil"/>
        </w:tcBorders>
        <w:shd w:val="clear" w:color="auto" w:fill="FFFFFF"/>
      </w:tcPr>
    </w:tblStylePr>
    <w:tblStylePr w:type="lastRow">
      <w:rPr>
        <w:b/>
        <w:bCs/>
      </w:rPr>
      <w:tblPr/>
      <w:tcPr>
        <w:tcBorders>
          <w:top w:val="double" w:sz="2" w:space="0" w:color="9F9F9F"/>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FDFDF"/>
      </w:tcPr>
    </w:tblStylePr>
    <w:tblStylePr w:type="band1Horz">
      <w:tblPr/>
      <w:tcPr>
        <w:shd w:val="clear" w:color="auto" w:fill="DFDFDF"/>
      </w:tcPr>
    </w:tblStylePr>
  </w:style>
  <w:style w:type="table" w:customStyle="1" w:styleId="GridTable6Colorful-Accent4113">
    <w:name w:val="Grid Table 6 Colorful - Accent 4113"/>
    <w:basedOn w:val="TableNormal"/>
    <w:uiPriority w:val="51"/>
    <w:rsid w:val="006D0778"/>
    <w:pPr>
      <w:spacing w:after="0" w:line="240" w:lineRule="auto"/>
    </w:pPr>
    <w:rPr>
      <w:color w:val="5F5F5F"/>
    </w:rPr>
    <w:tblPr>
      <w:tblStyleRowBandSize w:val="1"/>
      <w:tblStyleColBandSize w:val="1"/>
      <w:tblBorders>
        <w:top w:val="single" w:sz="4" w:space="0" w:color="B2B2B2"/>
        <w:left w:val="single" w:sz="4" w:space="0" w:color="B2B2B2"/>
        <w:bottom w:val="single" w:sz="4" w:space="0" w:color="B2B2B2"/>
        <w:right w:val="single" w:sz="4" w:space="0" w:color="B2B2B2"/>
        <w:insideH w:val="single" w:sz="4" w:space="0" w:color="B2B2B2"/>
        <w:insideV w:val="single" w:sz="4" w:space="0" w:color="B2B2B2"/>
      </w:tblBorders>
    </w:tblPr>
    <w:tblStylePr w:type="firstRow">
      <w:rPr>
        <w:b/>
        <w:bCs/>
      </w:rPr>
      <w:tblPr/>
      <w:tcPr>
        <w:tcBorders>
          <w:bottom w:val="single" w:sz="12" w:space="0" w:color="B2B2B2"/>
        </w:tcBorders>
      </w:tcPr>
    </w:tblStylePr>
    <w:tblStylePr w:type="lastRow">
      <w:rPr>
        <w:b/>
        <w:bCs/>
      </w:rPr>
      <w:tblPr/>
      <w:tcPr>
        <w:tcBorders>
          <w:top w:val="double" w:sz="4" w:space="0" w:color="B2B2B2"/>
        </w:tcBorders>
      </w:tcPr>
    </w:tblStylePr>
    <w:tblStylePr w:type="firstCol">
      <w:rPr>
        <w:b/>
        <w:bCs/>
      </w:rPr>
    </w:tblStylePr>
    <w:tblStylePr w:type="lastCol">
      <w:rPr>
        <w:b/>
        <w:bCs/>
      </w:rPr>
    </w:tblStylePr>
    <w:tblStylePr w:type="band1Vert">
      <w:tblPr/>
      <w:tcPr>
        <w:shd w:val="clear" w:color="auto" w:fill="E5E5E5"/>
      </w:tcPr>
    </w:tblStylePr>
    <w:tblStylePr w:type="band1Horz">
      <w:tblPr/>
      <w:tcPr>
        <w:shd w:val="clear" w:color="auto" w:fill="E5E5E5"/>
      </w:tcPr>
    </w:tblStylePr>
  </w:style>
  <w:style w:type="table" w:customStyle="1" w:styleId="GridTable6Colorful-Accent3113">
    <w:name w:val="Grid Table 6 Colorful - Accent 3113"/>
    <w:basedOn w:val="TableNormal"/>
    <w:uiPriority w:val="51"/>
    <w:rsid w:val="006D0778"/>
    <w:pPr>
      <w:spacing w:after="0" w:line="240" w:lineRule="auto"/>
    </w:pPr>
    <w:rPr>
      <w:rFonts w:ascii="Calibri" w:eastAsia="Calibri" w:hAnsi="Calibri" w:cs="Times New Roman"/>
      <w:color w:val="707070"/>
      <w:sz w:val="20"/>
      <w:szCs w:val="20"/>
    </w:rPr>
    <w:tblPr>
      <w:tblStyleRowBandSize w:val="1"/>
      <w:tblStyleColBandSize w:val="1"/>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Pr>
    <w:tblStylePr w:type="firstRow">
      <w:rPr>
        <w:b/>
        <w:bCs/>
      </w:rPr>
      <w:tblPr/>
      <w:tcPr>
        <w:tcBorders>
          <w:bottom w:val="single" w:sz="12" w:space="0" w:color="C0C0C0"/>
        </w:tcBorders>
      </w:tcPr>
    </w:tblStylePr>
    <w:tblStylePr w:type="lastRow">
      <w:rPr>
        <w:b/>
        <w:bCs/>
      </w:rPr>
      <w:tblPr/>
      <w:tcPr>
        <w:tcBorders>
          <w:top w:val="double" w:sz="4" w:space="0" w:color="C0C0C0"/>
        </w:tcBorders>
      </w:tcPr>
    </w:tblStylePr>
    <w:tblStylePr w:type="firstCol">
      <w:rPr>
        <w:b/>
        <w:bCs/>
      </w:rPr>
    </w:tblStylePr>
    <w:tblStylePr w:type="lastCol">
      <w:rPr>
        <w:b/>
        <w:bCs/>
      </w:rPr>
    </w:tblStylePr>
    <w:tblStylePr w:type="band1Vert">
      <w:tblPr/>
      <w:tcPr>
        <w:shd w:val="clear" w:color="auto" w:fill="EAEAEA"/>
      </w:tcPr>
    </w:tblStylePr>
    <w:tblStylePr w:type="band1Horz">
      <w:tblPr/>
      <w:tcPr>
        <w:shd w:val="clear" w:color="auto" w:fill="EAEAEA"/>
      </w:tcPr>
    </w:tblStylePr>
  </w:style>
  <w:style w:type="table" w:customStyle="1" w:styleId="TableGrid213">
    <w:name w:val="Table Grid213"/>
    <w:basedOn w:val="TableNormal"/>
    <w:next w:val="TableGrid"/>
    <w:uiPriority w:val="39"/>
    <w:rsid w:val="006D0778"/>
    <w:pPr>
      <w:spacing w:before="120" w:after="120" w:line="264" w:lineRule="auto"/>
      <w:ind w:left="115" w:right="115"/>
    </w:pPr>
    <w:rPr>
      <w:rFonts w:eastAsia="MS PGothic"/>
      <w:sz w:val="20"/>
      <w:szCs w:val="20"/>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
    <w:tcPr>
      <w:vAlign w:val="center"/>
    </w:tcPr>
    <w:tblStylePr w:type="firstRow">
      <w:pPr>
        <w:wordWrap/>
        <w:jc w:val="center"/>
      </w:pPr>
      <w:rPr>
        <w:b/>
        <w:i w:val="0"/>
        <w:sz w:val="22"/>
      </w:rPr>
    </w:tblStylePr>
    <w:tblStylePr w:type="lastRow">
      <w:rPr>
        <w:b/>
        <w:i w:val="0"/>
        <w:sz w:val="22"/>
      </w:rPr>
      <w:tblPr/>
      <w:tcPr>
        <w:tcBorders>
          <w:top w:val="double" w:sz="4" w:space="0" w:color="auto"/>
          <w:left w:val="single" w:sz="4" w:space="0" w:color="auto"/>
          <w:bottom w:val="single" w:sz="18" w:space="0" w:color="auto"/>
          <w:right w:val="single" w:sz="4" w:space="0" w:color="auto"/>
          <w:insideH w:val="nil"/>
          <w:insideV w:val="single" w:sz="4" w:space="0" w:color="auto"/>
          <w:tl2br w:val="nil"/>
          <w:tr2bl w:val="nil"/>
        </w:tcBorders>
      </w:tcPr>
    </w:tblStylePr>
  </w:style>
  <w:style w:type="table" w:customStyle="1" w:styleId="LightShading-Accent12413">
    <w:name w:val="Light Shading - Accent 12413"/>
    <w:basedOn w:val="TableNormal"/>
    <w:uiPriority w:val="60"/>
    <w:rsid w:val="006D0778"/>
    <w:pPr>
      <w:spacing w:after="0" w:line="264" w:lineRule="auto"/>
    </w:pPr>
    <w:rPr>
      <w:rFonts w:ascii="Cambria" w:eastAsia="Calibri" w:hAnsi="Cambria" w:cs="Times New Roman"/>
      <w:color w:val="A8422A"/>
      <w:sz w:val="20"/>
      <w:szCs w:val="20"/>
      <w:lang w:val="en-GB" w:eastAsia="sr-Cyrl-CS"/>
    </w:rPr>
    <w:tblPr>
      <w:tblStyleRowBandSize w:val="1"/>
      <w:tblStyleColBandSize w:val="1"/>
      <w:tblBorders>
        <w:top w:val="single" w:sz="8" w:space="0" w:color="D16349"/>
        <w:bottom w:val="single" w:sz="8" w:space="0" w:color="D16349"/>
      </w:tblBorders>
    </w:tblPr>
    <w:tblStylePr w:type="fir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la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D8D2"/>
      </w:tcPr>
    </w:tblStylePr>
    <w:tblStylePr w:type="band1Horz">
      <w:tblPr/>
      <w:tcPr>
        <w:tcBorders>
          <w:left w:val="nil"/>
          <w:right w:val="nil"/>
          <w:insideH w:val="nil"/>
          <w:insideV w:val="nil"/>
        </w:tcBorders>
        <w:shd w:val="clear" w:color="auto" w:fill="F3D8D2"/>
      </w:tcPr>
    </w:tblStylePr>
  </w:style>
  <w:style w:type="table" w:customStyle="1" w:styleId="LightShading-Accent12513">
    <w:name w:val="Light Shading - Accent 12513"/>
    <w:basedOn w:val="TableNormal"/>
    <w:uiPriority w:val="60"/>
    <w:rsid w:val="006D0778"/>
    <w:pPr>
      <w:spacing w:after="0" w:line="240" w:lineRule="auto"/>
    </w:pPr>
    <w:rPr>
      <w:rFonts w:ascii="Cambria" w:eastAsia="Calibri" w:hAnsi="Cambria" w:cs="Times New Roman"/>
      <w:color w:val="A8422A"/>
      <w:sz w:val="20"/>
      <w:szCs w:val="20"/>
      <w:lang w:val="en-GB" w:eastAsia="sr-Cyrl-CS"/>
    </w:rPr>
    <w:tblPr>
      <w:tblStyleRowBandSize w:val="1"/>
      <w:tblStyleColBandSize w:val="1"/>
      <w:tblBorders>
        <w:top w:val="single" w:sz="8" w:space="0" w:color="D16349"/>
        <w:bottom w:val="single" w:sz="8" w:space="0" w:color="D16349"/>
      </w:tblBorders>
    </w:tblPr>
    <w:tblStylePr w:type="fir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la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D8D2"/>
      </w:tcPr>
    </w:tblStylePr>
    <w:tblStylePr w:type="band1Horz">
      <w:tblPr/>
      <w:tcPr>
        <w:tcBorders>
          <w:left w:val="nil"/>
          <w:right w:val="nil"/>
          <w:insideH w:val="nil"/>
          <w:insideV w:val="nil"/>
        </w:tcBorders>
        <w:shd w:val="clear" w:color="auto" w:fill="F3D8D2"/>
      </w:tcPr>
    </w:tblStylePr>
  </w:style>
  <w:style w:type="table" w:customStyle="1" w:styleId="LightShading4">
    <w:name w:val="Light Shading4"/>
    <w:basedOn w:val="TableNormal"/>
    <w:next w:val="LightShading"/>
    <w:uiPriority w:val="60"/>
    <w:unhideWhenUsed/>
    <w:rsid w:val="006D0778"/>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GridTable6Colorful-Accent541">
    <w:name w:val="Grid Table 6 Colorful - Accent 541"/>
    <w:basedOn w:val="TableNormal"/>
    <w:uiPriority w:val="51"/>
    <w:rsid w:val="006D0778"/>
    <w:pPr>
      <w:spacing w:after="0" w:line="240" w:lineRule="auto"/>
    </w:pPr>
    <w:rPr>
      <w:color w:val="2F5496" w:themeColor="accent5" w:themeShade="BF"/>
    </w:r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4" w:space="0" w:color="8EAADB" w:themeColor="accent5" w:themeTint="99"/>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customStyle="1" w:styleId="GridTable6Colorful-Accent131">
    <w:name w:val="Grid Table 6 Colorful - Accent 131"/>
    <w:basedOn w:val="TableNormal"/>
    <w:uiPriority w:val="51"/>
    <w:rsid w:val="006D0778"/>
    <w:pPr>
      <w:spacing w:after="0" w:line="240" w:lineRule="auto"/>
    </w:pPr>
    <w:rPr>
      <w:color w:val="2E74B5" w:themeColor="accent1" w:themeShade="BF"/>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customStyle="1" w:styleId="LightShading-Accent18">
    <w:name w:val="Light Shading - Accent 18"/>
    <w:basedOn w:val="TableNormal"/>
    <w:next w:val="LightShading-Accent1"/>
    <w:uiPriority w:val="60"/>
    <w:unhideWhenUsed/>
    <w:rsid w:val="006D0778"/>
    <w:pPr>
      <w:spacing w:after="0" w:line="240" w:lineRule="auto"/>
    </w:pPr>
    <w:rPr>
      <w:color w:val="2E74B5" w:themeColor="accent1" w:themeShade="BF"/>
    </w:rPr>
    <w:tblPr>
      <w:tblStyleRowBandSize w:val="1"/>
      <w:tblStyleColBandSize w:val="1"/>
      <w:tblBorders>
        <w:top w:val="single" w:sz="8" w:space="0" w:color="5B9BD5" w:themeColor="accent1"/>
        <w:bottom w:val="single" w:sz="8" w:space="0" w:color="5B9BD5" w:themeColor="accent1"/>
      </w:tblBorders>
    </w:tblPr>
    <w:tblStylePr w:type="firstRow">
      <w:pPr>
        <w:spacing w:before="0" w:after="0" w:line="240" w:lineRule="auto"/>
      </w:pPr>
      <w:rPr>
        <w:b/>
        <w:bCs/>
      </w:rPr>
      <w:tblPr/>
      <w:tcPr>
        <w:tcBorders>
          <w:top w:val="single" w:sz="8" w:space="0" w:color="5B9BD5" w:themeColor="accent1"/>
          <w:left w:val="nil"/>
          <w:bottom w:val="single" w:sz="8" w:space="0" w:color="5B9BD5" w:themeColor="accent1"/>
          <w:right w:val="nil"/>
          <w:insideH w:val="nil"/>
          <w:insideV w:val="nil"/>
        </w:tcBorders>
      </w:tcPr>
    </w:tblStylePr>
    <w:tblStylePr w:type="lastRow">
      <w:pPr>
        <w:spacing w:before="0" w:after="0" w:line="240" w:lineRule="auto"/>
      </w:pPr>
      <w:rPr>
        <w:b/>
        <w:bCs/>
      </w:rPr>
      <w:tblPr/>
      <w:tcPr>
        <w:tcBorders>
          <w:top w:val="single" w:sz="8" w:space="0" w:color="5B9BD5" w:themeColor="accent1"/>
          <w:left w:val="nil"/>
          <w:bottom w:val="single" w:sz="8" w:space="0" w:color="5B9BD5"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6F4" w:themeFill="accent1" w:themeFillTint="3F"/>
      </w:tcPr>
    </w:tblStylePr>
    <w:tblStylePr w:type="band1Horz">
      <w:tblPr/>
      <w:tcPr>
        <w:tcBorders>
          <w:left w:val="nil"/>
          <w:right w:val="nil"/>
          <w:insideH w:val="nil"/>
          <w:insideV w:val="nil"/>
        </w:tcBorders>
        <w:shd w:val="clear" w:color="auto" w:fill="D6E6F4" w:themeFill="accent1" w:themeFillTint="3F"/>
      </w:tcPr>
    </w:tblStylePr>
  </w:style>
  <w:style w:type="table" w:customStyle="1" w:styleId="LightShading-Accent65">
    <w:name w:val="Light Shading - Accent 65"/>
    <w:basedOn w:val="TableNormal"/>
    <w:next w:val="LightShading-Accent6"/>
    <w:uiPriority w:val="60"/>
    <w:unhideWhenUsed/>
    <w:rsid w:val="006D0778"/>
    <w:pPr>
      <w:spacing w:after="0" w:line="240" w:lineRule="auto"/>
    </w:pPr>
    <w:rPr>
      <w:color w:val="538135" w:themeColor="accent6" w:themeShade="BF"/>
    </w:rPr>
    <w:tblPr>
      <w:tblStyleRowBandSize w:val="1"/>
      <w:tblStyleColBandSize w:val="1"/>
      <w:tblBorders>
        <w:top w:val="single" w:sz="8" w:space="0" w:color="70AD47" w:themeColor="accent6"/>
        <w:bottom w:val="single" w:sz="8" w:space="0" w:color="70AD47" w:themeColor="accent6"/>
      </w:tblBorders>
    </w:tblPr>
    <w:tblStylePr w:type="firstRow">
      <w:pPr>
        <w:spacing w:before="0" w:after="0" w:line="240" w:lineRule="auto"/>
      </w:pPr>
      <w:rPr>
        <w:b/>
        <w:bCs/>
      </w:rPr>
      <w:tblPr/>
      <w:tcPr>
        <w:tcBorders>
          <w:top w:val="single" w:sz="8" w:space="0" w:color="70AD47" w:themeColor="accent6"/>
          <w:left w:val="nil"/>
          <w:bottom w:val="single" w:sz="8" w:space="0" w:color="70AD47" w:themeColor="accent6"/>
          <w:right w:val="nil"/>
          <w:insideH w:val="nil"/>
          <w:insideV w:val="nil"/>
        </w:tcBorders>
      </w:tcPr>
    </w:tblStylePr>
    <w:tblStylePr w:type="lastRow">
      <w:pPr>
        <w:spacing w:before="0" w:after="0" w:line="240" w:lineRule="auto"/>
      </w:pPr>
      <w:rPr>
        <w:b/>
        <w:bCs/>
      </w:rPr>
      <w:tblPr/>
      <w:tcPr>
        <w:tcBorders>
          <w:top w:val="single" w:sz="8" w:space="0" w:color="70AD47" w:themeColor="accent6"/>
          <w:left w:val="nil"/>
          <w:bottom w:val="single" w:sz="8" w:space="0" w:color="70AD47"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BEBD0" w:themeFill="accent6" w:themeFillTint="3F"/>
      </w:tcPr>
    </w:tblStylePr>
    <w:tblStylePr w:type="band1Horz">
      <w:tblPr/>
      <w:tcPr>
        <w:tcBorders>
          <w:left w:val="nil"/>
          <w:right w:val="nil"/>
          <w:insideH w:val="nil"/>
          <w:insideV w:val="nil"/>
        </w:tcBorders>
        <w:shd w:val="clear" w:color="auto" w:fill="DBEBD0" w:themeFill="accent6" w:themeFillTint="3F"/>
      </w:tcPr>
    </w:tblStylePr>
  </w:style>
  <w:style w:type="table" w:customStyle="1" w:styleId="GridTable6Colorful-Accent431">
    <w:name w:val="Grid Table 6 Colorful - Accent 431"/>
    <w:basedOn w:val="TableNormal"/>
    <w:uiPriority w:val="51"/>
    <w:rsid w:val="006D0778"/>
    <w:pPr>
      <w:spacing w:after="0" w:line="240" w:lineRule="auto"/>
    </w:pPr>
    <w:rPr>
      <w:color w:val="BF8F00" w:themeColor="accent4" w:themeShade="BF"/>
    </w:rPr>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insideV w:val="single" w:sz="4" w:space="0" w:color="FFD966" w:themeColor="accent4" w:themeTint="99"/>
      </w:tblBorders>
    </w:tblPr>
    <w:tblStylePr w:type="firstRow">
      <w:rPr>
        <w:b/>
        <w:bCs/>
      </w:rPr>
      <w:tblPr/>
      <w:tcPr>
        <w:tcBorders>
          <w:bottom w:val="single" w:sz="12" w:space="0" w:color="FFD966" w:themeColor="accent4" w:themeTint="99"/>
        </w:tcBorders>
      </w:tcPr>
    </w:tblStylePr>
    <w:tblStylePr w:type="lastRow">
      <w:rPr>
        <w:b/>
        <w:bCs/>
      </w:rPr>
      <w:tblPr/>
      <w:tcPr>
        <w:tcBorders>
          <w:top w:val="double" w:sz="4" w:space="0" w:color="FFD966" w:themeColor="accent4" w:themeTint="99"/>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customStyle="1" w:styleId="GridTable6Colorful-Accent331">
    <w:name w:val="Grid Table 6 Colorful - Accent 331"/>
    <w:basedOn w:val="TableNormal"/>
    <w:uiPriority w:val="51"/>
    <w:rsid w:val="006D0778"/>
    <w:pPr>
      <w:spacing w:after="0" w:line="240" w:lineRule="auto"/>
    </w:pPr>
    <w:rPr>
      <w:color w:val="7B7B7B" w:themeColor="accent3" w:themeShade="BF"/>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customStyle="1" w:styleId="GridTable4-Accent531">
    <w:name w:val="Grid Table 4 - Accent 531"/>
    <w:basedOn w:val="TableNormal"/>
    <w:uiPriority w:val="49"/>
    <w:rsid w:val="006D0778"/>
    <w:pPr>
      <w:spacing w:after="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customStyle="1" w:styleId="GridTable5Dark-Accent531">
    <w:name w:val="Grid Table 5 Dark - Accent 531"/>
    <w:basedOn w:val="TableNormal"/>
    <w:uiPriority w:val="50"/>
    <w:rsid w:val="006D0778"/>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9E2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472C4"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472C4"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472C4"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472C4" w:themeFill="accent5"/>
      </w:tcPr>
    </w:tblStylePr>
    <w:tblStylePr w:type="band1Vert">
      <w:tblPr/>
      <w:tcPr>
        <w:shd w:val="clear" w:color="auto" w:fill="B4C6E7" w:themeFill="accent5" w:themeFillTint="66"/>
      </w:tcPr>
    </w:tblStylePr>
    <w:tblStylePr w:type="band1Horz">
      <w:tblPr/>
      <w:tcPr>
        <w:shd w:val="clear" w:color="auto" w:fill="B4C6E7" w:themeFill="accent5" w:themeFillTint="66"/>
      </w:tcPr>
    </w:tblStylePr>
  </w:style>
  <w:style w:type="table" w:customStyle="1" w:styleId="ListTable6Colorful-Accent331">
    <w:name w:val="List Table 6 Colorful - Accent 331"/>
    <w:basedOn w:val="TableNormal"/>
    <w:uiPriority w:val="51"/>
    <w:rsid w:val="006D0778"/>
    <w:pPr>
      <w:spacing w:after="0" w:line="240" w:lineRule="auto"/>
    </w:pPr>
    <w:rPr>
      <w:color w:val="7B7B7B" w:themeColor="accent3" w:themeShade="BF"/>
    </w:rPr>
    <w:tblPr>
      <w:tblStyleRowBandSize w:val="1"/>
      <w:tblStyleColBandSize w:val="1"/>
      <w:tblBorders>
        <w:top w:val="single" w:sz="4" w:space="0" w:color="A5A5A5" w:themeColor="accent3"/>
        <w:bottom w:val="single" w:sz="4" w:space="0" w:color="A5A5A5" w:themeColor="accent3"/>
      </w:tblBorders>
    </w:tblPr>
    <w:tblStylePr w:type="firstRow">
      <w:rPr>
        <w:b/>
        <w:bCs/>
      </w:rPr>
      <w:tblPr/>
      <w:tcPr>
        <w:tcBorders>
          <w:bottom w:val="single" w:sz="4" w:space="0" w:color="A5A5A5" w:themeColor="accent3"/>
        </w:tcBorders>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customStyle="1" w:styleId="GridTable1Light-Accent131">
    <w:name w:val="Grid Table 1 Light - Accent 131"/>
    <w:basedOn w:val="TableNormal"/>
    <w:uiPriority w:val="46"/>
    <w:rsid w:val="006D0778"/>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customStyle="1" w:styleId="ListTable1Light-Accent131">
    <w:name w:val="List Table 1 Light - Accent 131"/>
    <w:basedOn w:val="TableNormal"/>
    <w:uiPriority w:val="46"/>
    <w:rsid w:val="006D0778"/>
    <w:pPr>
      <w:spacing w:after="0" w:line="240" w:lineRule="auto"/>
    </w:pPr>
    <w:tblPr>
      <w:tblStyleRowBandSize w:val="1"/>
      <w:tblStyleColBandSize w:val="1"/>
    </w:tblPr>
    <w:tblStylePr w:type="firstRow">
      <w:rPr>
        <w:b/>
        <w:bCs/>
      </w:rPr>
      <w:tblPr/>
      <w:tcPr>
        <w:tcBorders>
          <w:bottom w:val="single" w:sz="4" w:space="0" w:color="9CC2E5" w:themeColor="accent1" w:themeTint="99"/>
        </w:tcBorders>
      </w:tcPr>
    </w:tblStylePr>
    <w:tblStylePr w:type="lastRow">
      <w:rPr>
        <w:b/>
        <w:bCs/>
      </w:rPr>
      <w:tblPr/>
      <w:tcPr>
        <w:tcBorders>
          <w:top w:val="sing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customStyle="1" w:styleId="ListTable2-Accent131">
    <w:name w:val="List Table 2 - Accent 131"/>
    <w:basedOn w:val="TableNormal"/>
    <w:uiPriority w:val="47"/>
    <w:rsid w:val="006D0778"/>
    <w:pPr>
      <w:spacing w:after="0" w:line="240" w:lineRule="auto"/>
    </w:pPr>
    <w:tblPr>
      <w:tblStyleRowBandSize w:val="1"/>
      <w:tblStyleColBandSize w:val="1"/>
      <w:tblBorders>
        <w:top w:val="single" w:sz="4" w:space="0" w:color="9CC2E5" w:themeColor="accent1" w:themeTint="99"/>
        <w:bottom w:val="single" w:sz="4" w:space="0" w:color="9CC2E5" w:themeColor="accent1" w:themeTint="99"/>
        <w:insideH w:val="single" w:sz="4" w:space="0" w:color="9CC2E5"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customStyle="1" w:styleId="ListTable2-Accent531">
    <w:name w:val="List Table 2 - Accent 531"/>
    <w:basedOn w:val="TableNormal"/>
    <w:uiPriority w:val="47"/>
    <w:rsid w:val="006D0778"/>
    <w:pPr>
      <w:spacing w:after="0" w:line="240" w:lineRule="auto"/>
    </w:pPr>
    <w:tblPr>
      <w:tblStyleRowBandSize w:val="1"/>
      <w:tblStyleColBandSize w:val="1"/>
      <w:tblBorders>
        <w:top w:val="single" w:sz="4" w:space="0" w:color="8EAADB" w:themeColor="accent5" w:themeTint="99"/>
        <w:bottom w:val="single" w:sz="4" w:space="0" w:color="8EAADB" w:themeColor="accent5" w:themeTint="99"/>
        <w:insideH w:val="single" w:sz="4" w:space="0" w:color="8EAADB"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customStyle="1" w:styleId="GridTable2-Accent531">
    <w:name w:val="Grid Table 2 - Accent 531"/>
    <w:basedOn w:val="TableNormal"/>
    <w:uiPriority w:val="47"/>
    <w:rsid w:val="006D0778"/>
    <w:pPr>
      <w:spacing w:after="0" w:line="240" w:lineRule="auto"/>
    </w:pPr>
    <w:tblPr>
      <w:tblStyleRowBandSize w:val="1"/>
      <w:tblStyleColBandSize w:val="1"/>
      <w:tblBorders>
        <w:top w:val="single" w:sz="2" w:space="0" w:color="8EAADB" w:themeColor="accent5" w:themeTint="99"/>
        <w:bottom w:val="single" w:sz="2" w:space="0" w:color="8EAADB" w:themeColor="accent5" w:themeTint="99"/>
        <w:insideH w:val="single" w:sz="2" w:space="0" w:color="8EAADB" w:themeColor="accent5" w:themeTint="99"/>
        <w:insideV w:val="single" w:sz="2" w:space="0" w:color="8EAADB" w:themeColor="accent5" w:themeTint="99"/>
      </w:tblBorders>
    </w:tblPr>
    <w:tblStylePr w:type="firstRow">
      <w:rPr>
        <w:b/>
        <w:bCs/>
      </w:rPr>
      <w:tblPr/>
      <w:tcPr>
        <w:tcBorders>
          <w:top w:val="nil"/>
          <w:bottom w:val="single" w:sz="12" w:space="0" w:color="8EAADB" w:themeColor="accent5" w:themeTint="99"/>
          <w:insideH w:val="nil"/>
          <w:insideV w:val="nil"/>
        </w:tcBorders>
        <w:shd w:val="clear" w:color="auto" w:fill="FFFFFF" w:themeFill="background1"/>
      </w:tcPr>
    </w:tblStylePr>
    <w:tblStylePr w:type="lastRow">
      <w:rPr>
        <w:b/>
        <w:bCs/>
      </w:rPr>
      <w:tblPr/>
      <w:tcPr>
        <w:tcBorders>
          <w:top w:val="double" w:sz="2" w:space="0" w:color="8EAADB"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customStyle="1" w:styleId="TableGrid222">
    <w:name w:val="Table Grid222"/>
    <w:basedOn w:val="TableNormal"/>
    <w:next w:val="TableGrid"/>
    <w:uiPriority w:val="39"/>
    <w:rsid w:val="006D0778"/>
    <w:pPr>
      <w:spacing w:before="120" w:after="120" w:line="264" w:lineRule="auto"/>
      <w:ind w:left="115" w:right="115"/>
    </w:pPr>
    <w:rPr>
      <w:rFonts w:eastAsiaTheme="minorEastAsia"/>
      <w:sz w:val="20"/>
      <w:szCs w:val="20"/>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
    <w:tcPr>
      <w:vAlign w:val="center"/>
    </w:tcPr>
    <w:tblStylePr w:type="firstRow">
      <w:pPr>
        <w:wordWrap/>
        <w:jc w:val="center"/>
      </w:pPr>
      <w:rPr>
        <w:b/>
        <w:i w:val="0"/>
        <w:sz w:val="22"/>
      </w:rPr>
    </w:tblStylePr>
    <w:tblStylePr w:type="lastRow">
      <w:rPr>
        <w:b/>
        <w:i w:val="0"/>
        <w:sz w:val="22"/>
      </w:rPr>
      <w:tblPr/>
      <w:tcPr>
        <w:tcBorders>
          <w:top w:val="double" w:sz="4" w:space="0" w:color="auto"/>
          <w:left w:val="single" w:sz="4" w:space="0" w:color="auto"/>
          <w:bottom w:val="single" w:sz="18" w:space="0" w:color="auto"/>
          <w:right w:val="single" w:sz="4" w:space="0" w:color="auto"/>
          <w:insideH w:val="nil"/>
          <w:insideV w:val="single" w:sz="4" w:space="0" w:color="auto"/>
          <w:tl2br w:val="nil"/>
          <w:tr2bl w:val="nil"/>
        </w:tcBorders>
      </w:tcPr>
    </w:tblStylePr>
  </w:style>
  <w:style w:type="numbering" w:customStyle="1" w:styleId="NoList41">
    <w:name w:val="No List41"/>
    <w:next w:val="NoList"/>
    <w:uiPriority w:val="99"/>
    <w:semiHidden/>
    <w:unhideWhenUsed/>
    <w:rsid w:val="006D0778"/>
  </w:style>
  <w:style w:type="numbering" w:customStyle="1" w:styleId="NoList121">
    <w:name w:val="No List121"/>
    <w:next w:val="NoList"/>
    <w:uiPriority w:val="99"/>
    <w:semiHidden/>
    <w:unhideWhenUsed/>
    <w:rsid w:val="006D0778"/>
  </w:style>
  <w:style w:type="table" w:customStyle="1" w:styleId="TableGrid42">
    <w:name w:val="Table Grid42"/>
    <w:basedOn w:val="TableNormal"/>
    <w:next w:val="TableGrid"/>
    <w:uiPriority w:val="39"/>
    <w:rsid w:val="006D0778"/>
    <w:pPr>
      <w:spacing w:before="120" w:after="120" w:line="264" w:lineRule="auto"/>
      <w:ind w:left="115" w:right="115"/>
    </w:pPr>
    <w:rPr>
      <w:rFonts w:eastAsia="MS PGothic"/>
      <w:sz w:val="20"/>
      <w:szCs w:val="20"/>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
    <w:tcPr>
      <w:vAlign w:val="center"/>
    </w:tcPr>
    <w:tblStylePr w:type="firstRow">
      <w:pPr>
        <w:wordWrap/>
        <w:jc w:val="center"/>
      </w:pPr>
      <w:rPr>
        <w:b/>
        <w:i w:val="0"/>
        <w:sz w:val="22"/>
      </w:rPr>
    </w:tblStylePr>
    <w:tblStylePr w:type="lastRow">
      <w:rPr>
        <w:b/>
        <w:i w:val="0"/>
        <w:sz w:val="22"/>
      </w:rPr>
      <w:tblPr/>
      <w:tcPr>
        <w:tcBorders>
          <w:top w:val="double" w:sz="4" w:space="0" w:color="auto"/>
          <w:left w:val="single" w:sz="4" w:space="0" w:color="auto"/>
          <w:bottom w:val="single" w:sz="18" w:space="0" w:color="auto"/>
          <w:right w:val="single" w:sz="4" w:space="0" w:color="auto"/>
          <w:insideH w:val="nil"/>
          <w:insideV w:val="single" w:sz="4" w:space="0" w:color="auto"/>
          <w:tl2br w:val="nil"/>
          <w:tr2bl w:val="nil"/>
        </w:tcBorders>
      </w:tcPr>
    </w:tblStylePr>
  </w:style>
  <w:style w:type="table" w:customStyle="1" w:styleId="FinancialTable21">
    <w:name w:val="Financial Table21"/>
    <w:basedOn w:val="TableNormal"/>
    <w:uiPriority w:val="99"/>
    <w:rsid w:val="006D0778"/>
    <w:pPr>
      <w:spacing w:before="60" w:after="60" w:line="264" w:lineRule="auto"/>
    </w:pPr>
    <w:rPr>
      <w:rFonts w:eastAsia="MS PGothic"/>
      <w:sz w:val="20"/>
      <w:szCs w:val="20"/>
      <w:lang w:eastAsia="ja-JP"/>
    </w:rPr>
    <w:tblPr>
      <w:tblBorders>
        <w:top w:val="single" w:sz="8" w:space="0" w:color="000000"/>
        <w:left w:val="single" w:sz="8" w:space="0" w:color="000000"/>
        <w:bottom w:val="single" w:sz="24" w:space="0" w:color="000000"/>
        <w:right w:val="single" w:sz="8" w:space="0" w:color="000000"/>
        <w:insideH w:val="single" w:sz="8" w:space="0" w:color="000000"/>
        <w:insideV w:val="single" w:sz="8" w:space="0" w:color="000000"/>
      </w:tblBorders>
      <w:tblCellMar>
        <w:left w:w="72" w:type="dxa"/>
        <w:right w:w="72" w:type="dxa"/>
      </w:tblCellMar>
    </w:tblPr>
    <w:tblStylePr w:type="firstRow">
      <w:pPr>
        <w:wordWrap/>
        <w:spacing w:beforeLines="0" w:before="40" w:beforeAutospacing="0" w:afterLines="0" w:after="40" w:afterAutospacing="0"/>
        <w:jc w:val="left"/>
      </w:pPr>
      <w:rPr>
        <w:rFonts w:ascii="Arial" w:hAnsi="Arial"/>
        <w:b/>
        <w:i w:val="0"/>
        <w:caps w:val="0"/>
        <w:smallCaps w:val="0"/>
        <w:color w:val="000000"/>
        <w:sz w:val="22"/>
      </w:rPr>
    </w:tblStylePr>
    <w:tblStylePr w:type="firstCol">
      <w:rPr>
        <w:b/>
        <w:color w:val="000000"/>
      </w:rPr>
    </w:tblStylePr>
  </w:style>
  <w:style w:type="table" w:customStyle="1" w:styleId="LightShading111">
    <w:name w:val="Light Shading111"/>
    <w:basedOn w:val="TableNormal"/>
    <w:next w:val="LightShading"/>
    <w:uiPriority w:val="60"/>
    <w:rsid w:val="006D0778"/>
    <w:pPr>
      <w:spacing w:after="0" w:line="264" w:lineRule="auto"/>
    </w:pPr>
    <w:rPr>
      <w:rFonts w:eastAsia="MS PGothic"/>
      <w:color w:val="000000"/>
      <w:sz w:val="20"/>
      <w:szCs w:val="20"/>
      <w:lang w:eastAsia="ja-JP"/>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GridTable6Colorful-Accent5151">
    <w:name w:val="Grid Table 6 Colorful - Accent 5151"/>
    <w:basedOn w:val="TableNormal"/>
    <w:next w:val="GridTable6Colorful-Accent540"/>
    <w:uiPriority w:val="51"/>
    <w:rsid w:val="006D0778"/>
    <w:pPr>
      <w:spacing w:after="0" w:line="264" w:lineRule="auto"/>
    </w:pPr>
    <w:rPr>
      <w:rFonts w:ascii="Calibri" w:eastAsia="Calibri" w:hAnsi="Calibri" w:cs="Times New Roman"/>
      <w:color w:val="474747"/>
      <w:sz w:val="20"/>
      <w:szCs w:val="20"/>
    </w:rPr>
    <w:tblPr>
      <w:tblStyleRowBandSize w:val="1"/>
      <w:tblStyleColBandSize w:val="1"/>
      <w:tblBorders>
        <w:top w:val="single" w:sz="4" w:space="0" w:color="9F9F9F"/>
        <w:left w:val="single" w:sz="4" w:space="0" w:color="9F9F9F"/>
        <w:bottom w:val="single" w:sz="4" w:space="0" w:color="9F9F9F"/>
        <w:right w:val="single" w:sz="4" w:space="0" w:color="9F9F9F"/>
        <w:insideH w:val="single" w:sz="4" w:space="0" w:color="9F9F9F"/>
        <w:insideV w:val="single" w:sz="4" w:space="0" w:color="9F9F9F"/>
      </w:tblBorders>
    </w:tblPr>
    <w:tblStylePr w:type="firstRow">
      <w:rPr>
        <w:b/>
        <w:bCs/>
      </w:rPr>
      <w:tblPr/>
      <w:tcPr>
        <w:tcBorders>
          <w:bottom w:val="single" w:sz="12" w:space="0" w:color="9F9F9F"/>
        </w:tcBorders>
      </w:tcPr>
    </w:tblStylePr>
    <w:tblStylePr w:type="lastRow">
      <w:rPr>
        <w:b/>
        <w:bCs/>
      </w:rPr>
      <w:tblPr/>
      <w:tcPr>
        <w:tcBorders>
          <w:top w:val="double" w:sz="4" w:space="0" w:color="9F9F9F"/>
        </w:tcBorders>
      </w:tcPr>
    </w:tblStylePr>
    <w:tblStylePr w:type="firstCol">
      <w:rPr>
        <w:b/>
        <w:bCs/>
      </w:rPr>
    </w:tblStylePr>
    <w:tblStylePr w:type="lastCol">
      <w:rPr>
        <w:b/>
        <w:bCs/>
      </w:rPr>
    </w:tblStylePr>
    <w:tblStylePr w:type="band1Vert">
      <w:tblPr/>
      <w:tcPr>
        <w:shd w:val="clear" w:color="auto" w:fill="DFDFDF"/>
      </w:tcPr>
    </w:tblStylePr>
    <w:tblStylePr w:type="band1Horz">
      <w:tblPr/>
      <w:tcPr>
        <w:shd w:val="clear" w:color="auto" w:fill="DFDFDF"/>
      </w:tcPr>
    </w:tblStylePr>
  </w:style>
  <w:style w:type="table" w:customStyle="1" w:styleId="LightShading-Accent1261">
    <w:name w:val="Light Shading - Accent 1261"/>
    <w:basedOn w:val="TableNormal"/>
    <w:uiPriority w:val="60"/>
    <w:rsid w:val="006D0778"/>
    <w:pPr>
      <w:spacing w:after="0" w:line="264" w:lineRule="auto"/>
    </w:pPr>
    <w:rPr>
      <w:rFonts w:ascii="Cambria" w:eastAsia="Calibri" w:hAnsi="Cambria" w:cs="Times New Roman"/>
      <w:color w:val="A8422A"/>
      <w:sz w:val="20"/>
      <w:szCs w:val="20"/>
      <w:lang w:val="en-GB" w:eastAsia="sr-Cyrl-CS"/>
    </w:rPr>
    <w:tblPr>
      <w:tblStyleRowBandSize w:val="1"/>
      <w:tblStyleColBandSize w:val="1"/>
      <w:tblBorders>
        <w:top w:val="single" w:sz="8" w:space="0" w:color="D16349"/>
        <w:bottom w:val="single" w:sz="8" w:space="0" w:color="D16349"/>
      </w:tblBorders>
    </w:tblPr>
    <w:tblStylePr w:type="fir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la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D8D2"/>
      </w:tcPr>
    </w:tblStylePr>
    <w:tblStylePr w:type="band1Horz">
      <w:tblPr/>
      <w:tcPr>
        <w:tcBorders>
          <w:left w:val="nil"/>
          <w:right w:val="nil"/>
          <w:insideH w:val="nil"/>
          <w:insideV w:val="nil"/>
        </w:tcBorders>
        <w:shd w:val="clear" w:color="auto" w:fill="F3D8D2"/>
      </w:tcPr>
    </w:tblStylePr>
  </w:style>
  <w:style w:type="table" w:customStyle="1" w:styleId="GridTable6Colorful-Accent51121">
    <w:name w:val="Grid Table 6 Colorful - Accent 51121"/>
    <w:basedOn w:val="TableNormal"/>
    <w:uiPriority w:val="51"/>
    <w:rsid w:val="006D0778"/>
    <w:pPr>
      <w:spacing w:after="0" w:line="264" w:lineRule="auto"/>
    </w:pPr>
    <w:rPr>
      <w:rFonts w:ascii="Calibri" w:eastAsia="Calibri" w:hAnsi="Calibri" w:cs="Times New Roman"/>
      <w:color w:val="387AAA"/>
      <w:sz w:val="20"/>
      <w:szCs w:val="20"/>
    </w:rPr>
    <w:tblPr>
      <w:tblStyleRowBandSize w:val="1"/>
      <w:tblStyleColBandSize w:val="1"/>
      <w:tblBorders>
        <w:top w:val="single" w:sz="4" w:space="0" w:color="A1C5E0"/>
        <w:left w:val="single" w:sz="4" w:space="0" w:color="A1C5E0"/>
        <w:bottom w:val="single" w:sz="4" w:space="0" w:color="A1C5E0"/>
        <w:right w:val="single" w:sz="4" w:space="0" w:color="A1C5E0"/>
        <w:insideH w:val="single" w:sz="4" w:space="0" w:color="A1C5E0"/>
        <w:insideV w:val="single" w:sz="4" w:space="0" w:color="A1C5E0"/>
      </w:tblBorders>
    </w:tblPr>
    <w:tblStylePr w:type="firstRow">
      <w:rPr>
        <w:b/>
        <w:bCs/>
      </w:rPr>
      <w:tblPr/>
      <w:tcPr>
        <w:tcBorders>
          <w:bottom w:val="single" w:sz="12" w:space="0" w:color="A1C5E0"/>
        </w:tcBorders>
      </w:tcPr>
    </w:tblStylePr>
    <w:tblStylePr w:type="lastRow">
      <w:rPr>
        <w:b/>
        <w:bCs/>
      </w:rPr>
      <w:tblPr/>
      <w:tcPr>
        <w:tcBorders>
          <w:top w:val="double" w:sz="4" w:space="0" w:color="A1C5E0"/>
        </w:tcBorders>
      </w:tcPr>
    </w:tblStylePr>
    <w:tblStylePr w:type="firstCol">
      <w:rPr>
        <w:b/>
        <w:bCs/>
      </w:rPr>
    </w:tblStylePr>
    <w:tblStylePr w:type="lastCol">
      <w:rPr>
        <w:b/>
        <w:bCs/>
      </w:rPr>
    </w:tblStylePr>
    <w:tblStylePr w:type="band1Vert">
      <w:tblPr/>
      <w:tcPr>
        <w:shd w:val="clear" w:color="auto" w:fill="DFEBF4"/>
      </w:tcPr>
    </w:tblStylePr>
    <w:tblStylePr w:type="band1Horz">
      <w:tblPr/>
      <w:tcPr>
        <w:shd w:val="clear" w:color="auto" w:fill="DFEBF4"/>
      </w:tcPr>
    </w:tblStylePr>
  </w:style>
  <w:style w:type="table" w:customStyle="1" w:styleId="LightShading-Accent12121">
    <w:name w:val="Light Shading - Accent 12121"/>
    <w:basedOn w:val="TableNormal"/>
    <w:uiPriority w:val="60"/>
    <w:rsid w:val="006D0778"/>
    <w:pPr>
      <w:spacing w:after="0" w:line="264" w:lineRule="auto"/>
    </w:pPr>
    <w:rPr>
      <w:rFonts w:ascii="Cambria" w:eastAsia="Calibri" w:hAnsi="Cambria" w:cs="Times New Roman"/>
      <w:color w:val="A8422A"/>
      <w:sz w:val="20"/>
      <w:szCs w:val="20"/>
      <w:lang w:val="en-GB" w:eastAsia="sr-Cyrl-CS"/>
    </w:rPr>
    <w:tblPr>
      <w:tblStyleRowBandSize w:val="1"/>
      <w:tblStyleColBandSize w:val="1"/>
      <w:tblBorders>
        <w:top w:val="single" w:sz="8" w:space="0" w:color="D16349"/>
        <w:bottom w:val="single" w:sz="8" w:space="0" w:color="D16349"/>
      </w:tblBorders>
    </w:tblPr>
    <w:tblStylePr w:type="fir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la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D8D2"/>
      </w:tcPr>
    </w:tblStylePr>
    <w:tblStylePr w:type="band1Horz">
      <w:tblPr/>
      <w:tcPr>
        <w:tcBorders>
          <w:left w:val="nil"/>
          <w:right w:val="nil"/>
          <w:insideH w:val="nil"/>
          <w:insideV w:val="nil"/>
        </w:tcBorders>
        <w:shd w:val="clear" w:color="auto" w:fill="F3D8D2"/>
      </w:tcPr>
    </w:tblStylePr>
  </w:style>
  <w:style w:type="table" w:customStyle="1" w:styleId="GridTable6Colorful-Accent1111">
    <w:name w:val="Grid Table 6 Colorful - Accent 1111"/>
    <w:basedOn w:val="TableNormal"/>
    <w:next w:val="GridTable6Colorful-Accent130"/>
    <w:uiPriority w:val="51"/>
    <w:rsid w:val="006D0778"/>
    <w:pPr>
      <w:spacing w:after="0" w:line="264" w:lineRule="auto"/>
    </w:pPr>
    <w:rPr>
      <w:rFonts w:eastAsia="MS PGothic"/>
      <w:color w:val="BF2B0E"/>
      <w:sz w:val="20"/>
      <w:szCs w:val="20"/>
      <w:lang w:eastAsia="ja-JP"/>
    </w:rPr>
    <w:tblPr>
      <w:tblStyleRowBandSize w:val="1"/>
      <w:tblStyleColBandSize w:val="1"/>
      <w:tblBorders>
        <w:top w:val="single" w:sz="4" w:space="0" w:color="F58F7A"/>
        <w:left w:val="single" w:sz="4" w:space="0" w:color="F58F7A"/>
        <w:bottom w:val="single" w:sz="4" w:space="0" w:color="F58F7A"/>
        <w:right w:val="single" w:sz="4" w:space="0" w:color="F58F7A"/>
        <w:insideH w:val="single" w:sz="4" w:space="0" w:color="F58F7A"/>
        <w:insideV w:val="single" w:sz="4" w:space="0" w:color="F58F7A"/>
      </w:tblBorders>
    </w:tblPr>
    <w:tblStylePr w:type="firstRow">
      <w:rPr>
        <w:b/>
        <w:bCs/>
      </w:rPr>
      <w:tblPr/>
      <w:tcPr>
        <w:tcBorders>
          <w:bottom w:val="single" w:sz="12" w:space="0" w:color="F58F7A"/>
        </w:tcBorders>
      </w:tcPr>
    </w:tblStylePr>
    <w:tblStylePr w:type="lastRow">
      <w:rPr>
        <w:b/>
        <w:bCs/>
      </w:rPr>
      <w:tblPr/>
      <w:tcPr>
        <w:tcBorders>
          <w:top w:val="double" w:sz="4" w:space="0" w:color="F58F7A"/>
        </w:tcBorders>
      </w:tcPr>
    </w:tblStylePr>
    <w:tblStylePr w:type="firstCol">
      <w:rPr>
        <w:b/>
        <w:bCs/>
      </w:rPr>
    </w:tblStylePr>
    <w:tblStylePr w:type="lastCol">
      <w:rPr>
        <w:b/>
        <w:bCs/>
      </w:rPr>
    </w:tblStylePr>
    <w:tblStylePr w:type="band1Vert">
      <w:tblPr/>
      <w:tcPr>
        <w:shd w:val="clear" w:color="auto" w:fill="FBD9D2"/>
      </w:tcPr>
    </w:tblStylePr>
    <w:tblStylePr w:type="band1Horz">
      <w:tblPr/>
      <w:tcPr>
        <w:shd w:val="clear" w:color="auto" w:fill="FBD9D2"/>
      </w:tcPr>
    </w:tblStylePr>
  </w:style>
  <w:style w:type="table" w:customStyle="1" w:styleId="LightShading-Accent12221">
    <w:name w:val="Light Shading - Accent 12221"/>
    <w:basedOn w:val="TableNormal"/>
    <w:uiPriority w:val="60"/>
    <w:rsid w:val="006D0778"/>
    <w:pPr>
      <w:spacing w:after="0" w:line="240" w:lineRule="auto"/>
    </w:pPr>
    <w:rPr>
      <w:rFonts w:ascii="Cambria" w:eastAsia="Calibri" w:hAnsi="Cambria" w:cs="Times New Roman"/>
      <w:color w:val="A8422A"/>
      <w:sz w:val="20"/>
      <w:szCs w:val="20"/>
      <w:lang w:val="en-GB" w:eastAsia="sr-Cyrl-CS"/>
    </w:rPr>
    <w:tblPr>
      <w:tblStyleRowBandSize w:val="1"/>
      <w:tblStyleColBandSize w:val="1"/>
      <w:tblBorders>
        <w:top w:val="single" w:sz="8" w:space="0" w:color="D16349"/>
        <w:bottom w:val="single" w:sz="8" w:space="0" w:color="D16349"/>
      </w:tblBorders>
    </w:tblPr>
    <w:tblStylePr w:type="fir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la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D8D2"/>
      </w:tcPr>
    </w:tblStylePr>
    <w:tblStylePr w:type="band1Horz">
      <w:tblPr/>
      <w:tcPr>
        <w:tcBorders>
          <w:left w:val="nil"/>
          <w:right w:val="nil"/>
          <w:insideH w:val="nil"/>
          <w:insideV w:val="nil"/>
        </w:tcBorders>
        <w:shd w:val="clear" w:color="auto" w:fill="F3D8D2"/>
      </w:tcPr>
    </w:tblStylePr>
  </w:style>
  <w:style w:type="table" w:customStyle="1" w:styleId="GridTable6Colorful-Accent5221">
    <w:name w:val="Grid Table 6 Colorful - Accent 5221"/>
    <w:basedOn w:val="TableNormal"/>
    <w:next w:val="GridTable6Colorful-Accent540"/>
    <w:uiPriority w:val="51"/>
    <w:rsid w:val="006D0778"/>
    <w:pPr>
      <w:spacing w:after="0" w:line="240" w:lineRule="auto"/>
    </w:pPr>
    <w:rPr>
      <w:rFonts w:ascii="Calibri" w:eastAsia="Calibri" w:hAnsi="Calibri" w:cs="Times New Roman"/>
      <w:color w:val="C19300"/>
      <w:sz w:val="20"/>
      <w:szCs w:val="20"/>
    </w:rPr>
    <w:tblPr>
      <w:tblStyleRowBandSize w:val="1"/>
      <w:tblStyleColBandSize w:val="1"/>
      <w:tblBorders>
        <w:top w:val="single" w:sz="4" w:space="0" w:color="FEDA69"/>
        <w:left w:val="single" w:sz="4" w:space="0" w:color="FEDA69"/>
        <w:bottom w:val="single" w:sz="4" w:space="0" w:color="FEDA69"/>
        <w:right w:val="single" w:sz="4" w:space="0" w:color="FEDA69"/>
        <w:insideH w:val="single" w:sz="4" w:space="0" w:color="FEDA69"/>
        <w:insideV w:val="single" w:sz="4" w:space="0" w:color="FEDA69"/>
      </w:tblBorders>
    </w:tblPr>
    <w:tblStylePr w:type="firstRow">
      <w:rPr>
        <w:b/>
        <w:bCs/>
      </w:rPr>
      <w:tblPr/>
      <w:tcPr>
        <w:tcBorders>
          <w:bottom w:val="single" w:sz="12" w:space="0" w:color="FEDA69"/>
        </w:tcBorders>
      </w:tcPr>
    </w:tblStylePr>
    <w:tblStylePr w:type="lastRow">
      <w:rPr>
        <w:b/>
        <w:bCs/>
      </w:rPr>
      <w:tblPr/>
      <w:tcPr>
        <w:tcBorders>
          <w:top w:val="double" w:sz="4" w:space="0" w:color="FEDA69"/>
        </w:tcBorders>
      </w:tcPr>
    </w:tblStylePr>
    <w:tblStylePr w:type="firstCol">
      <w:rPr>
        <w:b/>
        <w:bCs/>
      </w:rPr>
    </w:tblStylePr>
    <w:tblStylePr w:type="lastCol">
      <w:rPr>
        <w:b/>
        <w:bCs/>
      </w:rPr>
    </w:tblStylePr>
    <w:tblStylePr w:type="band1Vert">
      <w:tblPr/>
      <w:tcPr>
        <w:shd w:val="clear" w:color="auto" w:fill="FEF2CD"/>
      </w:tcPr>
    </w:tblStylePr>
    <w:tblStylePr w:type="band1Horz">
      <w:tblPr/>
      <w:tcPr>
        <w:shd w:val="clear" w:color="auto" w:fill="FEF2CD"/>
      </w:tcPr>
    </w:tblStylePr>
  </w:style>
  <w:style w:type="table" w:customStyle="1" w:styleId="tabele351">
    <w:name w:val="tabele 351"/>
    <w:basedOn w:val="TableNormal"/>
    <w:next w:val="LightList-Accent3"/>
    <w:uiPriority w:val="61"/>
    <w:rsid w:val="006D0778"/>
    <w:pPr>
      <w:spacing w:after="0" w:line="240" w:lineRule="auto"/>
    </w:pPr>
    <w:rPr>
      <w:rFonts w:ascii="Cambria Math" w:eastAsia="Calibri" w:hAnsi="Cambria Math" w:cs="Times New Roman"/>
      <w:sz w:val="18"/>
      <w:lang w:val="sr-Cyrl-CS"/>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LightShading-Accent11121">
    <w:name w:val="Light Shading - Accent 11121"/>
    <w:basedOn w:val="TableNormal"/>
    <w:uiPriority w:val="60"/>
    <w:rsid w:val="006D0778"/>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361">
    <w:name w:val="Light Shading - Accent 361"/>
    <w:basedOn w:val="TableNormal"/>
    <w:next w:val="LightShading-Accent3"/>
    <w:uiPriority w:val="60"/>
    <w:rsid w:val="006D0778"/>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List-Accent561">
    <w:name w:val="Light List - Accent 561"/>
    <w:basedOn w:val="TableNormal"/>
    <w:next w:val="LightList-Accent5"/>
    <w:uiPriority w:val="61"/>
    <w:rsid w:val="006D0778"/>
    <w:pPr>
      <w:spacing w:after="0" w:line="240" w:lineRule="auto"/>
    </w:pPr>
    <w:rPr>
      <w:rFonts w:ascii="Calibri" w:eastAsia="Calibri" w:hAnsi="Calibri" w:cs="Times New Roman"/>
      <w:sz w:val="20"/>
      <w:szCs w:val="20"/>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Shading-Accent3151">
    <w:name w:val="Light Shading - Accent 3151"/>
    <w:basedOn w:val="TableNormal"/>
    <w:next w:val="LightShading-Accent3"/>
    <w:uiPriority w:val="60"/>
    <w:rsid w:val="006D0778"/>
    <w:pPr>
      <w:spacing w:after="0" w:line="240" w:lineRule="auto"/>
    </w:pPr>
    <w:rPr>
      <w:rFonts w:ascii="Constantia" w:eastAsia="Constantia" w:hAnsi="Constantia" w:cs="Times New Roman"/>
      <w:color w:val="8CADAE"/>
      <w:lang w:val="sr-Cyrl-CS"/>
    </w:rPr>
    <w:tblPr>
      <w:tblStyleRowBandSize w:val="1"/>
      <w:tblStyleColBandSize w:val="1"/>
      <w:tblBorders>
        <w:top w:val="single" w:sz="8" w:space="0" w:color="8CADAE"/>
        <w:bottom w:val="single" w:sz="8" w:space="0" w:color="8CADAE"/>
      </w:tblBorders>
    </w:tblPr>
    <w:tblStylePr w:type="fir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la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2EAEB"/>
      </w:tcPr>
    </w:tblStylePr>
    <w:tblStylePr w:type="band1Horz">
      <w:tblPr/>
      <w:tcPr>
        <w:tcBorders>
          <w:left w:val="nil"/>
          <w:right w:val="nil"/>
          <w:insideH w:val="nil"/>
          <w:insideV w:val="nil"/>
        </w:tcBorders>
        <w:shd w:val="clear" w:color="auto" w:fill="E2EAEB"/>
      </w:tcPr>
    </w:tblStylePr>
  </w:style>
  <w:style w:type="table" w:customStyle="1" w:styleId="LightList-Accent3161">
    <w:name w:val="Light List - Accent 3161"/>
    <w:basedOn w:val="TableNormal"/>
    <w:next w:val="LightList-Accent3"/>
    <w:uiPriority w:val="61"/>
    <w:rsid w:val="006D0778"/>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TableGrid121">
    <w:name w:val="Table Grid121"/>
    <w:basedOn w:val="TableNormal"/>
    <w:next w:val="TableGrid"/>
    <w:uiPriority w:val="59"/>
    <w:rsid w:val="006D0778"/>
    <w:pPr>
      <w:spacing w:after="0" w:line="240" w:lineRule="auto"/>
    </w:pPr>
    <w:rPr>
      <w:rFonts w:ascii="Constantia" w:eastAsia="Constantia" w:hAnsi="Constantia" w:cs="Times New Roman"/>
      <w:lang w:val="sr-Cyrl-C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ghtList-Accent5151">
    <w:name w:val="Light List - Accent 5151"/>
    <w:basedOn w:val="TableNormal"/>
    <w:next w:val="LightList-Accent5"/>
    <w:uiPriority w:val="61"/>
    <w:rsid w:val="006D0778"/>
    <w:pPr>
      <w:spacing w:after="0" w:line="240" w:lineRule="auto"/>
    </w:pPr>
    <w:rPr>
      <w:rFonts w:ascii="Times New Roman" w:eastAsia="Constantia" w:hAnsi="Times New Roman" w:cs="Times New Roman"/>
      <w:lang w:val="sr-Cyrl-CS"/>
    </w:rPr>
    <w:tblPr>
      <w:tblStyleRowBandSize w:val="1"/>
      <w:tblStyleColBandSize w:val="1"/>
      <w:tblBorders>
        <w:top w:val="single" w:sz="8" w:space="0" w:color="8FB08C"/>
        <w:left w:val="single" w:sz="8" w:space="0" w:color="8FB08C"/>
        <w:bottom w:val="single" w:sz="8" w:space="0" w:color="8FB08C"/>
        <w:right w:val="single" w:sz="8" w:space="0" w:color="8FB08C"/>
      </w:tblBorders>
    </w:tblPr>
    <w:tblStylePr w:type="firstRow">
      <w:pPr>
        <w:spacing w:before="0" w:after="0" w:line="240" w:lineRule="auto"/>
      </w:pPr>
      <w:rPr>
        <w:b/>
        <w:bCs/>
        <w:color w:val="FFFFFF"/>
      </w:rPr>
      <w:tblPr/>
      <w:tcPr>
        <w:shd w:val="clear" w:color="auto" w:fill="8FB08C"/>
      </w:tcPr>
    </w:tblStylePr>
    <w:tblStylePr w:type="lastRow">
      <w:pPr>
        <w:spacing w:before="0" w:after="0" w:line="240" w:lineRule="auto"/>
      </w:pPr>
      <w:rPr>
        <w:b/>
        <w:bCs/>
      </w:rPr>
      <w:tblPr/>
      <w:tcPr>
        <w:tcBorders>
          <w:top w:val="double" w:sz="6" w:space="0" w:color="8FB08C"/>
          <w:left w:val="single" w:sz="8" w:space="0" w:color="8FB08C"/>
          <w:bottom w:val="single" w:sz="8" w:space="0" w:color="8FB08C"/>
          <w:right w:val="single" w:sz="8" w:space="0" w:color="8FB08C"/>
        </w:tcBorders>
      </w:tcPr>
    </w:tblStylePr>
    <w:tblStylePr w:type="firstCol">
      <w:rPr>
        <w:b/>
        <w:bCs/>
      </w:rPr>
    </w:tblStylePr>
    <w:tblStylePr w:type="lastCol">
      <w:rPr>
        <w:b/>
        <w:bCs/>
      </w:rPr>
    </w:tblStylePr>
    <w:tblStylePr w:type="band1Vert">
      <w:tblPr/>
      <w:tcPr>
        <w:tcBorders>
          <w:top w:val="single" w:sz="8" w:space="0" w:color="8FB08C"/>
          <w:left w:val="single" w:sz="8" w:space="0" w:color="8FB08C"/>
          <w:bottom w:val="single" w:sz="8" w:space="0" w:color="8FB08C"/>
          <w:right w:val="single" w:sz="8" w:space="0" w:color="8FB08C"/>
        </w:tcBorders>
      </w:tcPr>
    </w:tblStylePr>
    <w:tblStylePr w:type="band1Horz">
      <w:tblPr/>
      <w:tcPr>
        <w:tcBorders>
          <w:top w:val="single" w:sz="8" w:space="0" w:color="8FB08C"/>
          <w:left w:val="single" w:sz="8" w:space="0" w:color="8FB08C"/>
          <w:bottom w:val="single" w:sz="8" w:space="0" w:color="8FB08C"/>
          <w:right w:val="single" w:sz="8" w:space="0" w:color="8FB08C"/>
        </w:tcBorders>
      </w:tcPr>
    </w:tblStylePr>
  </w:style>
  <w:style w:type="table" w:customStyle="1" w:styleId="MediumList1-Accent5121">
    <w:name w:val="Medium List 1 - Accent 5121"/>
    <w:basedOn w:val="TableNormal"/>
    <w:next w:val="MediumList1-Accent5"/>
    <w:uiPriority w:val="65"/>
    <w:rsid w:val="006D0778"/>
    <w:pPr>
      <w:spacing w:after="0" w:line="240" w:lineRule="auto"/>
    </w:pPr>
    <w:rPr>
      <w:rFonts w:ascii="Constantia" w:eastAsia="Constantia" w:hAnsi="Constantia" w:cs="Times New Roman"/>
      <w:color w:val="000000"/>
      <w:lang w:val="sr-Cyrl-CS"/>
    </w:rPr>
    <w:tblPr>
      <w:tblStyleRowBandSize w:val="1"/>
      <w:tblStyleColBandSize w:val="1"/>
      <w:tblBorders>
        <w:top w:val="single" w:sz="8" w:space="0" w:color="8FB08C"/>
        <w:bottom w:val="single" w:sz="8" w:space="0" w:color="8FB08C"/>
      </w:tblBorders>
    </w:tblPr>
    <w:tblStylePr w:type="firstRow">
      <w:rPr>
        <w:rFonts w:ascii="Consolas" w:eastAsia="Times New Roman" w:hAnsi="Consolas" w:cs="Times New Roman"/>
      </w:rPr>
      <w:tblPr/>
      <w:tcPr>
        <w:tcBorders>
          <w:top w:val="nil"/>
          <w:bottom w:val="single" w:sz="8" w:space="0" w:color="8FB08C"/>
        </w:tcBorders>
      </w:tcPr>
    </w:tblStylePr>
    <w:tblStylePr w:type="lastRow">
      <w:rPr>
        <w:b/>
        <w:bCs/>
        <w:color w:val="646B86"/>
      </w:rPr>
      <w:tblPr/>
      <w:tcPr>
        <w:tcBorders>
          <w:top w:val="single" w:sz="8" w:space="0" w:color="8FB08C"/>
          <w:bottom w:val="single" w:sz="8" w:space="0" w:color="8FB08C"/>
        </w:tcBorders>
      </w:tcPr>
    </w:tblStylePr>
    <w:tblStylePr w:type="firstCol">
      <w:rPr>
        <w:b/>
        <w:bCs/>
      </w:rPr>
    </w:tblStylePr>
    <w:tblStylePr w:type="lastCol">
      <w:rPr>
        <w:b/>
        <w:bCs/>
      </w:rPr>
      <w:tblPr/>
      <w:tcPr>
        <w:tcBorders>
          <w:top w:val="single" w:sz="8" w:space="0" w:color="8FB08C"/>
          <w:bottom w:val="single" w:sz="8" w:space="0" w:color="8FB08C"/>
        </w:tcBorders>
      </w:tcPr>
    </w:tblStylePr>
    <w:tblStylePr w:type="band1Vert">
      <w:tblPr/>
      <w:tcPr>
        <w:shd w:val="clear" w:color="auto" w:fill="E3EBE2"/>
      </w:tcPr>
    </w:tblStylePr>
    <w:tblStylePr w:type="band1Horz">
      <w:tblPr/>
      <w:tcPr>
        <w:shd w:val="clear" w:color="auto" w:fill="E3EBE2"/>
      </w:tcPr>
    </w:tblStylePr>
  </w:style>
  <w:style w:type="table" w:customStyle="1" w:styleId="MediumList1-Accent531">
    <w:name w:val="Medium List 1 - Accent 531"/>
    <w:basedOn w:val="TableNormal"/>
    <w:next w:val="MediumList1-Accent5"/>
    <w:uiPriority w:val="65"/>
    <w:rsid w:val="006D0778"/>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4BACC6"/>
        <w:bottom w:val="single" w:sz="8" w:space="0" w:color="4BACC6"/>
      </w:tblBorders>
    </w:tblPr>
    <w:tblStylePr w:type="firstRow">
      <w:rPr>
        <w:rFonts w:ascii="Times New Roman" w:eastAsia="Times New Roman" w:hAnsi="Times New Roman" w:cs="Times New Roman"/>
      </w:rPr>
      <w:tblPr/>
      <w:tcPr>
        <w:tcBorders>
          <w:top w:val="nil"/>
          <w:bottom w:val="single" w:sz="8" w:space="0" w:color="4BACC6"/>
        </w:tcBorders>
      </w:tcPr>
    </w:tblStylePr>
    <w:tblStylePr w:type="lastRow">
      <w:rPr>
        <w:b/>
        <w:bCs/>
        <w:color w:val="1F497D"/>
      </w:rPr>
      <w:tblPr/>
      <w:tcPr>
        <w:tcBorders>
          <w:top w:val="single" w:sz="8" w:space="0" w:color="4BACC6"/>
          <w:bottom w:val="single" w:sz="8" w:space="0" w:color="4BACC6"/>
        </w:tcBorders>
      </w:tcPr>
    </w:tblStylePr>
    <w:tblStylePr w:type="firstCol">
      <w:rPr>
        <w:b/>
        <w:bCs/>
      </w:rPr>
    </w:tblStylePr>
    <w:tblStylePr w:type="lastCol">
      <w:rPr>
        <w:b/>
        <w:bCs/>
      </w:rPr>
      <w:tblPr/>
      <w:tcPr>
        <w:tcBorders>
          <w:top w:val="single" w:sz="8" w:space="0" w:color="4BACC6"/>
          <w:bottom w:val="single" w:sz="8" w:space="0" w:color="4BACC6"/>
        </w:tcBorders>
      </w:tcPr>
    </w:tblStylePr>
    <w:tblStylePr w:type="band1Vert">
      <w:tblPr/>
      <w:tcPr>
        <w:shd w:val="clear" w:color="auto" w:fill="D2EAF1"/>
      </w:tcPr>
    </w:tblStylePr>
    <w:tblStylePr w:type="band1Horz">
      <w:tblPr/>
      <w:tcPr>
        <w:shd w:val="clear" w:color="auto" w:fill="D2EAF1"/>
      </w:tcPr>
    </w:tblStylePr>
  </w:style>
  <w:style w:type="numbering" w:customStyle="1" w:styleId="NoList1121">
    <w:name w:val="No List1121"/>
    <w:next w:val="NoList"/>
    <w:uiPriority w:val="99"/>
    <w:semiHidden/>
    <w:unhideWhenUsed/>
    <w:rsid w:val="006D0778"/>
  </w:style>
  <w:style w:type="table" w:customStyle="1" w:styleId="LightGrid-Accent5161">
    <w:name w:val="Light Grid - Accent 5161"/>
    <w:basedOn w:val="TableNormal"/>
    <w:next w:val="LightGrid-Accent5"/>
    <w:uiPriority w:val="62"/>
    <w:rsid w:val="006D0778"/>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Verdana" w:eastAsia="Times New Roman" w:hAnsi="Verdan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Verdana" w:eastAsia="Times New Roman" w:hAnsi="Verdan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Verdana" w:eastAsia="Times New Roman" w:hAnsi="Verdana" w:cs="Times New Roman"/>
        <w:b/>
        <w:bCs/>
      </w:rPr>
    </w:tblStylePr>
    <w:tblStylePr w:type="lastCol">
      <w:rPr>
        <w:rFonts w:ascii="Verdana" w:eastAsia="Times New Roman" w:hAnsi="Verdan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1151">
    <w:name w:val="Светло сенчење – наглашавање 1151"/>
    <w:basedOn w:val="TableNormal"/>
    <w:uiPriority w:val="60"/>
    <w:rsid w:val="006D0778"/>
    <w:pPr>
      <w:spacing w:after="0" w:line="240" w:lineRule="auto"/>
    </w:pPr>
    <w:rPr>
      <w:rFonts w:ascii="Calibri" w:eastAsia="Calibri" w:hAnsi="Calibri" w:cs="Times New Roman"/>
      <w:color w:val="365F91"/>
      <w:sz w:val="20"/>
      <w:szCs w:val="20"/>
      <w:lang w:val="sr-Latn-CS" w:eastAsia="en-GB"/>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Grid-Accent571">
    <w:name w:val="Light Grid - Accent 571"/>
    <w:basedOn w:val="TableNormal"/>
    <w:next w:val="LightGrid-Accent5"/>
    <w:uiPriority w:val="62"/>
    <w:rsid w:val="006D0778"/>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Verdana" w:eastAsia="Times New Roman" w:hAnsi="Verdana"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Verdana" w:eastAsia="Times New Roman" w:hAnsi="Verdana"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Verdana" w:eastAsia="Times New Roman" w:hAnsi="Verdana" w:cs="Times New Roman"/>
        <w:b/>
        <w:bCs/>
      </w:rPr>
    </w:tblStylePr>
    <w:tblStylePr w:type="lastCol">
      <w:rPr>
        <w:rFonts w:ascii="Verdana" w:eastAsia="Times New Roman" w:hAnsi="Verdana"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tabelezaifs21">
    <w:name w:val="tabele za ifs21"/>
    <w:basedOn w:val="TableNormal"/>
    <w:uiPriority w:val="99"/>
    <w:qFormat/>
    <w:rsid w:val="006D0778"/>
    <w:pPr>
      <w:spacing w:after="0" w:line="240" w:lineRule="auto"/>
    </w:pPr>
    <w:rPr>
      <w:rFonts w:ascii="Cambria Math" w:eastAsia="Calibri" w:hAnsi="Cambria Math" w:cs="Times New Roman"/>
      <w:sz w:val="20"/>
      <w:szCs w:val="20"/>
      <w:lang w:val="en-GB" w:eastAsia="en-GB"/>
    </w:rPr>
    <w:tblPr/>
  </w:style>
  <w:style w:type="table" w:customStyle="1" w:styleId="tabelezaifs121">
    <w:name w:val="tabele za ifs 121"/>
    <w:basedOn w:val="TableNormal"/>
    <w:uiPriority w:val="66"/>
    <w:rsid w:val="006D0778"/>
    <w:pPr>
      <w:spacing w:after="0" w:line="240" w:lineRule="auto"/>
    </w:pPr>
    <w:rPr>
      <w:rFonts w:ascii="Cambria Math" w:eastAsia="Times New Roman" w:hAnsi="Cambria Math" w:cs="Times New Roman"/>
      <w:color w:val="000000"/>
      <w:sz w:val="20"/>
      <w:szCs w:val="20"/>
      <w:lang w:val="en-GB" w:eastAsia="en-GB"/>
    </w:rPr>
    <w:tblPr>
      <w:tblStyleRowBandSize w:val="1"/>
      <w:tblStyleColBandSize w:val="1"/>
      <w:tblBorders>
        <w:top w:val="single" w:sz="8" w:space="0" w:color="8CADAE"/>
        <w:left w:val="single" w:sz="8" w:space="0" w:color="8CADAE"/>
        <w:bottom w:val="single" w:sz="8" w:space="0" w:color="8CADAE"/>
        <w:right w:val="single" w:sz="8" w:space="0" w:color="8CADAE"/>
      </w:tblBorders>
    </w:tblPr>
    <w:tcPr>
      <w:vAlign w:val="bottom"/>
    </w:tcPr>
    <w:tblStylePr w:type="firstRow">
      <w:rPr>
        <w:sz w:val="24"/>
        <w:szCs w:val="24"/>
      </w:rPr>
      <w:tblPr/>
      <w:tcPr>
        <w:tcBorders>
          <w:top w:val="nil"/>
          <w:left w:val="nil"/>
          <w:bottom w:val="single" w:sz="24" w:space="0" w:color="8CADAE"/>
          <w:right w:val="nil"/>
          <w:insideH w:val="nil"/>
          <w:insideV w:val="nil"/>
        </w:tcBorders>
        <w:shd w:val="clear" w:color="auto" w:fill="FFFFFF"/>
      </w:tcPr>
    </w:tblStylePr>
    <w:tblStylePr w:type="lastRow">
      <w:tblPr/>
      <w:tcPr>
        <w:tcBorders>
          <w:top w:val="single" w:sz="8" w:space="0" w:color="8CADAE"/>
          <w:left w:val="nil"/>
          <w:bottom w:val="nil"/>
          <w:right w:val="nil"/>
          <w:insideH w:val="nil"/>
          <w:insideV w:val="nil"/>
        </w:tcBorders>
        <w:shd w:val="clear" w:color="auto" w:fill="FFFFFF"/>
      </w:tcPr>
    </w:tblStylePr>
    <w:tblStylePr w:type="firstCol">
      <w:tblPr/>
      <w:tcPr>
        <w:tcBorders>
          <w:top w:val="nil"/>
          <w:left w:val="nil"/>
          <w:bottom w:val="nil"/>
          <w:right w:val="single" w:sz="8" w:space="0" w:color="8CADAE"/>
          <w:insideH w:val="nil"/>
          <w:insideV w:val="nil"/>
        </w:tcBorders>
        <w:shd w:val="clear" w:color="auto" w:fill="FFFFFF"/>
      </w:tcPr>
    </w:tblStylePr>
    <w:tblStylePr w:type="lastCol">
      <w:tblPr/>
      <w:tcPr>
        <w:tcBorders>
          <w:top w:val="nil"/>
          <w:left w:val="single" w:sz="8" w:space="0" w:color="8CADAE"/>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2EAEB"/>
      </w:tcPr>
    </w:tblStylePr>
    <w:tblStylePr w:type="band1Horz">
      <w:tblPr/>
      <w:tcPr>
        <w:tcBorders>
          <w:top w:val="nil"/>
          <w:bottom w:val="nil"/>
          <w:insideH w:val="nil"/>
          <w:insideV w:val="nil"/>
        </w:tcBorders>
        <w:shd w:val="clear" w:color="auto" w:fill="E2EAEB"/>
      </w:tcPr>
    </w:tblStylePr>
    <w:tblStylePr w:type="nwCell">
      <w:tblPr/>
      <w:tcPr>
        <w:shd w:val="clear" w:color="auto" w:fill="FFFFFF"/>
      </w:tcPr>
    </w:tblStylePr>
    <w:tblStylePr w:type="swCell">
      <w:tblPr/>
      <w:tcPr>
        <w:tcBorders>
          <w:top w:val="nil"/>
        </w:tcBorders>
      </w:tcPr>
    </w:tblStylePr>
  </w:style>
  <w:style w:type="table" w:customStyle="1" w:styleId="ColorfulList-Accent121">
    <w:name w:val="Colorful List - Accent 121"/>
    <w:basedOn w:val="TableNormal"/>
    <w:next w:val="ColorfulList-Accent1"/>
    <w:uiPriority w:val="72"/>
    <w:rsid w:val="006D0778"/>
    <w:pPr>
      <w:spacing w:after="0" w:line="240" w:lineRule="auto"/>
    </w:pPr>
    <w:rPr>
      <w:rFonts w:ascii="Calibri" w:eastAsia="Calibri" w:hAnsi="Calibri" w:cs="Times New Roman"/>
      <w:color w:val="000000"/>
      <w:sz w:val="20"/>
      <w:szCs w:val="20"/>
      <w:lang w:val="en-GB" w:eastAsia="en-GB"/>
    </w:rPr>
    <w:tblPr>
      <w:tblStyleRowBandSize w:val="1"/>
      <w:tblStyleColBandSize w:val="1"/>
    </w:tblPr>
    <w:tcPr>
      <w:shd w:val="clear" w:color="auto" w:fill="FAEFEC"/>
    </w:tcPr>
    <w:tblStylePr w:type="firstRow">
      <w:rPr>
        <w:b/>
        <w:bCs/>
        <w:color w:val="FFFFFF"/>
      </w:rPr>
      <w:tblPr/>
      <w:tcPr>
        <w:tcBorders>
          <w:bottom w:val="single" w:sz="12" w:space="0" w:color="FFFFFF"/>
        </w:tcBorders>
        <w:shd w:val="clear" w:color="auto" w:fill="A38F00"/>
      </w:tcPr>
    </w:tblStylePr>
    <w:tblStylePr w:type="lastRow">
      <w:rPr>
        <w:b/>
        <w:bCs/>
        <w:color w:val="A38F00"/>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3D8D2"/>
      </w:tcPr>
    </w:tblStylePr>
    <w:tblStylePr w:type="band1Horz">
      <w:tblPr/>
      <w:tcPr>
        <w:shd w:val="clear" w:color="auto" w:fill="F5DFDA"/>
      </w:tcPr>
    </w:tblStylePr>
  </w:style>
  <w:style w:type="numbering" w:customStyle="1" w:styleId="NoList221">
    <w:name w:val="No List221"/>
    <w:next w:val="NoList"/>
    <w:uiPriority w:val="99"/>
    <w:semiHidden/>
    <w:unhideWhenUsed/>
    <w:rsid w:val="006D0778"/>
  </w:style>
  <w:style w:type="table" w:customStyle="1" w:styleId="LightList-Accent3251">
    <w:name w:val="Light List - Accent 3251"/>
    <w:basedOn w:val="TableNormal"/>
    <w:next w:val="LightList-Accent3"/>
    <w:uiPriority w:val="61"/>
    <w:rsid w:val="006D0778"/>
    <w:pPr>
      <w:spacing w:after="0" w:line="240" w:lineRule="auto"/>
    </w:pPr>
    <w:rPr>
      <w:rFonts w:ascii="Calibri" w:eastAsia="Calibri" w:hAnsi="Calibri" w:cs="Times New Roman"/>
      <w:sz w:val="20"/>
      <w:szCs w:val="20"/>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31151">
    <w:name w:val="Light List - Accent 31151"/>
    <w:basedOn w:val="TableNormal"/>
    <w:next w:val="LightList-Accent3"/>
    <w:uiPriority w:val="61"/>
    <w:rsid w:val="006D0778"/>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Shading-Accent13191">
    <w:name w:val="Light Shading - Accent 1319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101">
    <w:name w:val="Light Shading - Accent 13110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251">
    <w:name w:val="Light Shading - Accent 1325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tabele3121">
    <w:name w:val="tabele 3121"/>
    <w:basedOn w:val="TableNormal"/>
    <w:next w:val="LightList-Accent3"/>
    <w:uiPriority w:val="61"/>
    <w:rsid w:val="006D0778"/>
    <w:pPr>
      <w:spacing w:after="0" w:line="240" w:lineRule="auto"/>
    </w:pPr>
    <w:rPr>
      <w:rFonts w:ascii="Cambria Math" w:eastAsia="Calibri" w:hAnsi="Cambria Math" w:cs="Times New Roman"/>
      <w:sz w:val="18"/>
      <w:lang w:val="sr-Cyrl-CS"/>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LightShading-Accent11131">
    <w:name w:val="Light Shading - Accent 11131"/>
    <w:basedOn w:val="TableNormal"/>
    <w:uiPriority w:val="60"/>
    <w:rsid w:val="006D0778"/>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3221">
    <w:name w:val="Light Shading - Accent 3221"/>
    <w:basedOn w:val="TableNormal"/>
    <w:next w:val="LightShading-Accent3"/>
    <w:uiPriority w:val="60"/>
    <w:rsid w:val="006D0778"/>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List-Accent5221">
    <w:name w:val="Light List - Accent 5221"/>
    <w:basedOn w:val="TableNormal"/>
    <w:next w:val="LightList-Accent5"/>
    <w:uiPriority w:val="61"/>
    <w:rsid w:val="006D0778"/>
    <w:pPr>
      <w:spacing w:after="0" w:line="240" w:lineRule="auto"/>
    </w:pPr>
    <w:rPr>
      <w:rFonts w:ascii="Calibri" w:eastAsia="Calibri" w:hAnsi="Calibri" w:cs="Times New Roman"/>
      <w:sz w:val="20"/>
      <w:szCs w:val="20"/>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Shading-Accent31121">
    <w:name w:val="Light Shading - Accent 31121"/>
    <w:basedOn w:val="TableNormal"/>
    <w:next w:val="LightShading-Accent3"/>
    <w:uiPriority w:val="60"/>
    <w:rsid w:val="006D0778"/>
    <w:pPr>
      <w:spacing w:after="0" w:line="240" w:lineRule="auto"/>
    </w:pPr>
    <w:rPr>
      <w:rFonts w:ascii="Constantia" w:eastAsia="Constantia" w:hAnsi="Constantia" w:cs="Times New Roman"/>
      <w:color w:val="8CADAE"/>
      <w:lang w:val="sr-Cyrl-CS"/>
    </w:rPr>
    <w:tblPr>
      <w:tblStyleRowBandSize w:val="1"/>
      <w:tblStyleColBandSize w:val="1"/>
      <w:tblBorders>
        <w:top w:val="single" w:sz="8" w:space="0" w:color="8CADAE"/>
        <w:bottom w:val="single" w:sz="8" w:space="0" w:color="8CADAE"/>
      </w:tblBorders>
    </w:tblPr>
    <w:tblStylePr w:type="fir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la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2EAEB"/>
      </w:tcPr>
    </w:tblStylePr>
    <w:tblStylePr w:type="band1Horz">
      <w:tblPr/>
      <w:tcPr>
        <w:tcBorders>
          <w:left w:val="nil"/>
          <w:right w:val="nil"/>
          <w:insideH w:val="nil"/>
          <w:insideV w:val="nil"/>
        </w:tcBorders>
        <w:shd w:val="clear" w:color="auto" w:fill="E2EAEB"/>
      </w:tcPr>
    </w:tblStylePr>
  </w:style>
  <w:style w:type="table" w:customStyle="1" w:styleId="LightList-Accent31221">
    <w:name w:val="Light List - Accent 31221"/>
    <w:basedOn w:val="TableNormal"/>
    <w:next w:val="LightList-Accent3"/>
    <w:uiPriority w:val="61"/>
    <w:rsid w:val="006D0778"/>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51121">
    <w:name w:val="Light List - Accent 51121"/>
    <w:basedOn w:val="TableNormal"/>
    <w:next w:val="LightList-Accent5"/>
    <w:uiPriority w:val="61"/>
    <w:rsid w:val="006D0778"/>
    <w:pPr>
      <w:spacing w:after="0" w:line="240" w:lineRule="auto"/>
    </w:pPr>
    <w:rPr>
      <w:rFonts w:ascii="Times New Roman" w:eastAsia="Constantia" w:hAnsi="Times New Roman" w:cs="Times New Roman"/>
      <w:lang w:val="sr-Cyrl-CS"/>
    </w:rPr>
    <w:tblPr>
      <w:tblStyleRowBandSize w:val="1"/>
      <w:tblStyleColBandSize w:val="1"/>
      <w:tblBorders>
        <w:top w:val="single" w:sz="8" w:space="0" w:color="8FB08C"/>
        <w:left w:val="single" w:sz="8" w:space="0" w:color="8FB08C"/>
        <w:bottom w:val="single" w:sz="8" w:space="0" w:color="8FB08C"/>
        <w:right w:val="single" w:sz="8" w:space="0" w:color="8FB08C"/>
      </w:tblBorders>
    </w:tblPr>
    <w:tblStylePr w:type="firstRow">
      <w:pPr>
        <w:spacing w:before="0" w:after="0" w:line="240" w:lineRule="auto"/>
      </w:pPr>
      <w:rPr>
        <w:b/>
        <w:bCs/>
        <w:color w:val="FFFFFF"/>
      </w:rPr>
      <w:tblPr/>
      <w:tcPr>
        <w:shd w:val="clear" w:color="auto" w:fill="8FB08C"/>
      </w:tcPr>
    </w:tblStylePr>
    <w:tblStylePr w:type="lastRow">
      <w:pPr>
        <w:spacing w:before="0" w:after="0" w:line="240" w:lineRule="auto"/>
      </w:pPr>
      <w:rPr>
        <w:b/>
        <w:bCs/>
      </w:rPr>
      <w:tblPr/>
      <w:tcPr>
        <w:tcBorders>
          <w:top w:val="double" w:sz="6" w:space="0" w:color="8FB08C"/>
          <w:left w:val="single" w:sz="8" w:space="0" w:color="8FB08C"/>
          <w:bottom w:val="single" w:sz="8" w:space="0" w:color="8FB08C"/>
          <w:right w:val="single" w:sz="8" w:space="0" w:color="8FB08C"/>
        </w:tcBorders>
      </w:tcPr>
    </w:tblStylePr>
    <w:tblStylePr w:type="firstCol">
      <w:rPr>
        <w:b/>
        <w:bCs/>
      </w:rPr>
    </w:tblStylePr>
    <w:tblStylePr w:type="lastCol">
      <w:rPr>
        <w:b/>
        <w:bCs/>
      </w:rPr>
    </w:tblStylePr>
    <w:tblStylePr w:type="band1Vert">
      <w:tblPr/>
      <w:tcPr>
        <w:tcBorders>
          <w:top w:val="single" w:sz="8" w:space="0" w:color="8FB08C"/>
          <w:left w:val="single" w:sz="8" w:space="0" w:color="8FB08C"/>
          <w:bottom w:val="single" w:sz="8" w:space="0" w:color="8FB08C"/>
          <w:right w:val="single" w:sz="8" w:space="0" w:color="8FB08C"/>
        </w:tcBorders>
      </w:tcPr>
    </w:tblStylePr>
    <w:tblStylePr w:type="band1Horz">
      <w:tblPr/>
      <w:tcPr>
        <w:tcBorders>
          <w:top w:val="single" w:sz="8" w:space="0" w:color="8FB08C"/>
          <w:left w:val="single" w:sz="8" w:space="0" w:color="8FB08C"/>
          <w:bottom w:val="single" w:sz="8" w:space="0" w:color="8FB08C"/>
          <w:right w:val="single" w:sz="8" w:space="0" w:color="8FB08C"/>
        </w:tcBorders>
      </w:tcPr>
    </w:tblStylePr>
  </w:style>
  <w:style w:type="table" w:customStyle="1" w:styleId="LightGrid-Accent51131">
    <w:name w:val="Light Grid - Accent 51131"/>
    <w:basedOn w:val="TableNormal"/>
    <w:next w:val="LightGrid-Accent5"/>
    <w:uiPriority w:val="62"/>
    <w:rsid w:val="006D0778"/>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Verdana" w:eastAsia="Times New Roman" w:hAnsi="Verdan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Verdana" w:eastAsia="Times New Roman" w:hAnsi="Verdan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Verdana" w:eastAsia="Times New Roman" w:hAnsi="Verdana" w:cs="Times New Roman"/>
        <w:b/>
        <w:bCs/>
      </w:rPr>
    </w:tblStylePr>
    <w:tblStylePr w:type="lastCol">
      <w:rPr>
        <w:rFonts w:ascii="Verdana" w:eastAsia="Times New Roman" w:hAnsi="Verdan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11121">
    <w:name w:val="Светло сенчење – наглашавање 11121"/>
    <w:basedOn w:val="TableNormal"/>
    <w:uiPriority w:val="60"/>
    <w:rsid w:val="006D0778"/>
    <w:pPr>
      <w:spacing w:after="0" w:line="240" w:lineRule="auto"/>
    </w:pPr>
    <w:rPr>
      <w:rFonts w:ascii="Calibri" w:eastAsia="Calibri" w:hAnsi="Calibri" w:cs="Times New Roman"/>
      <w:color w:val="365F91"/>
      <w:sz w:val="20"/>
      <w:szCs w:val="20"/>
      <w:lang w:val="sr-Latn-CS" w:eastAsia="en-GB"/>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Grid-Accent5231">
    <w:name w:val="Light Grid - Accent 5231"/>
    <w:basedOn w:val="TableNormal"/>
    <w:next w:val="LightGrid-Accent5"/>
    <w:uiPriority w:val="62"/>
    <w:rsid w:val="006D0778"/>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Verdana" w:eastAsia="Times New Roman" w:hAnsi="Verdana"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Verdana" w:eastAsia="Times New Roman" w:hAnsi="Verdana"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Verdana" w:eastAsia="Times New Roman" w:hAnsi="Verdana" w:cs="Times New Roman"/>
        <w:b/>
        <w:bCs/>
      </w:rPr>
    </w:tblStylePr>
    <w:tblStylePr w:type="lastCol">
      <w:rPr>
        <w:rFonts w:ascii="Verdana" w:eastAsia="Times New Roman" w:hAnsi="Verdana"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List-Accent32121">
    <w:name w:val="Light List - Accent 32121"/>
    <w:basedOn w:val="TableNormal"/>
    <w:next w:val="LightList-Accent3"/>
    <w:uiPriority w:val="61"/>
    <w:rsid w:val="006D0778"/>
    <w:pPr>
      <w:spacing w:after="0" w:line="240" w:lineRule="auto"/>
    </w:pPr>
    <w:rPr>
      <w:rFonts w:ascii="Calibri" w:eastAsia="Calibri" w:hAnsi="Calibri" w:cs="Times New Roman"/>
      <w:sz w:val="20"/>
      <w:szCs w:val="20"/>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311121">
    <w:name w:val="Light List - Accent 311121"/>
    <w:basedOn w:val="TableNormal"/>
    <w:next w:val="LightList-Accent3"/>
    <w:uiPriority w:val="61"/>
    <w:rsid w:val="006D0778"/>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Shading-Accent13321">
    <w:name w:val="Light Shading - Accent 1332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121">
    <w:name w:val="Light Shading - Accent 13112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2121">
    <w:name w:val="Light Shading - Accent 13212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221">
    <w:name w:val="Light Shading - Accent 11221"/>
    <w:basedOn w:val="TableNormal"/>
    <w:uiPriority w:val="60"/>
    <w:rsid w:val="006D0778"/>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421">
    <w:name w:val="Light Shading - Accent 1342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321">
    <w:name w:val="Light Shading - Accent 11321"/>
    <w:basedOn w:val="TableNormal"/>
    <w:uiPriority w:val="60"/>
    <w:rsid w:val="006D0778"/>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521">
    <w:name w:val="Light Shading - Accent 1352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631">
    <w:name w:val="Light Shading - Accent 1363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721">
    <w:name w:val="Light Shading - Accent 1372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tabele3221">
    <w:name w:val="tabele 3221"/>
    <w:basedOn w:val="TableNormal"/>
    <w:next w:val="LightList-Accent3"/>
    <w:uiPriority w:val="61"/>
    <w:rsid w:val="006D0778"/>
    <w:pPr>
      <w:spacing w:after="0" w:line="240" w:lineRule="auto"/>
    </w:pPr>
    <w:rPr>
      <w:rFonts w:ascii="Cambria Math" w:eastAsia="Calibri" w:hAnsi="Cambria Math" w:cs="Times New Roman"/>
      <w:sz w:val="18"/>
      <w:lang w:val="sr-Cyrl-CS"/>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LightShading-Accent11421">
    <w:name w:val="Light Shading - Accent 11421"/>
    <w:basedOn w:val="TableNormal"/>
    <w:uiPriority w:val="60"/>
    <w:rsid w:val="006D0778"/>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3353">
    <w:name w:val="Light Shading - Accent 3353"/>
    <w:basedOn w:val="TableNormal"/>
    <w:next w:val="LightShading-Accent3"/>
    <w:uiPriority w:val="60"/>
    <w:rsid w:val="006D0778"/>
    <w:pPr>
      <w:spacing w:after="0" w:line="240" w:lineRule="auto"/>
    </w:pPr>
    <w:rPr>
      <w:rFonts w:ascii="Arial" w:eastAsia="Calibri" w:hAnsi="Arial" w:cs="Times New Roman"/>
      <w:color w:val="474747"/>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List-Accent5321">
    <w:name w:val="Light List - Accent 5321"/>
    <w:basedOn w:val="TableNormal"/>
    <w:next w:val="LightList-Accent5"/>
    <w:uiPriority w:val="61"/>
    <w:rsid w:val="006D0778"/>
    <w:pPr>
      <w:spacing w:after="0" w:line="240" w:lineRule="auto"/>
    </w:pPr>
    <w:rPr>
      <w:rFonts w:ascii="Calibri" w:eastAsia="Calibri" w:hAnsi="Calibri" w:cs="Times New Roman"/>
      <w:sz w:val="20"/>
      <w:szCs w:val="20"/>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Shading-Accent31221">
    <w:name w:val="Light Shading - Accent 31221"/>
    <w:basedOn w:val="TableNormal"/>
    <w:next w:val="LightShading-Accent3"/>
    <w:uiPriority w:val="60"/>
    <w:rsid w:val="006D0778"/>
    <w:pPr>
      <w:spacing w:after="0" w:line="240" w:lineRule="auto"/>
    </w:pPr>
    <w:rPr>
      <w:rFonts w:ascii="Constantia" w:eastAsia="Constantia" w:hAnsi="Constantia" w:cs="Times New Roman"/>
      <w:color w:val="8CADAE"/>
      <w:lang w:val="sr-Cyrl-CS"/>
    </w:rPr>
    <w:tblPr>
      <w:tblStyleRowBandSize w:val="1"/>
      <w:tblStyleColBandSize w:val="1"/>
      <w:tblBorders>
        <w:top w:val="single" w:sz="8" w:space="0" w:color="8CADAE"/>
        <w:bottom w:val="single" w:sz="8" w:space="0" w:color="8CADAE"/>
      </w:tblBorders>
    </w:tblPr>
    <w:tblStylePr w:type="fir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la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2EAEB"/>
      </w:tcPr>
    </w:tblStylePr>
    <w:tblStylePr w:type="band1Horz">
      <w:tblPr/>
      <w:tcPr>
        <w:tcBorders>
          <w:left w:val="nil"/>
          <w:right w:val="nil"/>
          <w:insideH w:val="nil"/>
          <w:insideV w:val="nil"/>
        </w:tcBorders>
        <w:shd w:val="clear" w:color="auto" w:fill="E2EAEB"/>
      </w:tcPr>
    </w:tblStylePr>
  </w:style>
  <w:style w:type="table" w:customStyle="1" w:styleId="LightList-Accent31321">
    <w:name w:val="Light List - Accent 31321"/>
    <w:basedOn w:val="TableNormal"/>
    <w:next w:val="LightList-Accent3"/>
    <w:uiPriority w:val="61"/>
    <w:rsid w:val="006D0778"/>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51221">
    <w:name w:val="Light List - Accent 51221"/>
    <w:basedOn w:val="TableNormal"/>
    <w:next w:val="LightList-Accent5"/>
    <w:uiPriority w:val="61"/>
    <w:rsid w:val="006D0778"/>
    <w:pPr>
      <w:spacing w:after="0" w:line="240" w:lineRule="auto"/>
    </w:pPr>
    <w:rPr>
      <w:rFonts w:ascii="Times New Roman" w:eastAsia="Constantia" w:hAnsi="Times New Roman" w:cs="Times New Roman"/>
      <w:lang w:val="sr-Cyrl-CS"/>
    </w:rPr>
    <w:tblPr>
      <w:tblStyleRowBandSize w:val="1"/>
      <w:tblStyleColBandSize w:val="1"/>
      <w:tblBorders>
        <w:top w:val="single" w:sz="8" w:space="0" w:color="8FB08C"/>
        <w:left w:val="single" w:sz="8" w:space="0" w:color="8FB08C"/>
        <w:bottom w:val="single" w:sz="8" w:space="0" w:color="8FB08C"/>
        <w:right w:val="single" w:sz="8" w:space="0" w:color="8FB08C"/>
      </w:tblBorders>
    </w:tblPr>
    <w:tblStylePr w:type="firstRow">
      <w:pPr>
        <w:spacing w:before="0" w:after="0" w:line="240" w:lineRule="auto"/>
      </w:pPr>
      <w:rPr>
        <w:b/>
        <w:bCs/>
        <w:color w:val="FFFFFF"/>
      </w:rPr>
      <w:tblPr/>
      <w:tcPr>
        <w:shd w:val="clear" w:color="auto" w:fill="8FB08C"/>
      </w:tcPr>
    </w:tblStylePr>
    <w:tblStylePr w:type="lastRow">
      <w:pPr>
        <w:spacing w:before="0" w:after="0" w:line="240" w:lineRule="auto"/>
      </w:pPr>
      <w:rPr>
        <w:b/>
        <w:bCs/>
      </w:rPr>
      <w:tblPr/>
      <w:tcPr>
        <w:tcBorders>
          <w:top w:val="double" w:sz="6" w:space="0" w:color="8FB08C"/>
          <w:left w:val="single" w:sz="8" w:space="0" w:color="8FB08C"/>
          <w:bottom w:val="single" w:sz="8" w:space="0" w:color="8FB08C"/>
          <w:right w:val="single" w:sz="8" w:space="0" w:color="8FB08C"/>
        </w:tcBorders>
      </w:tcPr>
    </w:tblStylePr>
    <w:tblStylePr w:type="firstCol">
      <w:rPr>
        <w:b/>
        <w:bCs/>
      </w:rPr>
    </w:tblStylePr>
    <w:tblStylePr w:type="lastCol">
      <w:rPr>
        <w:b/>
        <w:bCs/>
      </w:rPr>
    </w:tblStylePr>
    <w:tblStylePr w:type="band1Vert">
      <w:tblPr/>
      <w:tcPr>
        <w:tcBorders>
          <w:top w:val="single" w:sz="8" w:space="0" w:color="8FB08C"/>
          <w:left w:val="single" w:sz="8" w:space="0" w:color="8FB08C"/>
          <w:bottom w:val="single" w:sz="8" w:space="0" w:color="8FB08C"/>
          <w:right w:val="single" w:sz="8" w:space="0" w:color="8FB08C"/>
        </w:tcBorders>
      </w:tcPr>
    </w:tblStylePr>
    <w:tblStylePr w:type="band1Horz">
      <w:tblPr/>
      <w:tcPr>
        <w:tcBorders>
          <w:top w:val="single" w:sz="8" w:space="0" w:color="8FB08C"/>
          <w:left w:val="single" w:sz="8" w:space="0" w:color="8FB08C"/>
          <w:bottom w:val="single" w:sz="8" w:space="0" w:color="8FB08C"/>
          <w:right w:val="single" w:sz="8" w:space="0" w:color="8FB08C"/>
        </w:tcBorders>
      </w:tcPr>
    </w:tblStylePr>
  </w:style>
  <w:style w:type="table" w:customStyle="1" w:styleId="LightGrid-Accent51231">
    <w:name w:val="Light Grid - Accent 51231"/>
    <w:basedOn w:val="TableNormal"/>
    <w:next w:val="LightGrid-Accent5"/>
    <w:uiPriority w:val="62"/>
    <w:rsid w:val="006D0778"/>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Verdana" w:eastAsia="Times New Roman" w:hAnsi="Verdan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Verdana" w:eastAsia="Times New Roman" w:hAnsi="Verdan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Verdana" w:eastAsia="Times New Roman" w:hAnsi="Verdana" w:cs="Times New Roman"/>
        <w:b/>
        <w:bCs/>
      </w:rPr>
    </w:tblStylePr>
    <w:tblStylePr w:type="lastCol">
      <w:rPr>
        <w:rFonts w:ascii="Verdana" w:eastAsia="Times New Roman" w:hAnsi="Verdan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11221">
    <w:name w:val="Светло сенчење – наглашавање 11221"/>
    <w:basedOn w:val="TableNormal"/>
    <w:uiPriority w:val="60"/>
    <w:rsid w:val="006D0778"/>
    <w:pPr>
      <w:spacing w:after="0" w:line="240" w:lineRule="auto"/>
    </w:pPr>
    <w:rPr>
      <w:rFonts w:ascii="Calibri" w:eastAsia="Calibri" w:hAnsi="Calibri" w:cs="Times New Roman"/>
      <w:color w:val="365F91"/>
      <w:sz w:val="20"/>
      <w:szCs w:val="20"/>
      <w:lang w:val="sr-Latn-CS" w:eastAsia="en-GB"/>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Grid-Accent5331">
    <w:name w:val="Light Grid - Accent 5331"/>
    <w:basedOn w:val="TableNormal"/>
    <w:next w:val="LightGrid-Accent5"/>
    <w:uiPriority w:val="62"/>
    <w:rsid w:val="006D0778"/>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Verdana" w:eastAsia="Times New Roman" w:hAnsi="Verdana"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Verdana" w:eastAsia="Times New Roman" w:hAnsi="Verdana"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Verdana" w:eastAsia="Times New Roman" w:hAnsi="Verdana" w:cs="Times New Roman"/>
        <w:b/>
        <w:bCs/>
      </w:rPr>
    </w:tblStylePr>
    <w:tblStylePr w:type="lastCol">
      <w:rPr>
        <w:rFonts w:ascii="Verdana" w:eastAsia="Times New Roman" w:hAnsi="Verdana"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List-Accent32221">
    <w:name w:val="Light List - Accent 32221"/>
    <w:basedOn w:val="TableNormal"/>
    <w:next w:val="LightList-Accent3"/>
    <w:uiPriority w:val="61"/>
    <w:rsid w:val="006D0778"/>
    <w:pPr>
      <w:spacing w:after="0" w:line="240" w:lineRule="auto"/>
    </w:pPr>
    <w:rPr>
      <w:rFonts w:ascii="Calibri" w:eastAsia="Calibri" w:hAnsi="Calibri" w:cs="Times New Roman"/>
      <w:sz w:val="20"/>
      <w:szCs w:val="20"/>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311221">
    <w:name w:val="Light List - Accent 311221"/>
    <w:basedOn w:val="TableNormal"/>
    <w:next w:val="LightList-Accent3"/>
    <w:uiPriority w:val="61"/>
    <w:rsid w:val="006D0778"/>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Shading-Accent13831">
    <w:name w:val="Light Shading - Accent 1383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221">
    <w:name w:val="Light Shading - Accent 13122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2221">
    <w:name w:val="Light Shading - Accent 13222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521">
    <w:name w:val="Light Shading - Accent 11521"/>
    <w:basedOn w:val="TableNormal"/>
    <w:uiPriority w:val="60"/>
    <w:rsid w:val="006D0778"/>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931">
    <w:name w:val="Light Shading - Accent 1393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631">
    <w:name w:val="Light Shading - Accent 11631"/>
    <w:basedOn w:val="TableNormal"/>
    <w:uiPriority w:val="60"/>
    <w:rsid w:val="006D0778"/>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031">
    <w:name w:val="Light Shading - Accent 13103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321">
    <w:name w:val="Light Shading - Accent 13132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tabele3321">
    <w:name w:val="tabele 3321"/>
    <w:basedOn w:val="TableNormal"/>
    <w:next w:val="LightList-Accent3"/>
    <w:uiPriority w:val="61"/>
    <w:rsid w:val="006D0778"/>
    <w:pPr>
      <w:spacing w:after="0" w:line="240" w:lineRule="auto"/>
    </w:pPr>
    <w:rPr>
      <w:rFonts w:ascii="Cambria Math" w:eastAsia="Calibri" w:hAnsi="Cambria Math" w:cs="Times New Roman"/>
      <w:sz w:val="18"/>
      <w:lang w:val="sr-Cyrl-CS"/>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LightShading-Accent11721">
    <w:name w:val="Light Shading - Accent 11721"/>
    <w:basedOn w:val="TableNormal"/>
    <w:uiPriority w:val="60"/>
    <w:rsid w:val="006D0778"/>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3441">
    <w:name w:val="Light Shading - Accent 3441"/>
    <w:basedOn w:val="TableNormal"/>
    <w:next w:val="LightShading-Accent3"/>
    <w:uiPriority w:val="60"/>
    <w:rsid w:val="006D0778"/>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List-Accent5421">
    <w:name w:val="Light List - Accent 5421"/>
    <w:basedOn w:val="TableNormal"/>
    <w:next w:val="LightList-Accent5"/>
    <w:uiPriority w:val="61"/>
    <w:rsid w:val="006D0778"/>
    <w:pPr>
      <w:spacing w:after="0" w:line="240" w:lineRule="auto"/>
    </w:pPr>
    <w:rPr>
      <w:rFonts w:ascii="Calibri" w:eastAsia="Calibri" w:hAnsi="Calibri" w:cs="Times New Roman"/>
      <w:sz w:val="20"/>
      <w:szCs w:val="20"/>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Shading-Accent31321">
    <w:name w:val="Light Shading - Accent 31321"/>
    <w:basedOn w:val="TableNormal"/>
    <w:next w:val="LightShading-Accent3"/>
    <w:uiPriority w:val="60"/>
    <w:rsid w:val="006D0778"/>
    <w:pPr>
      <w:spacing w:after="0" w:line="240" w:lineRule="auto"/>
    </w:pPr>
    <w:rPr>
      <w:rFonts w:ascii="Constantia" w:eastAsia="Constantia" w:hAnsi="Constantia" w:cs="Times New Roman"/>
      <w:color w:val="8CADAE"/>
      <w:lang w:val="sr-Cyrl-CS"/>
    </w:rPr>
    <w:tblPr>
      <w:tblStyleRowBandSize w:val="1"/>
      <w:tblStyleColBandSize w:val="1"/>
      <w:tblBorders>
        <w:top w:val="single" w:sz="8" w:space="0" w:color="8CADAE"/>
        <w:bottom w:val="single" w:sz="8" w:space="0" w:color="8CADAE"/>
      </w:tblBorders>
    </w:tblPr>
    <w:tblStylePr w:type="fir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la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2EAEB"/>
      </w:tcPr>
    </w:tblStylePr>
    <w:tblStylePr w:type="band1Horz">
      <w:tblPr/>
      <w:tcPr>
        <w:tcBorders>
          <w:left w:val="nil"/>
          <w:right w:val="nil"/>
          <w:insideH w:val="nil"/>
          <w:insideV w:val="nil"/>
        </w:tcBorders>
        <w:shd w:val="clear" w:color="auto" w:fill="E2EAEB"/>
      </w:tcPr>
    </w:tblStylePr>
  </w:style>
  <w:style w:type="table" w:customStyle="1" w:styleId="LightList-Accent31421">
    <w:name w:val="Light List - Accent 31421"/>
    <w:basedOn w:val="TableNormal"/>
    <w:next w:val="LightList-Accent3"/>
    <w:uiPriority w:val="61"/>
    <w:rsid w:val="006D0778"/>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51321">
    <w:name w:val="Light List - Accent 51321"/>
    <w:basedOn w:val="TableNormal"/>
    <w:next w:val="LightList-Accent5"/>
    <w:uiPriority w:val="61"/>
    <w:rsid w:val="006D0778"/>
    <w:pPr>
      <w:spacing w:after="0" w:line="240" w:lineRule="auto"/>
    </w:pPr>
    <w:rPr>
      <w:rFonts w:ascii="Times New Roman" w:eastAsia="Constantia" w:hAnsi="Times New Roman" w:cs="Times New Roman"/>
      <w:lang w:val="sr-Cyrl-CS"/>
    </w:rPr>
    <w:tblPr>
      <w:tblStyleRowBandSize w:val="1"/>
      <w:tblStyleColBandSize w:val="1"/>
      <w:tblBorders>
        <w:top w:val="single" w:sz="8" w:space="0" w:color="8FB08C"/>
        <w:left w:val="single" w:sz="8" w:space="0" w:color="8FB08C"/>
        <w:bottom w:val="single" w:sz="8" w:space="0" w:color="8FB08C"/>
        <w:right w:val="single" w:sz="8" w:space="0" w:color="8FB08C"/>
      </w:tblBorders>
    </w:tblPr>
    <w:tblStylePr w:type="firstRow">
      <w:pPr>
        <w:spacing w:before="0" w:after="0" w:line="240" w:lineRule="auto"/>
      </w:pPr>
      <w:rPr>
        <w:b/>
        <w:bCs/>
        <w:color w:val="FFFFFF"/>
      </w:rPr>
      <w:tblPr/>
      <w:tcPr>
        <w:shd w:val="clear" w:color="auto" w:fill="8FB08C"/>
      </w:tcPr>
    </w:tblStylePr>
    <w:tblStylePr w:type="lastRow">
      <w:pPr>
        <w:spacing w:before="0" w:after="0" w:line="240" w:lineRule="auto"/>
      </w:pPr>
      <w:rPr>
        <w:b/>
        <w:bCs/>
      </w:rPr>
      <w:tblPr/>
      <w:tcPr>
        <w:tcBorders>
          <w:top w:val="double" w:sz="6" w:space="0" w:color="8FB08C"/>
          <w:left w:val="single" w:sz="8" w:space="0" w:color="8FB08C"/>
          <w:bottom w:val="single" w:sz="8" w:space="0" w:color="8FB08C"/>
          <w:right w:val="single" w:sz="8" w:space="0" w:color="8FB08C"/>
        </w:tcBorders>
      </w:tcPr>
    </w:tblStylePr>
    <w:tblStylePr w:type="firstCol">
      <w:rPr>
        <w:b/>
        <w:bCs/>
      </w:rPr>
    </w:tblStylePr>
    <w:tblStylePr w:type="lastCol">
      <w:rPr>
        <w:b/>
        <w:bCs/>
      </w:rPr>
    </w:tblStylePr>
    <w:tblStylePr w:type="band1Vert">
      <w:tblPr/>
      <w:tcPr>
        <w:tcBorders>
          <w:top w:val="single" w:sz="8" w:space="0" w:color="8FB08C"/>
          <w:left w:val="single" w:sz="8" w:space="0" w:color="8FB08C"/>
          <w:bottom w:val="single" w:sz="8" w:space="0" w:color="8FB08C"/>
          <w:right w:val="single" w:sz="8" w:space="0" w:color="8FB08C"/>
        </w:tcBorders>
      </w:tcPr>
    </w:tblStylePr>
    <w:tblStylePr w:type="band1Horz">
      <w:tblPr/>
      <w:tcPr>
        <w:tcBorders>
          <w:top w:val="single" w:sz="8" w:space="0" w:color="8FB08C"/>
          <w:left w:val="single" w:sz="8" w:space="0" w:color="8FB08C"/>
          <w:bottom w:val="single" w:sz="8" w:space="0" w:color="8FB08C"/>
          <w:right w:val="single" w:sz="8" w:space="0" w:color="8FB08C"/>
        </w:tcBorders>
      </w:tcPr>
    </w:tblStylePr>
  </w:style>
  <w:style w:type="table" w:customStyle="1" w:styleId="LightGrid-Accent51331">
    <w:name w:val="Light Grid - Accent 51331"/>
    <w:basedOn w:val="TableNormal"/>
    <w:next w:val="LightGrid-Accent5"/>
    <w:uiPriority w:val="62"/>
    <w:rsid w:val="006D0778"/>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Verdana" w:eastAsia="Times New Roman" w:hAnsi="Verdan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Verdana" w:eastAsia="Times New Roman" w:hAnsi="Verdan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Verdana" w:eastAsia="Times New Roman" w:hAnsi="Verdana" w:cs="Times New Roman"/>
        <w:b/>
        <w:bCs/>
      </w:rPr>
    </w:tblStylePr>
    <w:tblStylePr w:type="lastCol">
      <w:rPr>
        <w:rFonts w:ascii="Verdana" w:eastAsia="Times New Roman" w:hAnsi="Verdan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11321">
    <w:name w:val="Светло сенчење – наглашавање 11321"/>
    <w:basedOn w:val="TableNormal"/>
    <w:uiPriority w:val="60"/>
    <w:rsid w:val="006D0778"/>
    <w:pPr>
      <w:spacing w:after="0" w:line="240" w:lineRule="auto"/>
    </w:pPr>
    <w:rPr>
      <w:rFonts w:ascii="Calibri" w:eastAsia="Calibri" w:hAnsi="Calibri" w:cs="Times New Roman"/>
      <w:color w:val="365F91"/>
      <w:sz w:val="20"/>
      <w:szCs w:val="20"/>
      <w:lang w:val="sr-Latn-CS" w:eastAsia="en-GB"/>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Grid-Accent5431">
    <w:name w:val="Light Grid - Accent 5431"/>
    <w:basedOn w:val="TableNormal"/>
    <w:next w:val="LightGrid-Accent5"/>
    <w:uiPriority w:val="62"/>
    <w:rsid w:val="006D0778"/>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Verdana" w:eastAsia="Times New Roman" w:hAnsi="Verdana"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Verdana" w:eastAsia="Times New Roman" w:hAnsi="Verdana"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Verdana" w:eastAsia="Times New Roman" w:hAnsi="Verdana" w:cs="Times New Roman"/>
        <w:b/>
        <w:bCs/>
      </w:rPr>
    </w:tblStylePr>
    <w:tblStylePr w:type="lastCol">
      <w:rPr>
        <w:rFonts w:ascii="Verdana" w:eastAsia="Times New Roman" w:hAnsi="Verdana"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Shading-Accent12321">
    <w:name w:val="Light Shading - Accent 12321"/>
    <w:basedOn w:val="TableNormal"/>
    <w:uiPriority w:val="60"/>
    <w:rsid w:val="006D0778"/>
    <w:pPr>
      <w:spacing w:after="0" w:line="240" w:lineRule="auto"/>
    </w:pPr>
    <w:rPr>
      <w:rFonts w:ascii="Cambria" w:eastAsia="Calibri" w:hAnsi="Cambria" w:cs="Times New Roman"/>
      <w:color w:val="A8422A"/>
      <w:sz w:val="20"/>
      <w:szCs w:val="20"/>
      <w:lang w:val="en-GB" w:eastAsia="sr-Cyrl-CS"/>
    </w:rPr>
    <w:tblPr>
      <w:tblStyleRowBandSize w:val="1"/>
      <w:tblStyleColBandSize w:val="1"/>
      <w:tblBorders>
        <w:top w:val="single" w:sz="8" w:space="0" w:color="D16349"/>
        <w:bottom w:val="single" w:sz="8" w:space="0" w:color="D16349"/>
      </w:tblBorders>
    </w:tblPr>
    <w:tblStylePr w:type="fir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la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D8D2"/>
      </w:tcPr>
    </w:tblStylePr>
    <w:tblStylePr w:type="band1Horz">
      <w:tblPr/>
      <w:tcPr>
        <w:tcBorders>
          <w:left w:val="nil"/>
          <w:right w:val="nil"/>
          <w:insideH w:val="nil"/>
          <w:insideV w:val="nil"/>
        </w:tcBorders>
        <w:shd w:val="clear" w:color="auto" w:fill="F3D8D2"/>
      </w:tcPr>
    </w:tblStylePr>
  </w:style>
  <w:style w:type="table" w:customStyle="1" w:styleId="LightList-Accent32321">
    <w:name w:val="Light List - Accent 32321"/>
    <w:basedOn w:val="TableNormal"/>
    <w:next w:val="LightList-Accent3"/>
    <w:uiPriority w:val="61"/>
    <w:rsid w:val="006D0778"/>
    <w:pPr>
      <w:spacing w:after="0" w:line="240" w:lineRule="auto"/>
    </w:pPr>
    <w:rPr>
      <w:rFonts w:ascii="Calibri" w:eastAsia="Calibri" w:hAnsi="Calibri" w:cs="Times New Roman"/>
      <w:sz w:val="20"/>
      <w:szCs w:val="20"/>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311321">
    <w:name w:val="Light List - Accent 311321"/>
    <w:basedOn w:val="TableNormal"/>
    <w:next w:val="LightList-Accent3"/>
    <w:uiPriority w:val="61"/>
    <w:rsid w:val="006D0778"/>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Shading-Accent131421">
    <w:name w:val="Light Shading - Accent 13142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521">
    <w:name w:val="Light Shading - Accent 13152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2321">
    <w:name w:val="Light Shading - Accent 13232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621">
    <w:name w:val="Light Shading - Accent 13162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8121">
    <w:name w:val="Light Shading - Accent 13812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821">
    <w:name w:val="Light Shading - Accent 11821"/>
    <w:basedOn w:val="TableNormal"/>
    <w:uiPriority w:val="60"/>
    <w:rsid w:val="006D0778"/>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9121">
    <w:name w:val="Light Shading - Accent 13912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6121">
    <w:name w:val="Light Shading - Accent 116121"/>
    <w:basedOn w:val="TableNormal"/>
    <w:uiPriority w:val="60"/>
    <w:rsid w:val="006D0778"/>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0121">
    <w:name w:val="Light Shading - Accent 131012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6121">
    <w:name w:val="Light Shading - Accent 13612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921">
    <w:name w:val="Light Shading - Accent 1192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411">
    <w:name w:val="Light Shading - Accent 1411"/>
    <w:basedOn w:val="TableNormal"/>
    <w:next w:val="LightShading-Accent1"/>
    <w:uiPriority w:val="60"/>
    <w:rsid w:val="006D0778"/>
    <w:pPr>
      <w:spacing w:after="0" w:line="240" w:lineRule="auto"/>
    </w:pPr>
    <w:rPr>
      <w:color w:val="BF2B0E"/>
    </w:rPr>
    <w:tblPr>
      <w:tblStyleRowBandSize w:val="1"/>
      <w:tblStyleColBandSize w:val="1"/>
      <w:tblBorders>
        <w:top w:val="single" w:sz="8" w:space="0" w:color="EF4623"/>
        <w:bottom w:val="single" w:sz="8" w:space="0" w:color="EF4623"/>
      </w:tblBorders>
    </w:tblPr>
    <w:tblStylePr w:type="firstRow">
      <w:pPr>
        <w:spacing w:before="0" w:after="0" w:line="240" w:lineRule="auto"/>
      </w:pPr>
      <w:rPr>
        <w:b/>
        <w:bCs/>
      </w:rPr>
      <w:tblPr/>
      <w:tcPr>
        <w:tcBorders>
          <w:top w:val="single" w:sz="8" w:space="0" w:color="EF4623"/>
          <w:left w:val="nil"/>
          <w:bottom w:val="single" w:sz="8" w:space="0" w:color="EF4623"/>
          <w:right w:val="nil"/>
          <w:insideH w:val="nil"/>
          <w:insideV w:val="nil"/>
        </w:tcBorders>
      </w:tcPr>
    </w:tblStylePr>
    <w:tblStylePr w:type="lastRow">
      <w:pPr>
        <w:spacing w:before="0" w:after="0" w:line="240" w:lineRule="auto"/>
      </w:pPr>
      <w:rPr>
        <w:b/>
        <w:bCs/>
      </w:rPr>
      <w:tblPr/>
      <w:tcPr>
        <w:tcBorders>
          <w:top w:val="single" w:sz="8" w:space="0" w:color="EF4623"/>
          <w:left w:val="nil"/>
          <w:bottom w:val="single" w:sz="8" w:space="0" w:color="EF462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BD1C8"/>
      </w:tcPr>
    </w:tblStylePr>
    <w:tblStylePr w:type="band1Horz">
      <w:tblPr/>
      <w:tcPr>
        <w:tcBorders>
          <w:left w:val="nil"/>
          <w:right w:val="nil"/>
          <w:insideH w:val="nil"/>
          <w:insideV w:val="nil"/>
        </w:tcBorders>
        <w:shd w:val="clear" w:color="auto" w:fill="FBD1C8"/>
      </w:tcPr>
    </w:tblStylePr>
  </w:style>
  <w:style w:type="table" w:customStyle="1" w:styleId="LightShading-Accent33121">
    <w:name w:val="Light Shading - Accent 33121"/>
    <w:basedOn w:val="TableNormal"/>
    <w:next w:val="LightShading-Accent3"/>
    <w:uiPriority w:val="60"/>
    <w:rsid w:val="006D0778"/>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Shading-Accent33221">
    <w:name w:val="Light Shading - Accent 33221"/>
    <w:basedOn w:val="TableNormal"/>
    <w:next w:val="LightShading-Accent3"/>
    <w:uiPriority w:val="60"/>
    <w:rsid w:val="006D0778"/>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Shading-Accent33321">
    <w:name w:val="Light Shading - Accent 33321"/>
    <w:basedOn w:val="TableNormal"/>
    <w:next w:val="LightShading-Accent3"/>
    <w:uiPriority w:val="60"/>
    <w:rsid w:val="006D0778"/>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Shading-Accent34121">
    <w:name w:val="Light Shading - Accent 34121"/>
    <w:basedOn w:val="TableNormal"/>
    <w:next w:val="LightShading-Accent3"/>
    <w:uiPriority w:val="60"/>
    <w:rsid w:val="006D0778"/>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Shading-Accent34221">
    <w:name w:val="Light Shading - Accent 34221"/>
    <w:basedOn w:val="TableNormal"/>
    <w:next w:val="LightShading-Accent3"/>
    <w:uiPriority w:val="60"/>
    <w:rsid w:val="006D0778"/>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Grid-Accent51421">
    <w:name w:val="Light Grid - Accent 51421"/>
    <w:basedOn w:val="TableNormal"/>
    <w:next w:val="LightGrid-Accent5"/>
    <w:uiPriority w:val="62"/>
    <w:rsid w:val="006D0778"/>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5521">
    <w:name w:val="Light Grid - Accent 5521"/>
    <w:basedOn w:val="TableNormal"/>
    <w:next w:val="LightGrid-Accent5"/>
    <w:uiPriority w:val="62"/>
    <w:rsid w:val="006D0778"/>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Grid-Accent511121">
    <w:name w:val="Light Grid - Accent 511121"/>
    <w:basedOn w:val="TableNormal"/>
    <w:next w:val="LightGrid-Accent5"/>
    <w:uiPriority w:val="62"/>
    <w:rsid w:val="006D0778"/>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52121">
    <w:name w:val="Light Grid - Accent 52121"/>
    <w:basedOn w:val="TableNormal"/>
    <w:next w:val="LightGrid-Accent5"/>
    <w:uiPriority w:val="62"/>
    <w:rsid w:val="006D0778"/>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Grid-Accent512121">
    <w:name w:val="Light Grid - Accent 512121"/>
    <w:basedOn w:val="TableNormal"/>
    <w:next w:val="LightGrid-Accent5"/>
    <w:uiPriority w:val="62"/>
    <w:rsid w:val="006D0778"/>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53121">
    <w:name w:val="Light Grid - Accent 53121"/>
    <w:basedOn w:val="TableNormal"/>
    <w:next w:val="LightGrid-Accent5"/>
    <w:uiPriority w:val="62"/>
    <w:rsid w:val="006D0778"/>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Grid-Accent513121">
    <w:name w:val="Light Grid - Accent 513121"/>
    <w:basedOn w:val="TableNormal"/>
    <w:next w:val="LightGrid-Accent5"/>
    <w:uiPriority w:val="62"/>
    <w:rsid w:val="006D0778"/>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54121">
    <w:name w:val="Light Grid - Accent 54121"/>
    <w:basedOn w:val="TableNormal"/>
    <w:next w:val="LightGrid-Accent5"/>
    <w:uiPriority w:val="62"/>
    <w:rsid w:val="006D0778"/>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Shading-Accent6121">
    <w:name w:val="Light Shading - Accent 6121"/>
    <w:basedOn w:val="TableNormal"/>
    <w:next w:val="LightShading-Accent6"/>
    <w:uiPriority w:val="60"/>
    <w:rsid w:val="006D0778"/>
    <w:pPr>
      <w:spacing w:after="0" w:line="240" w:lineRule="auto"/>
    </w:pPr>
    <w:rPr>
      <w:rFonts w:ascii="Calibri" w:eastAsia="Calibri" w:hAnsi="Calibri" w:cs="Times New Roman"/>
      <w:color w:val="393939"/>
      <w:sz w:val="20"/>
      <w:szCs w:val="20"/>
    </w:rPr>
    <w:tblPr>
      <w:tblStyleRowBandSize w:val="1"/>
      <w:tblStyleColBandSize w:val="1"/>
      <w:tblBorders>
        <w:top w:val="single" w:sz="8" w:space="0" w:color="4D4D4D"/>
        <w:bottom w:val="single" w:sz="8" w:space="0" w:color="4D4D4D"/>
      </w:tblBorders>
    </w:tblPr>
    <w:tblStylePr w:type="firstRow">
      <w:pPr>
        <w:spacing w:beforeLines="0" w:before="0" w:beforeAutospacing="0" w:afterLines="0" w:after="0" w:afterAutospacing="0" w:line="240" w:lineRule="auto"/>
      </w:pPr>
      <w:rPr>
        <w:b/>
        <w:bCs/>
      </w:rPr>
      <w:tblPr/>
      <w:tcPr>
        <w:tcBorders>
          <w:top w:val="single" w:sz="8" w:space="0" w:color="4D4D4D"/>
          <w:left w:val="nil"/>
          <w:bottom w:val="single" w:sz="8" w:space="0" w:color="4D4D4D"/>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4D4D4D"/>
          <w:left w:val="nil"/>
          <w:bottom w:val="single" w:sz="8" w:space="0" w:color="4D4D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3D3"/>
      </w:tcPr>
    </w:tblStylePr>
    <w:tblStylePr w:type="band1Horz">
      <w:tblPr/>
      <w:tcPr>
        <w:tcBorders>
          <w:left w:val="nil"/>
          <w:right w:val="nil"/>
          <w:insideH w:val="nil"/>
          <w:insideV w:val="nil"/>
        </w:tcBorders>
        <w:shd w:val="clear" w:color="auto" w:fill="D3D3D3"/>
      </w:tcPr>
    </w:tblStylePr>
  </w:style>
  <w:style w:type="table" w:customStyle="1" w:styleId="GridTable6Colorful-Accent4121">
    <w:name w:val="Grid Table 6 Colorful - Accent 4121"/>
    <w:basedOn w:val="TableNormal"/>
    <w:next w:val="GridTable6Colorful-Accent430"/>
    <w:uiPriority w:val="51"/>
    <w:rsid w:val="006D0778"/>
    <w:pPr>
      <w:spacing w:after="0" w:line="240" w:lineRule="auto"/>
    </w:pPr>
    <w:rPr>
      <w:color w:val="5F5F5F"/>
    </w:rPr>
    <w:tblPr>
      <w:tblStyleRowBandSize w:val="1"/>
      <w:tblStyleColBandSize w:val="1"/>
      <w:tblBorders>
        <w:top w:val="single" w:sz="4" w:space="0" w:color="B2B2B2"/>
        <w:left w:val="single" w:sz="4" w:space="0" w:color="B2B2B2"/>
        <w:bottom w:val="single" w:sz="4" w:space="0" w:color="B2B2B2"/>
        <w:right w:val="single" w:sz="4" w:space="0" w:color="B2B2B2"/>
        <w:insideH w:val="single" w:sz="4" w:space="0" w:color="B2B2B2"/>
        <w:insideV w:val="single" w:sz="4" w:space="0" w:color="B2B2B2"/>
      </w:tblBorders>
    </w:tblPr>
    <w:tblStylePr w:type="firstRow">
      <w:rPr>
        <w:b/>
        <w:bCs/>
      </w:rPr>
      <w:tblPr/>
      <w:tcPr>
        <w:tcBorders>
          <w:bottom w:val="single" w:sz="12" w:space="0" w:color="B2B2B2"/>
        </w:tcBorders>
      </w:tcPr>
    </w:tblStylePr>
    <w:tblStylePr w:type="lastRow">
      <w:rPr>
        <w:b/>
        <w:bCs/>
      </w:rPr>
      <w:tblPr/>
      <w:tcPr>
        <w:tcBorders>
          <w:top w:val="double" w:sz="4" w:space="0" w:color="B2B2B2"/>
        </w:tcBorders>
      </w:tcPr>
    </w:tblStylePr>
    <w:tblStylePr w:type="firstCol">
      <w:rPr>
        <w:b/>
        <w:bCs/>
      </w:rPr>
    </w:tblStylePr>
    <w:tblStylePr w:type="lastCol">
      <w:rPr>
        <w:b/>
        <w:bCs/>
      </w:rPr>
    </w:tblStylePr>
    <w:tblStylePr w:type="band1Vert">
      <w:tblPr/>
      <w:tcPr>
        <w:shd w:val="clear" w:color="auto" w:fill="E5E5E5"/>
      </w:tcPr>
    </w:tblStylePr>
    <w:tblStylePr w:type="band1Horz">
      <w:tblPr/>
      <w:tcPr>
        <w:shd w:val="clear" w:color="auto" w:fill="E5E5E5"/>
      </w:tcPr>
    </w:tblStylePr>
  </w:style>
  <w:style w:type="table" w:customStyle="1" w:styleId="LightShading-Accent61111">
    <w:name w:val="Light Shading - Accent 61111"/>
    <w:basedOn w:val="TableNormal"/>
    <w:next w:val="LightShading-Accent6"/>
    <w:uiPriority w:val="60"/>
    <w:rsid w:val="006D0778"/>
    <w:pPr>
      <w:spacing w:after="0" w:line="240" w:lineRule="auto"/>
    </w:pPr>
    <w:rPr>
      <w:rFonts w:ascii="Calibri" w:eastAsia="Calibri" w:hAnsi="Calibri" w:cs="Times New Roman"/>
      <w:color w:val="E36C0A"/>
      <w:sz w:val="20"/>
      <w:szCs w:val="20"/>
    </w:rPr>
    <w:tblPr>
      <w:tblStyleRowBandSize w:val="1"/>
      <w:tblStyleColBandSize w:val="1"/>
      <w:tblBorders>
        <w:top w:val="single" w:sz="8" w:space="0" w:color="F79646"/>
        <w:bottom w:val="single" w:sz="8" w:space="0" w:color="F79646"/>
      </w:tblBorders>
    </w:tblPr>
    <w:tblStylePr w:type="firstRow">
      <w:pPr>
        <w:spacing w:beforeLines="0" w:before="0" w:beforeAutospacing="0" w:afterLines="0" w:after="0" w:afterAutospacing="0" w:line="240" w:lineRule="auto"/>
      </w:pPr>
      <w:rPr>
        <w:b/>
        <w:bCs/>
      </w:rPr>
      <w:tblPr/>
      <w:tcPr>
        <w:tcBorders>
          <w:top w:val="single" w:sz="8" w:space="0" w:color="F79646"/>
          <w:left w:val="nil"/>
          <w:bottom w:val="single" w:sz="8" w:space="0" w:color="F79646"/>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F79646"/>
          <w:left w:val="nil"/>
          <w:bottom w:val="single" w:sz="8" w:space="0" w:color="F7964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cPr>
    </w:tblStylePr>
    <w:tblStylePr w:type="band1Horz">
      <w:tblPr/>
      <w:tcPr>
        <w:tcBorders>
          <w:left w:val="nil"/>
          <w:right w:val="nil"/>
          <w:insideH w:val="nil"/>
          <w:insideV w:val="nil"/>
        </w:tcBorders>
        <w:shd w:val="clear" w:color="auto" w:fill="FDE4D0"/>
      </w:tcPr>
    </w:tblStylePr>
  </w:style>
  <w:style w:type="table" w:customStyle="1" w:styleId="GridTable6Colorful-Accent3121">
    <w:name w:val="Grid Table 6 Colorful - Accent 3121"/>
    <w:basedOn w:val="TableNormal"/>
    <w:next w:val="GridTable6Colorful-Accent330"/>
    <w:uiPriority w:val="51"/>
    <w:rsid w:val="006D0778"/>
    <w:pPr>
      <w:spacing w:after="0" w:line="240" w:lineRule="auto"/>
    </w:pPr>
    <w:rPr>
      <w:rFonts w:ascii="Calibri" w:eastAsia="Calibri" w:hAnsi="Calibri" w:cs="Times New Roman"/>
      <w:color w:val="707070"/>
      <w:sz w:val="20"/>
      <w:szCs w:val="20"/>
    </w:rPr>
    <w:tblPr>
      <w:tblStyleRowBandSize w:val="1"/>
      <w:tblStyleColBandSize w:val="1"/>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Pr>
    <w:tblStylePr w:type="firstRow">
      <w:rPr>
        <w:b/>
        <w:bCs/>
      </w:rPr>
      <w:tblPr/>
      <w:tcPr>
        <w:tcBorders>
          <w:bottom w:val="single" w:sz="12" w:space="0" w:color="C0C0C0"/>
        </w:tcBorders>
      </w:tcPr>
    </w:tblStylePr>
    <w:tblStylePr w:type="lastRow">
      <w:rPr>
        <w:b/>
        <w:bCs/>
      </w:rPr>
      <w:tblPr/>
      <w:tcPr>
        <w:tcBorders>
          <w:top w:val="double" w:sz="4" w:space="0" w:color="C0C0C0"/>
        </w:tcBorders>
      </w:tcPr>
    </w:tblStylePr>
    <w:tblStylePr w:type="firstCol">
      <w:rPr>
        <w:b/>
        <w:bCs/>
      </w:rPr>
    </w:tblStylePr>
    <w:tblStylePr w:type="lastCol">
      <w:rPr>
        <w:b/>
        <w:bCs/>
      </w:rPr>
    </w:tblStylePr>
    <w:tblStylePr w:type="band1Vert">
      <w:tblPr/>
      <w:tcPr>
        <w:shd w:val="clear" w:color="auto" w:fill="EAEAEA"/>
      </w:tcPr>
    </w:tblStylePr>
    <w:tblStylePr w:type="band1Horz">
      <w:tblPr/>
      <w:tcPr>
        <w:shd w:val="clear" w:color="auto" w:fill="EAEAEA"/>
      </w:tcPr>
    </w:tblStylePr>
  </w:style>
  <w:style w:type="table" w:customStyle="1" w:styleId="GridTable4-Accent5111">
    <w:name w:val="Grid Table 4 - Accent 5111"/>
    <w:basedOn w:val="TableNormal"/>
    <w:next w:val="GridTable4-Accent530"/>
    <w:uiPriority w:val="49"/>
    <w:rsid w:val="006D0778"/>
    <w:pPr>
      <w:spacing w:after="0" w:line="240" w:lineRule="auto"/>
    </w:pPr>
    <w:rPr>
      <w:rFonts w:ascii="Calibri" w:eastAsia="Calibri" w:hAnsi="Calibri" w:cs="Times New Roman"/>
      <w:sz w:val="20"/>
      <w:szCs w:val="20"/>
    </w:rPr>
    <w:tblPr>
      <w:tblStyleRowBandSize w:val="1"/>
      <w:tblStyleColBandSize w:val="1"/>
      <w:tblBorders>
        <w:top w:val="single" w:sz="4" w:space="0" w:color="9F9F9F"/>
        <w:left w:val="single" w:sz="4" w:space="0" w:color="9F9F9F"/>
        <w:bottom w:val="single" w:sz="4" w:space="0" w:color="9F9F9F"/>
        <w:right w:val="single" w:sz="4" w:space="0" w:color="9F9F9F"/>
        <w:insideH w:val="single" w:sz="4" w:space="0" w:color="9F9F9F"/>
        <w:insideV w:val="single" w:sz="4" w:space="0" w:color="9F9F9F"/>
      </w:tblBorders>
    </w:tblPr>
    <w:tblStylePr w:type="firstRow">
      <w:rPr>
        <w:b/>
        <w:bCs/>
        <w:color w:val="FFFFFF"/>
      </w:rPr>
      <w:tblPr/>
      <w:tcPr>
        <w:tcBorders>
          <w:top w:val="single" w:sz="4" w:space="0" w:color="5F5F5F"/>
          <w:left w:val="single" w:sz="4" w:space="0" w:color="5F5F5F"/>
          <w:bottom w:val="single" w:sz="4" w:space="0" w:color="5F5F5F"/>
          <w:right w:val="single" w:sz="4" w:space="0" w:color="5F5F5F"/>
          <w:insideH w:val="nil"/>
          <w:insideV w:val="nil"/>
        </w:tcBorders>
        <w:shd w:val="clear" w:color="auto" w:fill="5F5F5F"/>
      </w:tcPr>
    </w:tblStylePr>
    <w:tblStylePr w:type="lastRow">
      <w:rPr>
        <w:b/>
        <w:bCs/>
      </w:rPr>
      <w:tblPr/>
      <w:tcPr>
        <w:tcBorders>
          <w:top w:val="double" w:sz="4" w:space="0" w:color="5F5F5F"/>
        </w:tcBorders>
      </w:tcPr>
    </w:tblStylePr>
    <w:tblStylePr w:type="firstCol">
      <w:rPr>
        <w:b/>
        <w:bCs/>
      </w:rPr>
    </w:tblStylePr>
    <w:tblStylePr w:type="lastCol">
      <w:rPr>
        <w:b/>
        <w:bCs/>
      </w:rPr>
    </w:tblStylePr>
    <w:tblStylePr w:type="band1Vert">
      <w:tblPr/>
      <w:tcPr>
        <w:shd w:val="clear" w:color="auto" w:fill="DFDFDF"/>
      </w:tcPr>
    </w:tblStylePr>
    <w:tblStylePr w:type="band1Horz">
      <w:tblPr/>
      <w:tcPr>
        <w:shd w:val="clear" w:color="auto" w:fill="DFDFDF"/>
      </w:tcPr>
    </w:tblStylePr>
  </w:style>
  <w:style w:type="table" w:customStyle="1" w:styleId="GridTable5Dark-Accent5111">
    <w:name w:val="Grid Table 5 Dark - Accent 5111"/>
    <w:basedOn w:val="TableNormal"/>
    <w:next w:val="GridTable5Dark-Accent530"/>
    <w:uiPriority w:val="50"/>
    <w:rsid w:val="006D0778"/>
    <w:pPr>
      <w:spacing w:after="0" w:line="240" w:lineRule="auto"/>
    </w:pPr>
    <w:rPr>
      <w:rFonts w:ascii="Calibri" w:eastAsia="Calibri" w:hAnsi="Calibri" w:cs="Times New Roman"/>
      <w:sz w:val="20"/>
      <w:szCs w:val="20"/>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DFDFDF"/>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5F5F5F"/>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5F5F5F"/>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5F5F5F"/>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5F5F5F"/>
      </w:tcPr>
    </w:tblStylePr>
    <w:tblStylePr w:type="band1Vert">
      <w:tblPr/>
      <w:tcPr>
        <w:shd w:val="clear" w:color="auto" w:fill="BFBFBF"/>
      </w:tcPr>
    </w:tblStylePr>
    <w:tblStylePr w:type="band1Horz">
      <w:tblPr/>
      <w:tcPr>
        <w:shd w:val="clear" w:color="auto" w:fill="BFBFBF"/>
      </w:tcPr>
    </w:tblStylePr>
  </w:style>
  <w:style w:type="table" w:customStyle="1" w:styleId="210">
    <w:name w:val="ФС21"/>
    <w:basedOn w:val="TableNormal"/>
    <w:uiPriority w:val="99"/>
    <w:rsid w:val="006D0778"/>
    <w:pPr>
      <w:spacing w:after="0" w:line="240" w:lineRule="auto"/>
    </w:pPr>
    <w:rPr>
      <w:rFonts w:ascii="Calibri" w:eastAsia="Calibri" w:hAnsi="Calibri" w:cs="Times New Roman"/>
      <w:sz w:val="20"/>
      <w:szCs w:val="20"/>
    </w:rPr>
    <w:tblPr/>
  </w:style>
  <w:style w:type="table" w:customStyle="1" w:styleId="ListTable6Colorful-Accent3111">
    <w:name w:val="List Table 6 Colorful - Accent 3111"/>
    <w:basedOn w:val="TableNormal"/>
    <w:next w:val="ListTable6Colorful-Accent330"/>
    <w:uiPriority w:val="51"/>
    <w:rsid w:val="006D0778"/>
    <w:pPr>
      <w:spacing w:after="0" w:line="240" w:lineRule="auto"/>
    </w:pPr>
    <w:rPr>
      <w:rFonts w:ascii="Calibri" w:eastAsia="Calibri" w:hAnsi="Calibri" w:cs="Times New Roman"/>
      <w:color w:val="707070"/>
      <w:sz w:val="20"/>
      <w:szCs w:val="20"/>
    </w:rPr>
    <w:tblPr>
      <w:tblStyleRowBandSize w:val="1"/>
      <w:tblStyleColBandSize w:val="1"/>
      <w:tblBorders>
        <w:top w:val="single" w:sz="4" w:space="0" w:color="969696"/>
        <w:bottom w:val="single" w:sz="4" w:space="0" w:color="969696"/>
      </w:tblBorders>
    </w:tblPr>
    <w:tblStylePr w:type="firstRow">
      <w:rPr>
        <w:b/>
        <w:bCs/>
      </w:rPr>
      <w:tblPr/>
      <w:tcPr>
        <w:tcBorders>
          <w:bottom w:val="single" w:sz="4" w:space="0" w:color="969696"/>
        </w:tcBorders>
      </w:tcPr>
    </w:tblStylePr>
    <w:tblStylePr w:type="lastRow">
      <w:rPr>
        <w:b/>
        <w:bCs/>
      </w:rPr>
      <w:tblPr/>
      <w:tcPr>
        <w:tcBorders>
          <w:top w:val="double" w:sz="4" w:space="0" w:color="969696"/>
        </w:tcBorders>
      </w:tcPr>
    </w:tblStylePr>
    <w:tblStylePr w:type="firstCol">
      <w:rPr>
        <w:b/>
        <w:bCs/>
      </w:rPr>
    </w:tblStylePr>
    <w:tblStylePr w:type="lastCol">
      <w:rPr>
        <w:b/>
        <w:bCs/>
      </w:rPr>
    </w:tblStylePr>
    <w:tblStylePr w:type="band1Vert">
      <w:tblPr/>
      <w:tcPr>
        <w:shd w:val="clear" w:color="auto" w:fill="EAEAEA"/>
      </w:tcPr>
    </w:tblStylePr>
    <w:tblStylePr w:type="band1Horz">
      <w:tblPr/>
      <w:tcPr>
        <w:shd w:val="clear" w:color="auto" w:fill="EAEAEA"/>
      </w:tcPr>
    </w:tblStylePr>
  </w:style>
  <w:style w:type="table" w:customStyle="1" w:styleId="GridTable1Light-Accent1111">
    <w:name w:val="Grid Table 1 Light - Accent 1111"/>
    <w:basedOn w:val="TableNormal"/>
    <w:next w:val="GridTable1Light-Accent130"/>
    <w:uiPriority w:val="46"/>
    <w:rsid w:val="006D0778"/>
    <w:pPr>
      <w:spacing w:after="0" w:line="240" w:lineRule="auto"/>
    </w:pPr>
    <w:tblPr>
      <w:tblStyleRowBandSize w:val="1"/>
      <w:tblStyleColBandSize w:val="1"/>
      <w:tblBorders>
        <w:top w:val="single" w:sz="4" w:space="0" w:color="F8B4A6"/>
        <w:left w:val="single" w:sz="4" w:space="0" w:color="F8B4A6"/>
        <w:bottom w:val="single" w:sz="4" w:space="0" w:color="F8B4A6"/>
        <w:right w:val="single" w:sz="4" w:space="0" w:color="F8B4A6"/>
        <w:insideH w:val="single" w:sz="4" w:space="0" w:color="F8B4A6"/>
        <w:insideV w:val="single" w:sz="4" w:space="0" w:color="F8B4A6"/>
      </w:tblBorders>
    </w:tblPr>
    <w:tblStylePr w:type="firstRow">
      <w:rPr>
        <w:b/>
        <w:bCs/>
      </w:rPr>
      <w:tblPr/>
      <w:tcPr>
        <w:tcBorders>
          <w:bottom w:val="single" w:sz="12" w:space="0" w:color="F58F7A"/>
        </w:tcBorders>
      </w:tcPr>
    </w:tblStylePr>
    <w:tblStylePr w:type="lastRow">
      <w:rPr>
        <w:b/>
        <w:bCs/>
      </w:rPr>
      <w:tblPr/>
      <w:tcPr>
        <w:tcBorders>
          <w:top w:val="double" w:sz="2" w:space="0" w:color="F58F7A"/>
        </w:tcBorders>
      </w:tcPr>
    </w:tblStylePr>
    <w:tblStylePr w:type="firstCol">
      <w:rPr>
        <w:b/>
        <w:bCs/>
      </w:rPr>
    </w:tblStylePr>
    <w:tblStylePr w:type="lastCol">
      <w:rPr>
        <w:b/>
        <w:bCs/>
      </w:rPr>
    </w:tblStylePr>
  </w:style>
  <w:style w:type="table" w:customStyle="1" w:styleId="ListTable1Light-Accent1111">
    <w:name w:val="List Table 1 Light - Accent 1111"/>
    <w:basedOn w:val="TableNormal"/>
    <w:next w:val="ListTable1Light-Accent130"/>
    <w:uiPriority w:val="46"/>
    <w:rsid w:val="006D0778"/>
    <w:pPr>
      <w:spacing w:after="0" w:line="240" w:lineRule="auto"/>
    </w:pPr>
    <w:tblPr>
      <w:tblStyleRowBandSize w:val="1"/>
      <w:tblStyleColBandSize w:val="1"/>
    </w:tblPr>
    <w:tblStylePr w:type="firstRow">
      <w:rPr>
        <w:b/>
        <w:bCs/>
      </w:rPr>
      <w:tblPr/>
      <w:tcPr>
        <w:tcBorders>
          <w:bottom w:val="single" w:sz="4" w:space="0" w:color="F58F7A"/>
        </w:tcBorders>
      </w:tcPr>
    </w:tblStylePr>
    <w:tblStylePr w:type="lastRow">
      <w:rPr>
        <w:b/>
        <w:bCs/>
      </w:rPr>
      <w:tblPr/>
      <w:tcPr>
        <w:tcBorders>
          <w:top w:val="single" w:sz="4" w:space="0" w:color="F58F7A"/>
        </w:tcBorders>
      </w:tcPr>
    </w:tblStylePr>
    <w:tblStylePr w:type="firstCol">
      <w:rPr>
        <w:b/>
        <w:bCs/>
      </w:rPr>
    </w:tblStylePr>
    <w:tblStylePr w:type="lastCol">
      <w:rPr>
        <w:b/>
        <w:bCs/>
      </w:rPr>
    </w:tblStylePr>
    <w:tblStylePr w:type="band1Vert">
      <w:tblPr/>
      <w:tcPr>
        <w:shd w:val="clear" w:color="auto" w:fill="FBD9D2"/>
      </w:tcPr>
    </w:tblStylePr>
    <w:tblStylePr w:type="band1Horz">
      <w:tblPr/>
      <w:tcPr>
        <w:shd w:val="clear" w:color="auto" w:fill="FBD9D2"/>
      </w:tcPr>
    </w:tblStylePr>
  </w:style>
  <w:style w:type="table" w:customStyle="1" w:styleId="ListTable2-Accent1111">
    <w:name w:val="List Table 2 - Accent 1111"/>
    <w:basedOn w:val="TableNormal"/>
    <w:next w:val="ListTable2-Accent130"/>
    <w:uiPriority w:val="47"/>
    <w:rsid w:val="006D0778"/>
    <w:pPr>
      <w:spacing w:after="0" w:line="240" w:lineRule="auto"/>
    </w:pPr>
    <w:tblPr>
      <w:tblStyleRowBandSize w:val="1"/>
      <w:tblStyleColBandSize w:val="1"/>
      <w:tblBorders>
        <w:top w:val="single" w:sz="4" w:space="0" w:color="F58F7A"/>
        <w:bottom w:val="single" w:sz="4" w:space="0" w:color="F58F7A"/>
        <w:insideH w:val="single" w:sz="4" w:space="0" w:color="F58F7A"/>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BD9D2"/>
      </w:tcPr>
    </w:tblStylePr>
    <w:tblStylePr w:type="band1Horz">
      <w:tblPr/>
      <w:tcPr>
        <w:shd w:val="clear" w:color="auto" w:fill="FBD9D2"/>
      </w:tcPr>
    </w:tblStylePr>
  </w:style>
  <w:style w:type="table" w:customStyle="1" w:styleId="ListTable2-Accent5111">
    <w:name w:val="List Table 2 - Accent 5111"/>
    <w:basedOn w:val="TableNormal"/>
    <w:next w:val="ListTable2-Accent530"/>
    <w:uiPriority w:val="47"/>
    <w:rsid w:val="006D0778"/>
    <w:pPr>
      <w:spacing w:after="0" w:line="240" w:lineRule="auto"/>
    </w:pPr>
    <w:tblPr>
      <w:tblStyleRowBandSize w:val="1"/>
      <w:tblStyleColBandSize w:val="1"/>
      <w:tblBorders>
        <w:top w:val="single" w:sz="4" w:space="0" w:color="9F9F9F"/>
        <w:bottom w:val="single" w:sz="4" w:space="0" w:color="9F9F9F"/>
        <w:insideH w:val="single" w:sz="4" w:space="0" w:color="9F9F9F"/>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FDFDF"/>
      </w:tcPr>
    </w:tblStylePr>
    <w:tblStylePr w:type="band1Horz">
      <w:tblPr/>
      <w:tcPr>
        <w:shd w:val="clear" w:color="auto" w:fill="DFDFDF"/>
      </w:tcPr>
    </w:tblStylePr>
  </w:style>
  <w:style w:type="table" w:customStyle="1" w:styleId="GridTable2-Accent5111">
    <w:name w:val="Grid Table 2 - Accent 5111"/>
    <w:basedOn w:val="TableNormal"/>
    <w:next w:val="GridTable2-Accent530"/>
    <w:uiPriority w:val="47"/>
    <w:rsid w:val="006D0778"/>
    <w:pPr>
      <w:spacing w:after="0" w:line="240" w:lineRule="auto"/>
    </w:pPr>
    <w:tblPr>
      <w:tblStyleRowBandSize w:val="1"/>
      <w:tblStyleColBandSize w:val="1"/>
      <w:tblBorders>
        <w:top w:val="single" w:sz="2" w:space="0" w:color="9F9F9F"/>
        <w:bottom w:val="single" w:sz="2" w:space="0" w:color="9F9F9F"/>
        <w:insideH w:val="single" w:sz="2" w:space="0" w:color="9F9F9F"/>
        <w:insideV w:val="single" w:sz="2" w:space="0" w:color="9F9F9F"/>
      </w:tblBorders>
    </w:tblPr>
    <w:tblStylePr w:type="firstRow">
      <w:rPr>
        <w:b/>
        <w:bCs/>
      </w:rPr>
      <w:tblPr/>
      <w:tcPr>
        <w:tcBorders>
          <w:top w:val="nil"/>
          <w:bottom w:val="single" w:sz="12" w:space="0" w:color="9F9F9F"/>
          <w:insideH w:val="nil"/>
          <w:insideV w:val="nil"/>
        </w:tcBorders>
        <w:shd w:val="clear" w:color="auto" w:fill="FFFFFF"/>
      </w:tcPr>
    </w:tblStylePr>
    <w:tblStylePr w:type="lastRow">
      <w:rPr>
        <w:b/>
        <w:bCs/>
      </w:rPr>
      <w:tblPr/>
      <w:tcPr>
        <w:tcBorders>
          <w:top w:val="double" w:sz="2" w:space="0" w:color="9F9F9F"/>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FDFDF"/>
      </w:tcPr>
    </w:tblStylePr>
    <w:tblStylePr w:type="band1Horz">
      <w:tblPr/>
      <w:tcPr>
        <w:shd w:val="clear" w:color="auto" w:fill="DFDFDF"/>
      </w:tcPr>
    </w:tblStylePr>
  </w:style>
  <w:style w:type="table" w:customStyle="1" w:styleId="TableGrid2211">
    <w:name w:val="Table Grid2211"/>
    <w:basedOn w:val="TableNormal"/>
    <w:next w:val="TableGrid"/>
    <w:uiPriority w:val="39"/>
    <w:rsid w:val="006D0778"/>
    <w:pPr>
      <w:spacing w:before="120" w:after="120" w:line="264" w:lineRule="auto"/>
      <w:ind w:left="115" w:right="115"/>
    </w:pPr>
    <w:rPr>
      <w:rFonts w:eastAsia="MS PGothic"/>
      <w:sz w:val="20"/>
      <w:szCs w:val="20"/>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
    <w:tcPr>
      <w:vAlign w:val="center"/>
    </w:tcPr>
    <w:tblStylePr w:type="firstRow">
      <w:pPr>
        <w:wordWrap/>
        <w:jc w:val="center"/>
      </w:pPr>
      <w:rPr>
        <w:b/>
        <w:i w:val="0"/>
        <w:sz w:val="22"/>
      </w:rPr>
    </w:tblStylePr>
    <w:tblStylePr w:type="lastRow">
      <w:rPr>
        <w:b/>
        <w:i w:val="0"/>
        <w:sz w:val="22"/>
      </w:rPr>
      <w:tblPr/>
      <w:tcPr>
        <w:tcBorders>
          <w:top w:val="double" w:sz="4" w:space="0" w:color="auto"/>
          <w:left w:val="single" w:sz="4" w:space="0" w:color="auto"/>
          <w:bottom w:val="single" w:sz="18" w:space="0" w:color="auto"/>
          <w:right w:val="single" w:sz="4" w:space="0" w:color="auto"/>
          <w:insideH w:val="nil"/>
          <w:insideV w:val="single" w:sz="4" w:space="0" w:color="auto"/>
          <w:tl2br w:val="nil"/>
          <w:tr2bl w:val="nil"/>
        </w:tcBorders>
      </w:tcPr>
    </w:tblStylePr>
  </w:style>
  <w:style w:type="table" w:customStyle="1" w:styleId="LightShading-Accent12421">
    <w:name w:val="Light Shading - Accent 12421"/>
    <w:basedOn w:val="TableNormal"/>
    <w:uiPriority w:val="60"/>
    <w:rsid w:val="006D0778"/>
    <w:pPr>
      <w:spacing w:after="0" w:line="264" w:lineRule="auto"/>
    </w:pPr>
    <w:rPr>
      <w:rFonts w:ascii="Cambria" w:eastAsia="Calibri" w:hAnsi="Cambria" w:cs="Times New Roman"/>
      <w:color w:val="A8422A"/>
      <w:sz w:val="20"/>
      <w:szCs w:val="20"/>
      <w:lang w:val="en-GB" w:eastAsia="sr-Cyrl-CS"/>
    </w:rPr>
    <w:tblPr>
      <w:tblStyleRowBandSize w:val="1"/>
      <w:tblStyleColBandSize w:val="1"/>
      <w:tblBorders>
        <w:top w:val="single" w:sz="8" w:space="0" w:color="D16349"/>
        <w:bottom w:val="single" w:sz="8" w:space="0" w:color="D16349"/>
      </w:tblBorders>
    </w:tblPr>
    <w:tblStylePr w:type="fir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la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D8D2"/>
      </w:tcPr>
    </w:tblStylePr>
    <w:tblStylePr w:type="band1Horz">
      <w:tblPr/>
      <w:tcPr>
        <w:tcBorders>
          <w:left w:val="nil"/>
          <w:right w:val="nil"/>
          <w:insideH w:val="nil"/>
          <w:insideV w:val="nil"/>
        </w:tcBorders>
        <w:shd w:val="clear" w:color="auto" w:fill="F3D8D2"/>
      </w:tcPr>
    </w:tblStylePr>
  </w:style>
  <w:style w:type="table" w:customStyle="1" w:styleId="GridTable6Colorful-Accent51211">
    <w:name w:val="Grid Table 6 Colorful - Accent 51211"/>
    <w:basedOn w:val="TableNormal"/>
    <w:next w:val="GridTable6Colorful-Accent540"/>
    <w:uiPriority w:val="51"/>
    <w:rsid w:val="006D0778"/>
    <w:pPr>
      <w:spacing w:after="0" w:line="240" w:lineRule="auto"/>
    </w:pPr>
    <w:rPr>
      <w:rFonts w:ascii="Calibri" w:eastAsia="Calibri" w:hAnsi="Calibri" w:cs="Times New Roman"/>
      <w:color w:val="C19300"/>
      <w:sz w:val="20"/>
      <w:szCs w:val="20"/>
    </w:rPr>
    <w:tblPr>
      <w:tblStyleRowBandSize w:val="1"/>
      <w:tblStyleColBandSize w:val="1"/>
      <w:tblBorders>
        <w:top w:val="single" w:sz="4" w:space="0" w:color="FEDA69"/>
        <w:left w:val="single" w:sz="4" w:space="0" w:color="FEDA69"/>
        <w:bottom w:val="single" w:sz="4" w:space="0" w:color="FEDA69"/>
        <w:right w:val="single" w:sz="4" w:space="0" w:color="FEDA69"/>
        <w:insideH w:val="single" w:sz="4" w:space="0" w:color="FEDA69"/>
        <w:insideV w:val="single" w:sz="4" w:space="0" w:color="FEDA69"/>
      </w:tblBorders>
    </w:tblPr>
    <w:tblStylePr w:type="firstRow">
      <w:rPr>
        <w:b/>
        <w:bCs/>
      </w:rPr>
      <w:tblPr/>
      <w:tcPr>
        <w:tcBorders>
          <w:bottom w:val="single" w:sz="12" w:space="0" w:color="FEDA69"/>
        </w:tcBorders>
      </w:tcPr>
    </w:tblStylePr>
    <w:tblStylePr w:type="lastRow">
      <w:rPr>
        <w:b/>
        <w:bCs/>
      </w:rPr>
      <w:tblPr/>
      <w:tcPr>
        <w:tcBorders>
          <w:top w:val="double" w:sz="4" w:space="0" w:color="FEDA69"/>
        </w:tcBorders>
      </w:tcPr>
    </w:tblStylePr>
    <w:tblStylePr w:type="firstCol">
      <w:rPr>
        <w:b/>
        <w:bCs/>
      </w:rPr>
    </w:tblStylePr>
    <w:tblStylePr w:type="lastCol">
      <w:rPr>
        <w:b/>
        <w:bCs/>
      </w:rPr>
    </w:tblStylePr>
    <w:tblStylePr w:type="band1Vert">
      <w:tblPr/>
      <w:tcPr>
        <w:shd w:val="clear" w:color="auto" w:fill="FEF2CD"/>
      </w:tcPr>
    </w:tblStylePr>
    <w:tblStylePr w:type="band1Horz">
      <w:tblPr/>
      <w:tcPr>
        <w:shd w:val="clear" w:color="auto" w:fill="FEF2CD"/>
      </w:tcPr>
    </w:tblStylePr>
  </w:style>
  <w:style w:type="table" w:customStyle="1" w:styleId="GridTable6Colorful-Accent51311">
    <w:name w:val="Grid Table 6 Colorful - Accent 51311"/>
    <w:basedOn w:val="TableNormal"/>
    <w:uiPriority w:val="51"/>
    <w:rsid w:val="006D0778"/>
    <w:pPr>
      <w:spacing w:after="0" w:line="264" w:lineRule="auto"/>
    </w:pPr>
    <w:rPr>
      <w:rFonts w:ascii="Calibri" w:eastAsia="Calibri" w:hAnsi="Calibri" w:cs="Times New Roman"/>
      <w:color w:val="474747"/>
      <w:sz w:val="20"/>
      <w:szCs w:val="20"/>
    </w:rPr>
    <w:tblPr>
      <w:tblStyleRowBandSize w:val="1"/>
      <w:tblStyleColBandSize w:val="1"/>
      <w:tblBorders>
        <w:top w:val="single" w:sz="4" w:space="0" w:color="9F9F9F"/>
        <w:left w:val="single" w:sz="4" w:space="0" w:color="9F9F9F"/>
        <w:bottom w:val="single" w:sz="4" w:space="0" w:color="9F9F9F"/>
        <w:right w:val="single" w:sz="4" w:space="0" w:color="9F9F9F"/>
        <w:insideH w:val="single" w:sz="4" w:space="0" w:color="9F9F9F"/>
        <w:insideV w:val="single" w:sz="4" w:space="0" w:color="9F9F9F"/>
      </w:tblBorders>
    </w:tblPr>
    <w:tblStylePr w:type="firstRow">
      <w:rPr>
        <w:b/>
        <w:bCs/>
      </w:rPr>
      <w:tblPr/>
      <w:tcPr>
        <w:tcBorders>
          <w:bottom w:val="single" w:sz="12" w:space="0" w:color="9F9F9F"/>
        </w:tcBorders>
      </w:tcPr>
    </w:tblStylePr>
    <w:tblStylePr w:type="lastRow">
      <w:rPr>
        <w:b/>
        <w:bCs/>
      </w:rPr>
      <w:tblPr/>
      <w:tcPr>
        <w:tcBorders>
          <w:top w:val="double" w:sz="4" w:space="0" w:color="9F9F9F"/>
        </w:tcBorders>
      </w:tcPr>
    </w:tblStylePr>
    <w:tblStylePr w:type="firstCol">
      <w:rPr>
        <w:b/>
        <w:bCs/>
      </w:rPr>
    </w:tblStylePr>
    <w:tblStylePr w:type="lastCol">
      <w:rPr>
        <w:b/>
        <w:bCs/>
      </w:rPr>
    </w:tblStylePr>
    <w:tblStylePr w:type="band1Vert">
      <w:tblPr/>
      <w:tcPr>
        <w:shd w:val="clear" w:color="auto" w:fill="DFDFDF"/>
      </w:tcPr>
    </w:tblStylePr>
    <w:tblStylePr w:type="band1Horz">
      <w:tblPr/>
      <w:tcPr>
        <w:shd w:val="clear" w:color="auto" w:fill="DFDFDF"/>
      </w:tcPr>
    </w:tblStylePr>
  </w:style>
  <w:style w:type="numbering" w:customStyle="1" w:styleId="NoList311">
    <w:name w:val="No List311"/>
    <w:next w:val="NoList"/>
    <w:uiPriority w:val="99"/>
    <w:semiHidden/>
    <w:unhideWhenUsed/>
    <w:rsid w:val="006D0778"/>
  </w:style>
  <w:style w:type="table" w:customStyle="1" w:styleId="TableGrid312">
    <w:name w:val="Table Grid312"/>
    <w:basedOn w:val="TableNormal"/>
    <w:next w:val="TableGrid"/>
    <w:uiPriority w:val="39"/>
    <w:rsid w:val="006D0778"/>
    <w:pPr>
      <w:spacing w:before="120" w:after="120" w:line="264" w:lineRule="auto"/>
      <w:ind w:left="115" w:right="115"/>
    </w:pPr>
    <w:rPr>
      <w:rFonts w:eastAsia="MS PGothic"/>
      <w:sz w:val="20"/>
      <w:szCs w:val="20"/>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
    <w:tcPr>
      <w:vAlign w:val="center"/>
    </w:tcPr>
    <w:tblStylePr w:type="firstRow">
      <w:pPr>
        <w:wordWrap/>
        <w:jc w:val="center"/>
      </w:pPr>
      <w:rPr>
        <w:b/>
        <w:i w:val="0"/>
        <w:sz w:val="22"/>
      </w:rPr>
    </w:tblStylePr>
    <w:tblStylePr w:type="lastRow">
      <w:rPr>
        <w:b/>
        <w:i w:val="0"/>
        <w:sz w:val="22"/>
      </w:rPr>
      <w:tblPr/>
      <w:tcPr>
        <w:tcBorders>
          <w:top w:val="double" w:sz="4" w:space="0" w:color="auto"/>
          <w:left w:val="single" w:sz="4" w:space="0" w:color="auto"/>
          <w:bottom w:val="single" w:sz="18" w:space="0" w:color="auto"/>
          <w:right w:val="single" w:sz="4" w:space="0" w:color="auto"/>
          <w:insideH w:val="nil"/>
          <w:insideV w:val="single" w:sz="4" w:space="0" w:color="auto"/>
          <w:tl2br w:val="nil"/>
          <w:tr2bl w:val="nil"/>
        </w:tcBorders>
      </w:tcPr>
    </w:tblStylePr>
  </w:style>
  <w:style w:type="table" w:customStyle="1" w:styleId="FinancialTable111">
    <w:name w:val="Financial Table111"/>
    <w:basedOn w:val="TableNormal"/>
    <w:uiPriority w:val="99"/>
    <w:rsid w:val="006D0778"/>
    <w:pPr>
      <w:spacing w:before="60" w:after="60" w:line="264" w:lineRule="auto"/>
    </w:pPr>
    <w:rPr>
      <w:rFonts w:eastAsia="MS PGothic"/>
      <w:sz w:val="20"/>
      <w:szCs w:val="20"/>
      <w:lang w:eastAsia="ja-JP"/>
    </w:rPr>
    <w:tblPr>
      <w:tblBorders>
        <w:top w:val="single" w:sz="8" w:space="0" w:color="000000"/>
        <w:left w:val="single" w:sz="8" w:space="0" w:color="000000"/>
        <w:bottom w:val="single" w:sz="24" w:space="0" w:color="000000"/>
        <w:right w:val="single" w:sz="8" w:space="0" w:color="000000"/>
        <w:insideH w:val="single" w:sz="8" w:space="0" w:color="000000"/>
        <w:insideV w:val="single" w:sz="8" w:space="0" w:color="000000"/>
      </w:tblBorders>
      <w:tblCellMar>
        <w:left w:w="72" w:type="dxa"/>
        <w:right w:w="72" w:type="dxa"/>
      </w:tblCellMar>
    </w:tblPr>
    <w:tblStylePr w:type="firstRow">
      <w:pPr>
        <w:wordWrap/>
        <w:spacing w:beforeLines="0" w:before="40" w:beforeAutospacing="0" w:afterLines="0" w:after="40" w:afterAutospacing="0"/>
        <w:jc w:val="left"/>
      </w:pPr>
      <w:rPr>
        <w:rFonts w:ascii="Arial" w:hAnsi="Arial"/>
        <w:b/>
        <w:i w:val="0"/>
        <w:caps w:val="0"/>
        <w:smallCaps w:val="0"/>
        <w:color w:val="000000"/>
        <w:sz w:val="22"/>
      </w:rPr>
    </w:tblStylePr>
    <w:tblStylePr w:type="firstCol">
      <w:rPr>
        <w:b/>
        <w:color w:val="000000"/>
      </w:rPr>
    </w:tblStylePr>
  </w:style>
  <w:style w:type="table" w:customStyle="1" w:styleId="GridTable6Colorful-Accent5311">
    <w:name w:val="Grid Table 6 Colorful - Accent 5311"/>
    <w:basedOn w:val="TableNormal"/>
    <w:next w:val="GridTable6Colorful-Accent540"/>
    <w:uiPriority w:val="51"/>
    <w:rsid w:val="006D0778"/>
    <w:pPr>
      <w:spacing w:after="0" w:line="264" w:lineRule="auto"/>
    </w:pPr>
    <w:rPr>
      <w:rFonts w:ascii="Calibri" w:eastAsia="Calibri" w:hAnsi="Calibri" w:cs="Times New Roman"/>
      <w:color w:val="474747"/>
      <w:sz w:val="20"/>
      <w:szCs w:val="20"/>
    </w:rPr>
    <w:tblPr>
      <w:tblStyleRowBandSize w:val="1"/>
      <w:tblStyleColBandSize w:val="1"/>
      <w:tblBorders>
        <w:top w:val="single" w:sz="4" w:space="0" w:color="9F9F9F"/>
        <w:left w:val="single" w:sz="4" w:space="0" w:color="9F9F9F"/>
        <w:bottom w:val="single" w:sz="4" w:space="0" w:color="9F9F9F"/>
        <w:right w:val="single" w:sz="4" w:space="0" w:color="9F9F9F"/>
        <w:insideH w:val="single" w:sz="4" w:space="0" w:color="9F9F9F"/>
        <w:insideV w:val="single" w:sz="4" w:space="0" w:color="9F9F9F"/>
      </w:tblBorders>
    </w:tblPr>
    <w:tblStylePr w:type="firstRow">
      <w:rPr>
        <w:b/>
        <w:bCs/>
      </w:rPr>
      <w:tblPr/>
      <w:tcPr>
        <w:tcBorders>
          <w:bottom w:val="single" w:sz="12" w:space="0" w:color="9F9F9F"/>
        </w:tcBorders>
      </w:tcPr>
    </w:tblStylePr>
    <w:tblStylePr w:type="lastRow">
      <w:rPr>
        <w:b/>
        <w:bCs/>
      </w:rPr>
      <w:tblPr/>
      <w:tcPr>
        <w:tcBorders>
          <w:top w:val="double" w:sz="4" w:space="0" w:color="9F9F9F"/>
        </w:tcBorders>
      </w:tcPr>
    </w:tblStylePr>
    <w:tblStylePr w:type="firstCol">
      <w:rPr>
        <w:b/>
        <w:bCs/>
      </w:rPr>
    </w:tblStylePr>
    <w:tblStylePr w:type="lastCol">
      <w:rPr>
        <w:b/>
        <w:bCs/>
      </w:rPr>
    </w:tblStylePr>
    <w:tblStylePr w:type="band1Vert">
      <w:tblPr/>
      <w:tcPr>
        <w:shd w:val="clear" w:color="auto" w:fill="DFDFDF"/>
      </w:tcPr>
    </w:tblStylePr>
    <w:tblStylePr w:type="band1Horz">
      <w:tblPr/>
      <w:tcPr>
        <w:shd w:val="clear" w:color="auto" w:fill="DFDFDF"/>
      </w:tcPr>
    </w:tblStylePr>
  </w:style>
  <w:style w:type="table" w:customStyle="1" w:styleId="LightShading-Accent12521">
    <w:name w:val="Light Shading - Accent 12521"/>
    <w:basedOn w:val="TableNormal"/>
    <w:uiPriority w:val="60"/>
    <w:rsid w:val="006D0778"/>
    <w:pPr>
      <w:spacing w:after="0" w:line="264" w:lineRule="auto"/>
    </w:pPr>
    <w:rPr>
      <w:rFonts w:ascii="Cambria" w:eastAsia="Calibri" w:hAnsi="Cambria" w:cs="Times New Roman"/>
      <w:color w:val="A8422A"/>
      <w:sz w:val="20"/>
      <w:szCs w:val="20"/>
      <w:lang w:val="en-GB" w:eastAsia="sr-Cyrl-CS"/>
    </w:rPr>
    <w:tblPr>
      <w:tblStyleRowBandSize w:val="1"/>
      <w:tblStyleColBandSize w:val="1"/>
      <w:tblBorders>
        <w:top w:val="single" w:sz="8" w:space="0" w:color="D16349"/>
        <w:bottom w:val="single" w:sz="8" w:space="0" w:color="D16349"/>
      </w:tblBorders>
    </w:tblPr>
    <w:tblStylePr w:type="fir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la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D8D2"/>
      </w:tcPr>
    </w:tblStylePr>
    <w:tblStylePr w:type="band1Horz">
      <w:tblPr/>
      <w:tcPr>
        <w:tcBorders>
          <w:left w:val="nil"/>
          <w:right w:val="nil"/>
          <w:insideH w:val="nil"/>
          <w:insideV w:val="nil"/>
        </w:tcBorders>
        <w:shd w:val="clear" w:color="auto" w:fill="F3D8D2"/>
      </w:tcPr>
    </w:tblStylePr>
  </w:style>
  <w:style w:type="table" w:customStyle="1" w:styleId="GridTable6Colorful-Accent51411">
    <w:name w:val="Grid Table 6 Colorful - Accent 51411"/>
    <w:basedOn w:val="TableNormal"/>
    <w:uiPriority w:val="51"/>
    <w:rsid w:val="006D0778"/>
    <w:pPr>
      <w:spacing w:after="0" w:line="264" w:lineRule="auto"/>
    </w:pPr>
    <w:rPr>
      <w:rFonts w:ascii="Calibri" w:eastAsia="Calibri" w:hAnsi="Calibri" w:cs="Times New Roman"/>
      <w:color w:val="387AAA"/>
      <w:sz w:val="20"/>
      <w:szCs w:val="20"/>
    </w:rPr>
    <w:tblPr>
      <w:tblStyleRowBandSize w:val="1"/>
      <w:tblStyleColBandSize w:val="1"/>
      <w:tblBorders>
        <w:top w:val="single" w:sz="4" w:space="0" w:color="A1C5E0"/>
        <w:left w:val="single" w:sz="4" w:space="0" w:color="A1C5E0"/>
        <w:bottom w:val="single" w:sz="4" w:space="0" w:color="A1C5E0"/>
        <w:right w:val="single" w:sz="4" w:space="0" w:color="A1C5E0"/>
        <w:insideH w:val="single" w:sz="4" w:space="0" w:color="A1C5E0"/>
        <w:insideV w:val="single" w:sz="4" w:space="0" w:color="A1C5E0"/>
      </w:tblBorders>
    </w:tblPr>
    <w:tblStylePr w:type="firstRow">
      <w:rPr>
        <w:b/>
        <w:bCs/>
      </w:rPr>
      <w:tblPr/>
      <w:tcPr>
        <w:tcBorders>
          <w:bottom w:val="single" w:sz="12" w:space="0" w:color="A1C5E0"/>
        </w:tcBorders>
      </w:tcPr>
    </w:tblStylePr>
    <w:tblStylePr w:type="lastRow">
      <w:rPr>
        <w:b/>
        <w:bCs/>
      </w:rPr>
      <w:tblPr/>
      <w:tcPr>
        <w:tcBorders>
          <w:top w:val="double" w:sz="4" w:space="0" w:color="A1C5E0"/>
        </w:tcBorders>
      </w:tcPr>
    </w:tblStylePr>
    <w:tblStylePr w:type="firstCol">
      <w:rPr>
        <w:b/>
        <w:bCs/>
      </w:rPr>
    </w:tblStylePr>
    <w:tblStylePr w:type="lastCol">
      <w:rPr>
        <w:b/>
        <w:bCs/>
      </w:rPr>
    </w:tblStylePr>
    <w:tblStylePr w:type="band1Vert">
      <w:tblPr/>
      <w:tcPr>
        <w:shd w:val="clear" w:color="auto" w:fill="DFEBF4"/>
      </w:tcPr>
    </w:tblStylePr>
    <w:tblStylePr w:type="band1Horz">
      <w:tblPr/>
      <w:tcPr>
        <w:shd w:val="clear" w:color="auto" w:fill="DFEBF4"/>
      </w:tcPr>
    </w:tblStylePr>
  </w:style>
  <w:style w:type="table" w:customStyle="1" w:styleId="LightShading-Accent121111">
    <w:name w:val="Light Shading - Accent 121111"/>
    <w:basedOn w:val="TableNormal"/>
    <w:uiPriority w:val="60"/>
    <w:rsid w:val="006D0778"/>
    <w:pPr>
      <w:spacing w:after="0" w:line="264" w:lineRule="auto"/>
    </w:pPr>
    <w:rPr>
      <w:rFonts w:ascii="Cambria" w:eastAsia="Calibri" w:hAnsi="Cambria" w:cs="Times New Roman"/>
      <w:color w:val="A8422A"/>
      <w:sz w:val="20"/>
      <w:szCs w:val="20"/>
      <w:lang w:val="en-GB" w:eastAsia="sr-Cyrl-CS"/>
    </w:rPr>
    <w:tblPr>
      <w:tblStyleRowBandSize w:val="1"/>
      <w:tblStyleColBandSize w:val="1"/>
      <w:tblBorders>
        <w:top w:val="single" w:sz="8" w:space="0" w:color="D16349"/>
        <w:bottom w:val="single" w:sz="8" w:space="0" w:color="D16349"/>
      </w:tblBorders>
    </w:tblPr>
    <w:tblStylePr w:type="fir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la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D8D2"/>
      </w:tcPr>
    </w:tblStylePr>
    <w:tblStylePr w:type="band1Horz">
      <w:tblPr/>
      <w:tcPr>
        <w:tcBorders>
          <w:left w:val="nil"/>
          <w:right w:val="nil"/>
          <w:insideH w:val="nil"/>
          <w:insideV w:val="nil"/>
        </w:tcBorders>
        <w:shd w:val="clear" w:color="auto" w:fill="F3D8D2"/>
      </w:tcPr>
    </w:tblStylePr>
  </w:style>
  <w:style w:type="table" w:customStyle="1" w:styleId="GridTable6Colorful-Accent511111">
    <w:name w:val="Grid Table 6 Colorful - Accent 511111"/>
    <w:basedOn w:val="TableNormal"/>
    <w:uiPriority w:val="51"/>
    <w:rsid w:val="006D0778"/>
    <w:pPr>
      <w:spacing w:after="0" w:line="264" w:lineRule="auto"/>
    </w:pPr>
    <w:rPr>
      <w:rFonts w:ascii="Calibri" w:eastAsia="Calibri" w:hAnsi="Calibri" w:cs="Times New Roman"/>
      <w:color w:val="387AAA"/>
      <w:sz w:val="20"/>
      <w:szCs w:val="20"/>
    </w:rPr>
    <w:tblPr>
      <w:tblStyleRowBandSize w:val="1"/>
      <w:tblStyleColBandSize w:val="1"/>
      <w:tblBorders>
        <w:top w:val="single" w:sz="4" w:space="0" w:color="A1C5E0"/>
        <w:left w:val="single" w:sz="4" w:space="0" w:color="A1C5E0"/>
        <w:bottom w:val="single" w:sz="4" w:space="0" w:color="A1C5E0"/>
        <w:right w:val="single" w:sz="4" w:space="0" w:color="A1C5E0"/>
        <w:insideH w:val="single" w:sz="4" w:space="0" w:color="A1C5E0"/>
        <w:insideV w:val="single" w:sz="4" w:space="0" w:color="A1C5E0"/>
      </w:tblBorders>
    </w:tblPr>
    <w:tblStylePr w:type="firstRow">
      <w:rPr>
        <w:b/>
        <w:bCs/>
      </w:rPr>
      <w:tblPr/>
      <w:tcPr>
        <w:tcBorders>
          <w:bottom w:val="single" w:sz="12" w:space="0" w:color="A1C5E0"/>
        </w:tcBorders>
      </w:tcPr>
    </w:tblStylePr>
    <w:tblStylePr w:type="lastRow">
      <w:rPr>
        <w:b/>
        <w:bCs/>
      </w:rPr>
      <w:tblPr/>
      <w:tcPr>
        <w:tcBorders>
          <w:top w:val="double" w:sz="4" w:space="0" w:color="A1C5E0"/>
        </w:tcBorders>
      </w:tcPr>
    </w:tblStylePr>
    <w:tblStylePr w:type="firstCol">
      <w:rPr>
        <w:b/>
        <w:bCs/>
      </w:rPr>
    </w:tblStylePr>
    <w:tblStylePr w:type="lastCol">
      <w:rPr>
        <w:b/>
        <w:bCs/>
      </w:rPr>
    </w:tblStylePr>
    <w:tblStylePr w:type="band1Vert">
      <w:tblPr/>
      <w:tcPr>
        <w:shd w:val="clear" w:color="auto" w:fill="DFEBF4"/>
      </w:tcPr>
    </w:tblStylePr>
    <w:tblStylePr w:type="band1Horz">
      <w:tblPr/>
      <w:tcPr>
        <w:shd w:val="clear" w:color="auto" w:fill="DFEBF4"/>
      </w:tcPr>
    </w:tblStylePr>
  </w:style>
  <w:style w:type="table" w:customStyle="1" w:styleId="GridTable6Colorful-Accent1211">
    <w:name w:val="Grid Table 6 Colorful - Accent 1211"/>
    <w:basedOn w:val="TableNormal"/>
    <w:next w:val="GridTable6Colorful-Accent130"/>
    <w:uiPriority w:val="51"/>
    <w:rsid w:val="006D0778"/>
    <w:pPr>
      <w:spacing w:after="0" w:line="264" w:lineRule="auto"/>
    </w:pPr>
    <w:rPr>
      <w:rFonts w:eastAsia="MS PGothic"/>
      <w:color w:val="BF2B0E"/>
      <w:sz w:val="20"/>
      <w:szCs w:val="20"/>
      <w:lang w:eastAsia="ja-JP"/>
    </w:rPr>
    <w:tblPr>
      <w:tblStyleRowBandSize w:val="1"/>
      <w:tblStyleColBandSize w:val="1"/>
      <w:tblBorders>
        <w:top w:val="single" w:sz="4" w:space="0" w:color="F58F7A"/>
        <w:left w:val="single" w:sz="4" w:space="0" w:color="F58F7A"/>
        <w:bottom w:val="single" w:sz="4" w:space="0" w:color="F58F7A"/>
        <w:right w:val="single" w:sz="4" w:space="0" w:color="F58F7A"/>
        <w:insideH w:val="single" w:sz="4" w:space="0" w:color="F58F7A"/>
        <w:insideV w:val="single" w:sz="4" w:space="0" w:color="F58F7A"/>
      </w:tblBorders>
    </w:tblPr>
    <w:tblStylePr w:type="firstRow">
      <w:rPr>
        <w:b/>
        <w:bCs/>
      </w:rPr>
      <w:tblPr/>
      <w:tcPr>
        <w:tcBorders>
          <w:bottom w:val="single" w:sz="12" w:space="0" w:color="F58F7A"/>
        </w:tcBorders>
      </w:tcPr>
    </w:tblStylePr>
    <w:tblStylePr w:type="lastRow">
      <w:rPr>
        <w:b/>
        <w:bCs/>
      </w:rPr>
      <w:tblPr/>
      <w:tcPr>
        <w:tcBorders>
          <w:top w:val="double" w:sz="4" w:space="0" w:color="F58F7A"/>
        </w:tcBorders>
      </w:tcPr>
    </w:tblStylePr>
    <w:tblStylePr w:type="firstCol">
      <w:rPr>
        <w:b/>
        <w:bCs/>
      </w:rPr>
    </w:tblStylePr>
    <w:tblStylePr w:type="lastCol">
      <w:rPr>
        <w:b/>
        <w:bCs/>
      </w:rPr>
    </w:tblStylePr>
    <w:tblStylePr w:type="band1Vert">
      <w:tblPr/>
      <w:tcPr>
        <w:shd w:val="clear" w:color="auto" w:fill="FBD9D2"/>
      </w:tcPr>
    </w:tblStylePr>
    <w:tblStylePr w:type="band1Horz">
      <w:tblPr/>
      <w:tcPr>
        <w:shd w:val="clear" w:color="auto" w:fill="FBD9D2"/>
      </w:tcPr>
    </w:tblStylePr>
  </w:style>
  <w:style w:type="table" w:customStyle="1" w:styleId="LightShading-Accent122111">
    <w:name w:val="Light Shading - Accent 122111"/>
    <w:basedOn w:val="TableNormal"/>
    <w:uiPriority w:val="60"/>
    <w:rsid w:val="006D0778"/>
    <w:pPr>
      <w:spacing w:after="0" w:line="240" w:lineRule="auto"/>
    </w:pPr>
    <w:rPr>
      <w:rFonts w:ascii="Cambria" w:eastAsia="Calibri" w:hAnsi="Cambria" w:cs="Times New Roman"/>
      <w:color w:val="A8422A"/>
      <w:sz w:val="20"/>
      <w:szCs w:val="20"/>
      <w:lang w:val="en-GB" w:eastAsia="sr-Cyrl-CS"/>
    </w:rPr>
    <w:tblPr>
      <w:tblStyleRowBandSize w:val="1"/>
      <w:tblStyleColBandSize w:val="1"/>
      <w:tblBorders>
        <w:top w:val="single" w:sz="8" w:space="0" w:color="D16349"/>
        <w:bottom w:val="single" w:sz="8" w:space="0" w:color="D16349"/>
      </w:tblBorders>
    </w:tblPr>
    <w:tblStylePr w:type="fir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la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D8D2"/>
      </w:tcPr>
    </w:tblStylePr>
    <w:tblStylePr w:type="band1Horz">
      <w:tblPr/>
      <w:tcPr>
        <w:tcBorders>
          <w:left w:val="nil"/>
          <w:right w:val="nil"/>
          <w:insideH w:val="nil"/>
          <w:insideV w:val="nil"/>
        </w:tcBorders>
        <w:shd w:val="clear" w:color="auto" w:fill="F3D8D2"/>
      </w:tcPr>
    </w:tblStylePr>
  </w:style>
  <w:style w:type="table" w:customStyle="1" w:styleId="GridTable6Colorful-Accent52111">
    <w:name w:val="Grid Table 6 Colorful - Accent 52111"/>
    <w:basedOn w:val="TableNormal"/>
    <w:next w:val="GridTable6Colorful-Accent540"/>
    <w:uiPriority w:val="51"/>
    <w:rsid w:val="006D0778"/>
    <w:pPr>
      <w:spacing w:after="0" w:line="240" w:lineRule="auto"/>
    </w:pPr>
    <w:rPr>
      <w:rFonts w:ascii="Calibri" w:eastAsia="Calibri" w:hAnsi="Calibri" w:cs="Times New Roman"/>
      <w:color w:val="C19300"/>
      <w:sz w:val="20"/>
      <w:szCs w:val="20"/>
    </w:rPr>
    <w:tblPr>
      <w:tblStyleRowBandSize w:val="1"/>
      <w:tblStyleColBandSize w:val="1"/>
      <w:tblBorders>
        <w:top w:val="single" w:sz="4" w:space="0" w:color="FEDA69"/>
        <w:left w:val="single" w:sz="4" w:space="0" w:color="FEDA69"/>
        <w:bottom w:val="single" w:sz="4" w:space="0" w:color="FEDA69"/>
        <w:right w:val="single" w:sz="4" w:space="0" w:color="FEDA69"/>
        <w:insideH w:val="single" w:sz="4" w:space="0" w:color="FEDA69"/>
        <w:insideV w:val="single" w:sz="4" w:space="0" w:color="FEDA69"/>
      </w:tblBorders>
    </w:tblPr>
    <w:tblStylePr w:type="firstRow">
      <w:rPr>
        <w:b/>
        <w:bCs/>
      </w:rPr>
      <w:tblPr/>
      <w:tcPr>
        <w:tcBorders>
          <w:bottom w:val="single" w:sz="12" w:space="0" w:color="FEDA69"/>
        </w:tcBorders>
      </w:tcPr>
    </w:tblStylePr>
    <w:tblStylePr w:type="lastRow">
      <w:rPr>
        <w:b/>
        <w:bCs/>
      </w:rPr>
      <w:tblPr/>
      <w:tcPr>
        <w:tcBorders>
          <w:top w:val="double" w:sz="4" w:space="0" w:color="FEDA69"/>
        </w:tcBorders>
      </w:tcPr>
    </w:tblStylePr>
    <w:tblStylePr w:type="firstCol">
      <w:rPr>
        <w:b/>
        <w:bCs/>
      </w:rPr>
    </w:tblStylePr>
    <w:tblStylePr w:type="lastCol">
      <w:rPr>
        <w:b/>
        <w:bCs/>
      </w:rPr>
    </w:tblStylePr>
    <w:tblStylePr w:type="band1Vert">
      <w:tblPr/>
      <w:tcPr>
        <w:shd w:val="clear" w:color="auto" w:fill="FEF2CD"/>
      </w:tcPr>
    </w:tblStylePr>
    <w:tblStylePr w:type="band1Horz">
      <w:tblPr/>
      <w:tcPr>
        <w:shd w:val="clear" w:color="auto" w:fill="FEF2CD"/>
      </w:tcPr>
    </w:tblStylePr>
  </w:style>
  <w:style w:type="table" w:customStyle="1" w:styleId="tabele3411">
    <w:name w:val="tabele 3411"/>
    <w:basedOn w:val="TableNormal"/>
    <w:next w:val="LightList-Accent3"/>
    <w:uiPriority w:val="61"/>
    <w:rsid w:val="006D0778"/>
    <w:pPr>
      <w:spacing w:after="0" w:line="240" w:lineRule="auto"/>
    </w:pPr>
    <w:rPr>
      <w:rFonts w:ascii="Cambria Math" w:eastAsia="Calibri" w:hAnsi="Cambria Math" w:cs="Times New Roman"/>
      <w:sz w:val="18"/>
      <w:lang w:val="sr-Cyrl-CS"/>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LightShading-Accent111011">
    <w:name w:val="Light Shading - Accent 111011"/>
    <w:basedOn w:val="TableNormal"/>
    <w:uiPriority w:val="60"/>
    <w:rsid w:val="006D0778"/>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3511">
    <w:name w:val="Light Shading - Accent 3511"/>
    <w:basedOn w:val="TableNormal"/>
    <w:next w:val="LightShading-Accent3"/>
    <w:uiPriority w:val="60"/>
    <w:rsid w:val="006D0778"/>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List-Accent5511">
    <w:name w:val="Light List - Accent 5511"/>
    <w:basedOn w:val="TableNormal"/>
    <w:next w:val="LightList-Accent5"/>
    <w:uiPriority w:val="61"/>
    <w:rsid w:val="006D0778"/>
    <w:pPr>
      <w:spacing w:after="0" w:line="240" w:lineRule="auto"/>
    </w:pPr>
    <w:rPr>
      <w:rFonts w:ascii="Calibri" w:eastAsia="Calibri" w:hAnsi="Calibri" w:cs="Times New Roman"/>
      <w:sz w:val="20"/>
      <w:szCs w:val="20"/>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Shading-Accent31411">
    <w:name w:val="Light Shading - Accent 31411"/>
    <w:basedOn w:val="TableNormal"/>
    <w:next w:val="LightShading-Accent3"/>
    <w:uiPriority w:val="60"/>
    <w:rsid w:val="006D0778"/>
    <w:pPr>
      <w:spacing w:after="0" w:line="240" w:lineRule="auto"/>
    </w:pPr>
    <w:rPr>
      <w:rFonts w:ascii="Constantia" w:eastAsia="Constantia" w:hAnsi="Constantia" w:cs="Times New Roman"/>
      <w:color w:val="8CADAE"/>
      <w:lang w:val="sr-Cyrl-CS"/>
    </w:rPr>
    <w:tblPr>
      <w:tblStyleRowBandSize w:val="1"/>
      <w:tblStyleColBandSize w:val="1"/>
      <w:tblBorders>
        <w:top w:val="single" w:sz="8" w:space="0" w:color="8CADAE"/>
        <w:bottom w:val="single" w:sz="8" w:space="0" w:color="8CADAE"/>
      </w:tblBorders>
    </w:tblPr>
    <w:tblStylePr w:type="fir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la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2EAEB"/>
      </w:tcPr>
    </w:tblStylePr>
    <w:tblStylePr w:type="band1Horz">
      <w:tblPr/>
      <w:tcPr>
        <w:tcBorders>
          <w:left w:val="nil"/>
          <w:right w:val="nil"/>
          <w:insideH w:val="nil"/>
          <w:insideV w:val="nil"/>
        </w:tcBorders>
        <w:shd w:val="clear" w:color="auto" w:fill="E2EAEB"/>
      </w:tcPr>
    </w:tblStylePr>
  </w:style>
  <w:style w:type="table" w:customStyle="1" w:styleId="LightList-Accent31511">
    <w:name w:val="Light List - Accent 31511"/>
    <w:basedOn w:val="TableNormal"/>
    <w:next w:val="LightList-Accent3"/>
    <w:uiPriority w:val="61"/>
    <w:rsid w:val="006D0778"/>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TableGrid1111">
    <w:name w:val="Table Grid1111"/>
    <w:basedOn w:val="TableNormal"/>
    <w:next w:val="TableGrid"/>
    <w:uiPriority w:val="59"/>
    <w:rsid w:val="006D0778"/>
    <w:pPr>
      <w:spacing w:after="0" w:line="240" w:lineRule="auto"/>
    </w:pPr>
    <w:rPr>
      <w:rFonts w:ascii="Constantia" w:eastAsia="Constantia" w:hAnsi="Constantia" w:cs="Times New Roman"/>
      <w:lang w:val="sr-Cyrl-C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ghtList-Accent51411">
    <w:name w:val="Light List - Accent 51411"/>
    <w:basedOn w:val="TableNormal"/>
    <w:next w:val="LightList-Accent5"/>
    <w:uiPriority w:val="61"/>
    <w:rsid w:val="006D0778"/>
    <w:pPr>
      <w:spacing w:after="0" w:line="240" w:lineRule="auto"/>
    </w:pPr>
    <w:rPr>
      <w:rFonts w:ascii="Times New Roman" w:eastAsia="Constantia" w:hAnsi="Times New Roman" w:cs="Times New Roman"/>
      <w:lang w:val="sr-Cyrl-CS"/>
    </w:rPr>
    <w:tblPr>
      <w:tblStyleRowBandSize w:val="1"/>
      <w:tblStyleColBandSize w:val="1"/>
      <w:tblBorders>
        <w:top w:val="single" w:sz="8" w:space="0" w:color="8FB08C"/>
        <w:left w:val="single" w:sz="8" w:space="0" w:color="8FB08C"/>
        <w:bottom w:val="single" w:sz="8" w:space="0" w:color="8FB08C"/>
        <w:right w:val="single" w:sz="8" w:space="0" w:color="8FB08C"/>
      </w:tblBorders>
    </w:tblPr>
    <w:tblStylePr w:type="firstRow">
      <w:pPr>
        <w:spacing w:before="0" w:after="0" w:line="240" w:lineRule="auto"/>
      </w:pPr>
      <w:rPr>
        <w:b/>
        <w:bCs/>
        <w:color w:val="FFFFFF"/>
      </w:rPr>
      <w:tblPr/>
      <w:tcPr>
        <w:shd w:val="clear" w:color="auto" w:fill="8FB08C"/>
      </w:tcPr>
    </w:tblStylePr>
    <w:tblStylePr w:type="lastRow">
      <w:pPr>
        <w:spacing w:before="0" w:after="0" w:line="240" w:lineRule="auto"/>
      </w:pPr>
      <w:rPr>
        <w:b/>
        <w:bCs/>
      </w:rPr>
      <w:tblPr/>
      <w:tcPr>
        <w:tcBorders>
          <w:top w:val="double" w:sz="6" w:space="0" w:color="8FB08C"/>
          <w:left w:val="single" w:sz="8" w:space="0" w:color="8FB08C"/>
          <w:bottom w:val="single" w:sz="8" w:space="0" w:color="8FB08C"/>
          <w:right w:val="single" w:sz="8" w:space="0" w:color="8FB08C"/>
        </w:tcBorders>
      </w:tcPr>
    </w:tblStylePr>
    <w:tblStylePr w:type="firstCol">
      <w:rPr>
        <w:b/>
        <w:bCs/>
      </w:rPr>
    </w:tblStylePr>
    <w:tblStylePr w:type="lastCol">
      <w:rPr>
        <w:b/>
        <w:bCs/>
      </w:rPr>
    </w:tblStylePr>
    <w:tblStylePr w:type="band1Vert">
      <w:tblPr/>
      <w:tcPr>
        <w:tcBorders>
          <w:top w:val="single" w:sz="8" w:space="0" w:color="8FB08C"/>
          <w:left w:val="single" w:sz="8" w:space="0" w:color="8FB08C"/>
          <w:bottom w:val="single" w:sz="8" w:space="0" w:color="8FB08C"/>
          <w:right w:val="single" w:sz="8" w:space="0" w:color="8FB08C"/>
        </w:tcBorders>
      </w:tcPr>
    </w:tblStylePr>
    <w:tblStylePr w:type="band1Horz">
      <w:tblPr/>
      <w:tcPr>
        <w:tcBorders>
          <w:top w:val="single" w:sz="8" w:space="0" w:color="8FB08C"/>
          <w:left w:val="single" w:sz="8" w:space="0" w:color="8FB08C"/>
          <w:bottom w:val="single" w:sz="8" w:space="0" w:color="8FB08C"/>
          <w:right w:val="single" w:sz="8" w:space="0" w:color="8FB08C"/>
        </w:tcBorders>
      </w:tcPr>
    </w:tblStylePr>
  </w:style>
  <w:style w:type="table" w:customStyle="1" w:styleId="MediumList1-Accent51111">
    <w:name w:val="Medium List 1 - Accent 51111"/>
    <w:basedOn w:val="TableNormal"/>
    <w:next w:val="MediumList1-Accent5"/>
    <w:uiPriority w:val="65"/>
    <w:rsid w:val="006D0778"/>
    <w:pPr>
      <w:spacing w:after="0" w:line="240" w:lineRule="auto"/>
    </w:pPr>
    <w:rPr>
      <w:rFonts w:ascii="Constantia" w:eastAsia="Constantia" w:hAnsi="Constantia" w:cs="Times New Roman"/>
      <w:color w:val="000000"/>
      <w:lang w:val="sr-Cyrl-CS"/>
    </w:rPr>
    <w:tblPr>
      <w:tblStyleRowBandSize w:val="1"/>
      <w:tblStyleColBandSize w:val="1"/>
      <w:tblBorders>
        <w:top w:val="single" w:sz="8" w:space="0" w:color="8FB08C"/>
        <w:bottom w:val="single" w:sz="8" w:space="0" w:color="8FB08C"/>
      </w:tblBorders>
    </w:tblPr>
    <w:tblStylePr w:type="firstRow">
      <w:rPr>
        <w:rFonts w:ascii="Consolas" w:eastAsia="Times New Roman" w:hAnsi="Consolas" w:cs="Times New Roman"/>
      </w:rPr>
      <w:tblPr/>
      <w:tcPr>
        <w:tcBorders>
          <w:top w:val="nil"/>
          <w:bottom w:val="single" w:sz="8" w:space="0" w:color="8FB08C"/>
        </w:tcBorders>
      </w:tcPr>
    </w:tblStylePr>
    <w:tblStylePr w:type="lastRow">
      <w:rPr>
        <w:b/>
        <w:bCs/>
        <w:color w:val="646B86"/>
      </w:rPr>
      <w:tblPr/>
      <w:tcPr>
        <w:tcBorders>
          <w:top w:val="single" w:sz="8" w:space="0" w:color="8FB08C"/>
          <w:bottom w:val="single" w:sz="8" w:space="0" w:color="8FB08C"/>
        </w:tcBorders>
      </w:tcPr>
    </w:tblStylePr>
    <w:tblStylePr w:type="firstCol">
      <w:rPr>
        <w:b/>
        <w:bCs/>
      </w:rPr>
    </w:tblStylePr>
    <w:tblStylePr w:type="lastCol">
      <w:rPr>
        <w:b/>
        <w:bCs/>
      </w:rPr>
      <w:tblPr/>
      <w:tcPr>
        <w:tcBorders>
          <w:top w:val="single" w:sz="8" w:space="0" w:color="8FB08C"/>
          <w:bottom w:val="single" w:sz="8" w:space="0" w:color="8FB08C"/>
        </w:tcBorders>
      </w:tcPr>
    </w:tblStylePr>
    <w:tblStylePr w:type="band1Vert">
      <w:tblPr/>
      <w:tcPr>
        <w:shd w:val="clear" w:color="auto" w:fill="E3EBE2"/>
      </w:tcPr>
    </w:tblStylePr>
    <w:tblStylePr w:type="band1Horz">
      <w:tblPr/>
      <w:tcPr>
        <w:shd w:val="clear" w:color="auto" w:fill="E3EBE2"/>
      </w:tcPr>
    </w:tblStylePr>
  </w:style>
  <w:style w:type="table" w:customStyle="1" w:styleId="MediumList1-Accent5211">
    <w:name w:val="Medium List 1 - Accent 5211"/>
    <w:basedOn w:val="TableNormal"/>
    <w:next w:val="MediumList1-Accent5"/>
    <w:uiPriority w:val="65"/>
    <w:rsid w:val="006D0778"/>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4BACC6"/>
        <w:bottom w:val="single" w:sz="8" w:space="0" w:color="4BACC6"/>
      </w:tblBorders>
    </w:tblPr>
    <w:tblStylePr w:type="firstRow">
      <w:rPr>
        <w:rFonts w:ascii="Times New Roman" w:eastAsia="Times New Roman" w:hAnsi="Times New Roman" w:cs="Times New Roman"/>
      </w:rPr>
      <w:tblPr/>
      <w:tcPr>
        <w:tcBorders>
          <w:top w:val="nil"/>
          <w:bottom w:val="single" w:sz="8" w:space="0" w:color="4BACC6"/>
        </w:tcBorders>
      </w:tcPr>
    </w:tblStylePr>
    <w:tblStylePr w:type="lastRow">
      <w:rPr>
        <w:b/>
        <w:bCs/>
        <w:color w:val="1F497D"/>
      </w:rPr>
      <w:tblPr/>
      <w:tcPr>
        <w:tcBorders>
          <w:top w:val="single" w:sz="8" w:space="0" w:color="4BACC6"/>
          <w:bottom w:val="single" w:sz="8" w:space="0" w:color="4BACC6"/>
        </w:tcBorders>
      </w:tcPr>
    </w:tblStylePr>
    <w:tblStylePr w:type="firstCol">
      <w:rPr>
        <w:b/>
        <w:bCs/>
      </w:rPr>
    </w:tblStylePr>
    <w:tblStylePr w:type="lastCol">
      <w:rPr>
        <w:b/>
        <w:bCs/>
      </w:rPr>
      <w:tblPr/>
      <w:tcPr>
        <w:tcBorders>
          <w:top w:val="single" w:sz="8" w:space="0" w:color="4BACC6"/>
          <w:bottom w:val="single" w:sz="8" w:space="0" w:color="4BACC6"/>
        </w:tcBorders>
      </w:tcPr>
    </w:tblStylePr>
    <w:tblStylePr w:type="band1Vert">
      <w:tblPr/>
      <w:tcPr>
        <w:shd w:val="clear" w:color="auto" w:fill="D2EAF1"/>
      </w:tcPr>
    </w:tblStylePr>
    <w:tblStylePr w:type="band1Horz">
      <w:tblPr/>
      <w:tcPr>
        <w:shd w:val="clear" w:color="auto" w:fill="D2EAF1"/>
      </w:tcPr>
    </w:tblStylePr>
  </w:style>
  <w:style w:type="numbering" w:customStyle="1" w:styleId="NoList11111">
    <w:name w:val="No List11111"/>
    <w:next w:val="NoList"/>
    <w:uiPriority w:val="99"/>
    <w:semiHidden/>
    <w:unhideWhenUsed/>
    <w:rsid w:val="006D0778"/>
  </w:style>
  <w:style w:type="table" w:customStyle="1" w:styleId="LightGrid-Accent51511">
    <w:name w:val="Light Grid - Accent 51511"/>
    <w:basedOn w:val="TableNormal"/>
    <w:next w:val="LightGrid-Accent5"/>
    <w:uiPriority w:val="62"/>
    <w:rsid w:val="006D0778"/>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Verdana" w:eastAsia="Times New Roman" w:hAnsi="Verdan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Verdana" w:eastAsia="Times New Roman" w:hAnsi="Verdan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Verdana" w:eastAsia="Times New Roman" w:hAnsi="Verdana" w:cs="Times New Roman"/>
        <w:b/>
        <w:bCs/>
      </w:rPr>
    </w:tblStylePr>
    <w:tblStylePr w:type="lastCol">
      <w:rPr>
        <w:rFonts w:ascii="Verdana" w:eastAsia="Times New Roman" w:hAnsi="Verdan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11411">
    <w:name w:val="Светло сенчење – наглашавање 11411"/>
    <w:basedOn w:val="TableNormal"/>
    <w:uiPriority w:val="60"/>
    <w:rsid w:val="006D0778"/>
    <w:pPr>
      <w:spacing w:after="0" w:line="240" w:lineRule="auto"/>
    </w:pPr>
    <w:rPr>
      <w:rFonts w:ascii="Calibri" w:eastAsia="Calibri" w:hAnsi="Calibri" w:cs="Times New Roman"/>
      <w:color w:val="365F91"/>
      <w:sz w:val="20"/>
      <w:szCs w:val="20"/>
      <w:lang w:val="sr-Latn-CS" w:eastAsia="en-GB"/>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Grid-Accent5611">
    <w:name w:val="Light Grid - Accent 5611"/>
    <w:basedOn w:val="TableNormal"/>
    <w:next w:val="LightGrid-Accent5"/>
    <w:uiPriority w:val="62"/>
    <w:rsid w:val="006D0778"/>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Verdana" w:eastAsia="Times New Roman" w:hAnsi="Verdana"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Verdana" w:eastAsia="Times New Roman" w:hAnsi="Verdana"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Verdana" w:eastAsia="Times New Roman" w:hAnsi="Verdana" w:cs="Times New Roman"/>
        <w:b/>
        <w:bCs/>
      </w:rPr>
    </w:tblStylePr>
    <w:tblStylePr w:type="lastCol">
      <w:rPr>
        <w:rFonts w:ascii="Verdana" w:eastAsia="Times New Roman" w:hAnsi="Verdana"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tabelezaifs1110">
    <w:name w:val="tabele za ifs111"/>
    <w:basedOn w:val="TableNormal"/>
    <w:uiPriority w:val="99"/>
    <w:qFormat/>
    <w:rsid w:val="006D0778"/>
    <w:pPr>
      <w:spacing w:after="0" w:line="240" w:lineRule="auto"/>
    </w:pPr>
    <w:rPr>
      <w:rFonts w:ascii="Cambria Math" w:eastAsia="Calibri" w:hAnsi="Cambria Math" w:cs="Times New Roman"/>
      <w:sz w:val="20"/>
      <w:szCs w:val="20"/>
      <w:lang w:val="en-GB" w:eastAsia="en-GB"/>
    </w:rPr>
    <w:tblPr/>
  </w:style>
  <w:style w:type="table" w:customStyle="1" w:styleId="tabelezaifs1111">
    <w:name w:val="tabele za ifs 1111"/>
    <w:basedOn w:val="TableNormal"/>
    <w:uiPriority w:val="66"/>
    <w:rsid w:val="006D0778"/>
    <w:pPr>
      <w:spacing w:after="0" w:line="240" w:lineRule="auto"/>
    </w:pPr>
    <w:rPr>
      <w:rFonts w:ascii="Cambria Math" w:eastAsia="Times New Roman" w:hAnsi="Cambria Math" w:cs="Times New Roman"/>
      <w:color w:val="000000"/>
      <w:sz w:val="20"/>
      <w:szCs w:val="20"/>
      <w:lang w:val="en-GB" w:eastAsia="en-GB"/>
    </w:rPr>
    <w:tblPr>
      <w:tblStyleRowBandSize w:val="1"/>
      <w:tblStyleColBandSize w:val="1"/>
      <w:tblBorders>
        <w:top w:val="single" w:sz="8" w:space="0" w:color="8CADAE"/>
        <w:left w:val="single" w:sz="8" w:space="0" w:color="8CADAE"/>
        <w:bottom w:val="single" w:sz="8" w:space="0" w:color="8CADAE"/>
        <w:right w:val="single" w:sz="8" w:space="0" w:color="8CADAE"/>
      </w:tblBorders>
    </w:tblPr>
    <w:tcPr>
      <w:vAlign w:val="bottom"/>
    </w:tcPr>
    <w:tblStylePr w:type="firstRow">
      <w:rPr>
        <w:sz w:val="24"/>
        <w:szCs w:val="24"/>
      </w:rPr>
      <w:tblPr/>
      <w:tcPr>
        <w:tcBorders>
          <w:top w:val="nil"/>
          <w:left w:val="nil"/>
          <w:bottom w:val="single" w:sz="24" w:space="0" w:color="8CADAE"/>
          <w:right w:val="nil"/>
          <w:insideH w:val="nil"/>
          <w:insideV w:val="nil"/>
        </w:tcBorders>
        <w:shd w:val="clear" w:color="auto" w:fill="FFFFFF"/>
      </w:tcPr>
    </w:tblStylePr>
    <w:tblStylePr w:type="lastRow">
      <w:tblPr/>
      <w:tcPr>
        <w:tcBorders>
          <w:top w:val="single" w:sz="8" w:space="0" w:color="8CADAE"/>
          <w:left w:val="nil"/>
          <w:bottom w:val="nil"/>
          <w:right w:val="nil"/>
          <w:insideH w:val="nil"/>
          <w:insideV w:val="nil"/>
        </w:tcBorders>
        <w:shd w:val="clear" w:color="auto" w:fill="FFFFFF"/>
      </w:tcPr>
    </w:tblStylePr>
    <w:tblStylePr w:type="firstCol">
      <w:tblPr/>
      <w:tcPr>
        <w:tcBorders>
          <w:top w:val="nil"/>
          <w:left w:val="nil"/>
          <w:bottom w:val="nil"/>
          <w:right w:val="single" w:sz="8" w:space="0" w:color="8CADAE"/>
          <w:insideH w:val="nil"/>
          <w:insideV w:val="nil"/>
        </w:tcBorders>
        <w:shd w:val="clear" w:color="auto" w:fill="FFFFFF"/>
      </w:tcPr>
    </w:tblStylePr>
    <w:tblStylePr w:type="lastCol">
      <w:tblPr/>
      <w:tcPr>
        <w:tcBorders>
          <w:top w:val="nil"/>
          <w:left w:val="single" w:sz="8" w:space="0" w:color="8CADAE"/>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2EAEB"/>
      </w:tcPr>
    </w:tblStylePr>
    <w:tblStylePr w:type="band1Horz">
      <w:tblPr/>
      <w:tcPr>
        <w:tcBorders>
          <w:top w:val="nil"/>
          <w:bottom w:val="nil"/>
          <w:insideH w:val="nil"/>
          <w:insideV w:val="nil"/>
        </w:tcBorders>
        <w:shd w:val="clear" w:color="auto" w:fill="E2EAEB"/>
      </w:tcPr>
    </w:tblStylePr>
    <w:tblStylePr w:type="nwCell">
      <w:tblPr/>
      <w:tcPr>
        <w:shd w:val="clear" w:color="auto" w:fill="FFFFFF"/>
      </w:tcPr>
    </w:tblStylePr>
    <w:tblStylePr w:type="swCell">
      <w:tblPr/>
      <w:tcPr>
        <w:tcBorders>
          <w:top w:val="nil"/>
        </w:tcBorders>
      </w:tcPr>
    </w:tblStylePr>
  </w:style>
  <w:style w:type="table" w:customStyle="1" w:styleId="ColorfulList-Accent1111">
    <w:name w:val="Colorful List - Accent 1111"/>
    <w:basedOn w:val="TableNormal"/>
    <w:next w:val="ColorfulList-Accent1"/>
    <w:uiPriority w:val="72"/>
    <w:rsid w:val="006D0778"/>
    <w:pPr>
      <w:spacing w:after="0" w:line="240" w:lineRule="auto"/>
    </w:pPr>
    <w:rPr>
      <w:rFonts w:ascii="Calibri" w:eastAsia="Calibri" w:hAnsi="Calibri" w:cs="Times New Roman"/>
      <w:color w:val="000000"/>
      <w:sz w:val="20"/>
      <w:szCs w:val="20"/>
      <w:lang w:val="en-GB" w:eastAsia="en-GB"/>
    </w:rPr>
    <w:tblPr>
      <w:tblStyleRowBandSize w:val="1"/>
      <w:tblStyleColBandSize w:val="1"/>
    </w:tblPr>
    <w:tcPr>
      <w:shd w:val="clear" w:color="auto" w:fill="FAEFEC"/>
    </w:tcPr>
    <w:tblStylePr w:type="firstRow">
      <w:rPr>
        <w:b/>
        <w:bCs/>
        <w:color w:val="FFFFFF"/>
      </w:rPr>
      <w:tblPr/>
      <w:tcPr>
        <w:tcBorders>
          <w:bottom w:val="single" w:sz="12" w:space="0" w:color="FFFFFF"/>
        </w:tcBorders>
        <w:shd w:val="clear" w:color="auto" w:fill="A38F00"/>
      </w:tcPr>
    </w:tblStylePr>
    <w:tblStylePr w:type="lastRow">
      <w:rPr>
        <w:b/>
        <w:bCs/>
        <w:color w:val="A38F00"/>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3D8D2"/>
      </w:tcPr>
    </w:tblStylePr>
    <w:tblStylePr w:type="band1Horz">
      <w:tblPr/>
      <w:tcPr>
        <w:shd w:val="clear" w:color="auto" w:fill="F5DFDA"/>
      </w:tcPr>
    </w:tblStylePr>
  </w:style>
  <w:style w:type="numbering" w:customStyle="1" w:styleId="NoList2111">
    <w:name w:val="No List2111"/>
    <w:next w:val="NoList"/>
    <w:uiPriority w:val="99"/>
    <w:semiHidden/>
    <w:unhideWhenUsed/>
    <w:rsid w:val="006D0778"/>
  </w:style>
  <w:style w:type="table" w:customStyle="1" w:styleId="LightList-Accent32411">
    <w:name w:val="Light List - Accent 32411"/>
    <w:basedOn w:val="TableNormal"/>
    <w:next w:val="LightList-Accent3"/>
    <w:uiPriority w:val="61"/>
    <w:rsid w:val="006D0778"/>
    <w:pPr>
      <w:spacing w:after="0" w:line="240" w:lineRule="auto"/>
    </w:pPr>
    <w:rPr>
      <w:rFonts w:ascii="Calibri" w:eastAsia="Calibri" w:hAnsi="Calibri" w:cs="Times New Roman"/>
      <w:sz w:val="20"/>
      <w:szCs w:val="20"/>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311411">
    <w:name w:val="Light List - Accent 311411"/>
    <w:basedOn w:val="TableNormal"/>
    <w:next w:val="LightList-Accent3"/>
    <w:uiPriority w:val="61"/>
    <w:rsid w:val="006D0778"/>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Shading-Accent131711">
    <w:name w:val="Light Shading - Accent 13171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811">
    <w:name w:val="Light Shading - Accent 13181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2411">
    <w:name w:val="Light Shading - Accent 13241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tabele31111">
    <w:name w:val="tabele 31111"/>
    <w:basedOn w:val="TableNormal"/>
    <w:next w:val="LightList-Accent3"/>
    <w:uiPriority w:val="61"/>
    <w:rsid w:val="006D0778"/>
    <w:pPr>
      <w:spacing w:after="0" w:line="240" w:lineRule="auto"/>
    </w:pPr>
    <w:rPr>
      <w:rFonts w:ascii="Cambria Math" w:eastAsia="Calibri" w:hAnsi="Cambria Math" w:cs="Times New Roman"/>
      <w:sz w:val="18"/>
      <w:lang w:val="sr-Cyrl-CS"/>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LightShading-Accent111111">
    <w:name w:val="Light Shading - Accent 111111"/>
    <w:basedOn w:val="TableNormal"/>
    <w:uiPriority w:val="60"/>
    <w:rsid w:val="006D0778"/>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32111">
    <w:name w:val="Light Shading - Accent 32111"/>
    <w:basedOn w:val="TableNormal"/>
    <w:next w:val="LightShading-Accent3"/>
    <w:uiPriority w:val="60"/>
    <w:rsid w:val="006D0778"/>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List-Accent52111">
    <w:name w:val="Light List - Accent 52111"/>
    <w:basedOn w:val="TableNormal"/>
    <w:next w:val="LightList-Accent5"/>
    <w:uiPriority w:val="61"/>
    <w:rsid w:val="006D0778"/>
    <w:pPr>
      <w:spacing w:after="0" w:line="240" w:lineRule="auto"/>
    </w:pPr>
    <w:rPr>
      <w:rFonts w:ascii="Calibri" w:eastAsia="Calibri" w:hAnsi="Calibri" w:cs="Times New Roman"/>
      <w:sz w:val="20"/>
      <w:szCs w:val="20"/>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Shading-Accent311111">
    <w:name w:val="Light Shading - Accent 311111"/>
    <w:basedOn w:val="TableNormal"/>
    <w:next w:val="LightShading-Accent3"/>
    <w:uiPriority w:val="60"/>
    <w:rsid w:val="006D0778"/>
    <w:pPr>
      <w:spacing w:after="0" w:line="240" w:lineRule="auto"/>
    </w:pPr>
    <w:rPr>
      <w:rFonts w:ascii="Constantia" w:eastAsia="Constantia" w:hAnsi="Constantia" w:cs="Times New Roman"/>
      <w:color w:val="8CADAE"/>
      <w:lang w:val="sr-Cyrl-CS"/>
    </w:rPr>
    <w:tblPr>
      <w:tblStyleRowBandSize w:val="1"/>
      <w:tblStyleColBandSize w:val="1"/>
      <w:tblBorders>
        <w:top w:val="single" w:sz="8" w:space="0" w:color="8CADAE"/>
        <w:bottom w:val="single" w:sz="8" w:space="0" w:color="8CADAE"/>
      </w:tblBorders>
    </w:tblPr>
    <w:tblStylePr w:type="fir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la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2EAEB"/>
      </w:tcPr>
    </w:tblStylePr>
    <w:tblStylePr w:type="band1Horz">
      <w:tblPr/>
      <w:tcPr>
        <w:tcBorders>
          <w:left w:val="nil"/>
          <w:right w:val="nil"/>
          <w:insideH w:val="nil"/>
          <w:insideV w:val="nil"/>
        </w:tcBorders>
        <w:shd w:val="clear" w:color="auto" w:fill="E2EAEB"/>
      </w:tcPr>
    </w:tblStylePr>
  </w:style>
  <w:style w:type="table" w:customStyle="1" w:styleId="LightList-Accent312111">
    <w:name w:val="Light List - Accent 312111"/>
    <w:basedOn w:val="TableNormal"/>
    <w:next w:val="LightList-Accent3"/>
    <w:uiPriority w:val="61"/>
    <w:rsid w:val="006D0778"/>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511111">
    <w:name w:val="Light List - Accent 511111"/>
    <w:basedOn w:val="TableNormal"/>
    <w:next w:val="LightList-Accent5"/>
    <w:uiPriority w:val="61"/>
    <w:rsid w:val="006D0778"/>
    <w:pPr>
      <w:spacing w:after="0" w:line="240" w:lineRule="auto"/>
    </w:pPr>
    <w:rPr>
      <w:rFonts w:ascii="Times New Roman" w:eastAsia="Constantia" w:hAnsi="Times New Roman" w:cs="Times New Roman"/>
      <w:lang w:val="sr-Cyrl-CS"/>
    </w:rPr>
    <w:tblPr>
      <w:tblStyleRowBandSize w:val="1"/>
      <w:tblStyleColBandSize w:val="1"/>
      <w:tblBorders>
        <w:top w:val="single" w:sz="8" w:space="0" w:color="8FB08C"/>
        <w:left w:val="single" w:sz="8" w:space="0" w:color="8FB08C"/>
        <w:bottom w:val="single" w:sz="8" w:space="0" w:color="8FB08C"/>
        <w:right w:val="single" w:sz="8" w:space="0" w:color="8FB08C"/>
      </w:tblBorders>
    </w:tblPr>
    <w:tblStylePr w:type="firstRow">
      <w:pPr>
        <w:spacing w:before="0" w:after="0" w:line="240" w:lineRule="auto"/>
      </w:pPr>
      <w:rPr>
        <w:b/>
        <w:bCs/>
        <w:color w:val="FFFFFF"/>
      </w:rPr>
      <w:tblPr/>
      <w:tcPr>
        <w:shd w:val="clear" w:color="auto" w:fill="8FB08C"/>
      </w:tcPr>
    </w:tblStylePr>
    <w:tblStylePr w:type="lastRow">
      <w:pPr>
        <w:spacing w:before="0" w:after="0" w:line="240" w:lineRule="auto"/>
      </w:pPr>
      <w:rPr>
        <w:b/>
        <w:bCs/>
      </w:rPr>
      <w:tblPr/>
      <w:tcPr>
        <w:tcBorders>
          <w:top w:val="double" w:sz="6" w:space="0" w:color="8FB08C"/>
          <w:left w:val="single" w:sz="8" w:space="0" w:color="8FB08C"/>
          <w:bottom w:val="single" w:sz="8" w:space="0" w:color="8FB08C"/>
          <w:right w:val="single" w:sz="8" w:space="0" w:color="8FB08C"/>
        </w:tcBorders>
      </w:tcPr>
    </w:tblStylePr>
    <w:tblStylePr w:type="firstCol">
      <w:rPr>
        <w:b/>
        <w:bCs/>
      </w:rPr>
    </w:tblStylePr>
    <w:tblStylePr w:type="lastCol">
      <w:rPr>
        <w:b/>
        <w:bCs/>
      </w:rPr>
    </w:tblStylePr>
    <w:tblStylePr w:type="band1Vert">
      <w:tblPr/>
      <w:tcPr>
        <w:tcBorders>
          <w:top w:val="single" w:sz="8" w:space="0" w:color="8FB08C"/>
          <w:left w:val="single" w:sz="8" w:space="0" w:color="8FB08C"/>
          <w:bottom w:val="single" w:sz="8" w:space="0" w:color="8FB08C"/>
          <w:right w:val="single" w:sz="8" w:space="0" w:color="8FB08C"/>
        </w:tcBorders>
      </w:tcPr>
    </w:tblStylePr>
    <w:tblStylePr w:type="band1Horz">
      <w:tblPr/>
      <w:tcPr>
        <w:tcBorders>
          <w:top w:val="single" w:sz="8" w:space="0" w:color="8FB08C"/>
          <w:left w:val="single" w:sz="8" w:space="0" w:color="8FB08C"/>
          <w:bottom w:val="single" w:sz="8" w:space="0" w:color="8FB08C"/>
          <w:right w:val="single" w:sz="8" w:space="0" w:color="8FB08C"/>
        </w:tcBorders>
      </w:tcPr>
    </w:tblStylePr>
  </w:style>
  <w:style w:type="table" w:customStyle="1" w:styleId="LightGrid-Accent511211">
    <w:name w:val="Light Grid - Accent 511211"/>
    <w:basedOn w:val="TableNormal"/>
    <w:next w:val="LightGrid-Accent5"/>
    <w:uiPriority w:val="62"/>
    <w:rsid w:val="006D0778"/>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Verdana" w:eastAsia="Times New Roman" w:hAnsi="Verdan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Verdana" w:eastAsia="Times New Roman" w:hAnsi="Verdan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Verdana" w:eastAsia="Times New Roman" w:hAnsi="Verdana" w:cs="Times New Roman"/>
        <w:b/>
        <w:bCs/>
      </w:rPr>
    </w:tblStylePr>
    <w:tblStylePr w:type="lastCol">
      <w:rPr>
        <w:rFonts w:ascii="Verdana" w:eastAsia="Times New Roman" w:hAnsi="Verdan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111111">
    <w:name w:val="Светло сенчење – наглашавање 111111"/>
    <w:basedOn w:val="TableNormal"/>
    <w:uiPriority w:val="60"/>
    <w:rsid w:val="006D0778"/>
    <w:pPr>
      <w:spacing w:after="0" w:line="240" w:lineRule="auto"/>
    </w:pPr>
    <w:rPr>
      <w:rFonts w:ascii="Calibri" w:eastAsia="Calibri" w:hAnsi="Calibri" w:cs="Times New Roman"/>
      <w:color w:val="365F91"/>
      <w:sz w:val="20"/>
      <w:szCs w:val="20"/>
      <w:lang w:val="sr-Latn-CS" w:eastAsia="en-GB"/>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Grid-Accent52211">
    <w:name w:val="Light Grid - Accent 52211"/>
    <w:basedOn w:val="TableNormal"/>
    <w:next w:val="LightGrid-Accent5"/>
    <w:uiPriority w:val="62"/>
    <w:rsid w:val="006D0778"/>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Verdana" w:eastAsia="Times New Roman" w:hAnsi="Verdana"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Verdana" w:eastAsia="Times New Roman" w:hAnsi="Verdana"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Verdana" w:eastAsia="Times New Roman" w:hAnsi="Verdana" w:cs="Times New Roman"/>
        <w:b/>
        <w:bCs/>
      </w:rPr>
    </w:tblStylePr>
    <w:tblStylePr w:type="lastCol">
      <w:rPr>
        <w:rFonts w:ascii="Verdana" w:eastAsia="Times New Roman" w:hAnsi="Verdana"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List-Accent321111">
    <w:name w:val="Light List - Accent 321111"/>
    <w:basedOn w:val="TableNormal"/>
    <w:next w:val="LightList-Accent3"/>
    <w:uiPriority w:val="61"/>
    <w:rsid w:val="006D0778"/>
    <w:pPr>
      <w:spacing w:after="0" w:line="240" w:lineRule="auto"/>
    </w:pPr>
    <w:rPr>
      <w:rFonts w:ascii="Calibri" w:eastAsia="Calibri" w:hAnsi="Calibri" w:cs="Times New Roman"/>
      <w:sz w:val="20"/>
      <w:szCs w:val="20"/>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3111111">
    <w:name w:val="Light List - Accent 3111111"/>
    <w:basedOn w:val="TableNormal"/>
    <w:next w:val="LightList-Accent3"/>
    <w:uiPriority w:val="61"/>
    <w:rsid w:val="006D0778"/>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Shading-Accent133111">
    <w:name w:val="Light Shading - Accent 13311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1111">
    <w:name w:val="Light Shading - Accent 131111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21111">
    <w:name w:val="Light Shading - Accent 132111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2111">
    <w:name w:val="Light Shading - Accent 112111"/>
    <w:basedOn w:val="TableNormal"/>
    <w:uiPriority w:val="60"/>
    <w:rsid w:val="006D0778"/>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4111">
    <w:name w:val="Light Shading - Accent 13411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3111">
    <w:name w:val="Light Shading - Accent 113111"/>
    <w:basedOn w:val="TableNormal"/>
    <w:uiPriority w:val="60"/>
    <w:rsid w:val="006D0778"/>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5111">
    <w:name w:val="Light Shading - Accent 13511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6211">
    <w:name w:val="Light Shading - Accent 13621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7111">
    <w:name w:val="Light Shading - Accent 13711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tabele32111">
    <w:name w:val="tabele 32111"/>
    <w:basedOn w:val="TableNormal"/>
    <w:next w:val="LightList-Accent3"/>
    <w:uiPriority w:val="61"/>
    <w:rsid w:val="006D0778"/>
    <w:pPr>
      <w:spacing w:after="0" w:line="240" w:lineRule="auto"/>
    </w:pPr>
    <w:rPr>
      <w:rFonts w:ascii="Cambria Math" w:eastAsia="Calibri" w:hAnsi="Cambria Math" w:cs="Times New Roman"/>
      <w:sz w:val="18"/>
      <w:lang w:val="sr-Cyrl-CS"/>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LightShading-Accent114111">
    <w:name w:val="Light Shading - Accent 114111"/>
    <w:basedOn w:val="TableNormal"/>
    <w:uiPriority w:val="60"/>
    <w:rsid w:val="006D0778"/>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33411">
    <w:name w:val="Light Shading - Accent 33411"/>
    <w:basedOn w:val="TableNormal"/>
    <w:next w:val="LightShading-Accent3"/>
    <w:uiPriority w:val="60"/>
    <w:rsid w:val="006D0778"/>
    <w:pPr>
      <w:spacing w:after="0" w:line="240" w:lineRule="auto"/>
    </w:pPr>
    <w:rPr>
      <w:rFonts w:ascii="Arial" w:eastAsia="Calibri" w:hAnsi="Arial" w:cs="Times New Roman"/>
      <w:color w:val="474747"/>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List-Accent53111">
    <w:name w:val="Light List - Accent 53111"/>
    <w:basedOn w:val="TableNormal"/>
    <w:next w:val="LightList-Accent5"/>
    <w:uiPriority w:val="61"/>
    <w:rsid w:val="006D0778"/>
    <w:pPr>
      <w:spacing w:after="0" w:line="240" w:lineRule="auto"/>
    </w:pPr>
    <w:rPr>
      <w:rFonts w:ascii="Calibri" w:eastAsia="Calibri" w:hAnsi="Calibri" w:cs="Times New Roman"/>
      <w:sz w:val="20"/>
      <w:szCs w:val="20"/>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Shading-Accent312111">
    <w:name w:val="Light Shading - Accent 312111"/>
    <w:basedOn w:val="TableNormal"/>
    <w:next w:val="LightShading-Accent3"/>
    <w:uiPriority w:val="60"/>
    <w:rsid w:val="006D0778"/>
    <w:pPr>
      <w:spacing w:after="0" w:line="240" w:lineRule="auto"/>
    </w:pPr>
    <w:rPr>
      <w:rFonts w:ascii="Constantia" w:eastAsia="Constantia" w:hAnsi="Constantia" w:cs="Times New Roman"/>
      <w:color w:val="8CADAE"/>
      <w:lang w:val="sr-Cyrl-CS"/>
    </w:rPr>
    <w:tblPr>
      <w:tblStyleRowBandSize w:val="1"/>
      <w:tblStyleColBandSize w:val="1"/>
      <w:tblBorders>
        <w:top w:val="single" w:sz="8" w:space="0" w:color="8CADAE"/>
        <w:bottom w:val="single" w:sz="8" w:space="0" w:color="8CADAE"/>
      </w:tblBorders>
    </w:tblPr>
    <w:tblStylePr w:type="fir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la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2EAEB"/>
      </w:tcPr>
    </w:tblStylePr>
    <w:tblStylePr w:type="band1Horz">
      <w:tblPr/>
      <w:tcPr>
        <w:tcBorders>
          <w:left w:val="nil"/>
          <w:right w:val="nil"/>
          <w:insideH w:val="nil"/>
          <w:insideV w:val="nil"/>
        </w:tcBorders>
        <w:shd w:val="clear" w:color="auto" w:fill="E2EAEB"/>
      </w:tcPr>
    </w:tblStylePr>
  </w:style>
  <w:style w:type="table" w:customStyle="1" w:styleId="LightList-Accent313111">
    <w:name w:val="Light List - Accent 313111"/>
    <w:basedOn w:val="TableNormal"/>
    <w:next w:val="LightList-Accent3"/>
    <w:uiPriority w:val="61"/>
    <w:rsid w:val="006D0778"/>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512111">
    <w:name w:val="Light List - Accent 512111"/>
    <w:basedOn w:val="TableNormal"/>
    <w:next w:val="LightList-Accent5"/>
    <w:uiPriority w:val="61"/>
    <w:rsid w:val="006D0778"/>
    <w:pPr>
      <w:spacing w:after="0" w:line="240" w:lineRule="auto"/>
    </w:pPr>
    <w:rPr>
      <w:rFonts w:ascii="Times New Roman" w:eastAsia="Constantia" w:hAnsi="Times New Roman" w:cs="Times New Roman"/>
      <w:lang w:val="sr-Cyrl-CS"/>
    </w:rPr>
    <w:tblPr>
      <w:tblStyleRowBandSize w:val="1"/>
      <w:tblStyleColBandSize w:val="1"/>
      <w:tblBorders>
        <w:top w:val="single" w:sz="8" w:space="0" w:color="8FB08C"/>
        <w:left w:val="single" w:sz="8" w:space="0" w:color="8FB08C"/>
        <w:bottom w:val="single" w:sz="8" w:space="0" w:color="8FB08C"/>
        <w:right w:val="single" w:sz="8" w:space="0" w:color="8FB08C"/>
      </w:tblBorders>
    </w:tblPr>
    <w:tblStylePr w:type="firstRow">
      <w:pPr>
        <w:spacing w:before="0" w:after="0" w:line="240" w:lineRule="auto"/>
      </w:pPr>
      <w:rPr>
        <w:b/>
        <w:bCs/>
        <w:color w:val="FFFFFF"/>
      </w:rPr>
      <w:tblPr/>
      <w:tcPr>
        <w:shd w:val="clear" w:color="auto" w:fill="8FB08C"/>
      </w:tcPr>
    </w:tblStylePr>
    <w:tblStylePr w:type="lastRow">
      <w:pPr>
        <w:spacing w:before="0" w:after="0" w:line="240" w:lineRule="auto"/>
      </w:pPr>
      <w:rPr>
        <w:b/>
        <w:bCs/>
      </w:rPr>
      <w:tblPr/>
      <w:tcPr>
        <w:tcBorders>
          <w:top w:val="double" w:sz="6" w:space="0" w:color="8FB08C"/>
          <w:left w:val="single" w:sz="8" w:space="0" w:color="8FB08C"/>
          <w:bottom w:val="single" w:sz="8" w:space="0" w:color="8FB08C"/>
          <w:right w:val="single" w:sz="8" w:space="0" w:color="8FB08C"/>
        </w:tcBorders>
      </w:tcPr>
    </w:tblStylePr>
    <w:tblStylePr w:type="firstCol">
      <w:rPr>
        <w:b/>
        <w:bCs/>
      </w:rPr>
    </w:tblStylePr>
    <w:tblStylePr w:type="lastCol">
      <w:rPr>
        <w:b/>
        <w:bCs/>
      </w:rPr>
    </w:tblStylePr>
    <w:tblStylePr w:type="band1Vert">
      <w:tblPr/>
      <w:tcPr>
        <w:tcBorders>
          <w:top w:val="single" w:sz="8" w:space="0" w:color="8FB08C"/>
          <w:left w:val="single" w:sz="8" w:space="0" w:color="8FB08C"/>
          <w:bottom w:val="single" w:sz="8" w:space="0" w:color="8FB08C"/>
          <w:right w:val="single" w:sz="8" w:space="0" w:color="8FB08C"/>
        </w:tcBorders>
      </w:tcPr>
    </w:tblStylePr>
    <w:tblStylePr w:type="band1Horz">
      <w:tblPr/>
      <w:tcPr>
        <w:tcBorders>
          <w:top w:val="single" w:sz="8" w:space="0" w:color="8FB08C"/>
          <w:left w:val="single" w:sz="8" w:space="0" w:color="8FB08C"/>
          <w:bottom w:val="single" w:sz="8" w:space="0" w:color="8FB08C"/>
          <w:right w:val="single" w:sz="8" w:space="0" w:color="8FB08C"/>
        </w:tcBorders>
      </w:tcPr>
    </w:tblStylePr>
  </w:style>
  <w:style w:type="table" w:customStyle="1" w:styleId="LightGrid-Accent512211">
    <w:name w:val="Light Grid - Accent 512211"/>
    <w:basedOn w:val="TableNormal"/>
    <w:next w:val="LightGrid-Accent5"/>
    <w:uiPriority w:val="62"/>
    <w:rsid w:val="006D0778"/>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Verdana" w:eastAsia="Times New Roman" w:hAnsi="Verdan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Verdana" w:eastAsia="Times New Roman" w:hAnsi="Verdan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Verdana" w:eastAsia="Times New Roman" w:hAnsi="Verdana" w:cs="Times New Roman"/>
        <w:b/>
        <w:bCs/>
      </w:rPr>
    </w:tblStylePr>
    <w:tblStylePr w:type="lastCol">
      <w:rPr>
        <w:rFonts w:ascii="Verdana" w:eastAsia="Times New Roman" w:hAnsi="Verdan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112111">
    <w:name w:val="Светло сенчење – наглашавање 112111"/>
    <w:basedOn w:val="TableNormal"/>
    <w:uiPriority w:val="60"/>
    <w:rsid w:val="006D0778"/>
    <w:pPr>
      <w:spacing w:after="0" w:line="240" w:lineRule="auto"/>
    </w:pPr>
    <w:rPr>
      <w:rFonts w:ascii="Calibri" w:eastAsia="Calibri" w:hAnsi="Calibri" w:cs="Times New Roman"/>
      <w:color w:val="365F91"/>
      <w:sz w:val="20"/>
      <w:szCs w:val="20"/>
      <w:lang w:val="sr-Latn-CS" w:eastAsia="en-GB"/>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Grid-Accent53211">
    <w:name w:val="Light Grid - Accent 53211"/>
    <w:basedOn w:val="TableNormal"/>
    <w:next w:val="LightGrid-Accent5"/>
    <w:uiPriority w:val="62"/>
    <w:rsid w:val="006D0778"/>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Verdana" w:eastAsia="Times New Roman" w:hAnsi="Verdana"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Verdana" w:eastAsia="Times New Roman" w:hAnsi="Verdana"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Verdana" w:eastAsia="Times New Roman" w:hAnsi="Verdana" w:cs="Times New Roman"/>
        <w:b/>
        <w:bCs/>
      </w:rPr>
    </w:tblStylePr>
    <w:tblStylePr w:type="lastCol">
      <w:rPr>
        <w:rFonts w:ascii="Verdana" w:eastAsia="Times New Roman" w:hAnsi="Verdana"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List-Accent322111">
    <w:name w:val="Light List - Accent 322111"/>
    <w:basedOn w:val="TableNormal"/>
    <w:next w:val="LightList-Accent3"/>
    <w:uiPriority w:val="61"/>
    <w:rsid w:val="006D0778"/>
    <w:pPr>
      <w:spacing w:after="0" w:line="240" w:lineRule="auto"/>
    </w:pPr>
    <w:rPr>
      <w:rFonts w:ascii="Calibri" w:eastAsia="Calibri" w:hAnsi="Calibri" w:cs="Times New Roman"/>
      <w:sz w:val="20"/>
      <w:szCs w:val="20"/>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3112111">
    <w:name w:val="Light List - Accent 3112111"/>
    <w:basedOn w:val="TableNormal"/>
    <w:next w:val="LightList-Accent3"/>
    <w:uiPriority w:val="61"/>
    <w:rsid w:val="006D0778"/>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Shading-Accent138211">
    <w:name w:val="Light Shading - Accent 13821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2111">
    <w:name w:val="Light Shading - Accent 131211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22111">
    <w:name w:val="Light Shading - Accent 132211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5111">
    <w:name w:val="Light Shading - Accent 115111"/>
    <w:basedOn w:val="TableNormal"/>
    <w:uiPriority w:val="60"/>
    <w:rsid w:val="006D0778"/>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9211">
    <w:name w:val="Light Shading - Accent 13921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6211">
    <w:name w:val="Light Shading - Accent 116211"/>
    <w:basedOn w:val="TableNormal"/>
    <w:uiPriority w:val="60"/>
    <w:rsid w:val="006D0778"/>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0211">
    <w:name w:val="Light Shading - Accent 131021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3111">
    <w:name w:val="Light Shading - Accent 131311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tabele33111">
    <w:name w:val="tabele 33111"/>
    <w:basedOn w:val="TableNormal"/>
    <w:next w:val="LightList-Accent3"/>
    <w:uiPriority w:val="61"/>
    <w:rsid w:val="006D0778"/>
    <w:pPr>
      <w:spacing w:after="0" w:line="240" w:lineRule="auto"/>
    </w:pPr>
    <w:rPr>
      <w:rFonts w:ascii="Cambria Math" w:eastAsia="Calibri" w:hAnsi="Cambria Math" w:cs="Times New Roman"/>
      <w:sz w:val="18"/>
      <w:lang w:val="sr-Cyrl-CS"/>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LightShading-Accent117111">
    <w:name w:val="Light Shading - Accent 117111"/>
    <w:basedOn w:val="TableNormal"/>
    <w:uiPriority w:val="60"/>
    <w:rsid w:val="006D0778"/>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34311">
    <w:name w:val="Light Shading - Accent 34311"/>
    <w:basedOn w:val="TableNormal"/>
    <w:next w:val="LightShading-Accent3"/>
    <w:uiPriority w:val="60"/>
    <w:rsid w:val="006D0778"/>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List-Accent54111">
    <w:name w:val="Light List - Accent 54111"/>
    <w:basedOn w:val="TableNormal"/>
    <w:next w:val="LightList-Accent5"/>
    <w:uiPriority w:val="61"/>
    <w:rsid w:val="006D0778"/>
    <w:pPr>
      <w:spacing w:after="0" w:line="240" w:lineRule="auto"/>
    </w:pPr>
    <w:rPr>
      <w:rFonts w:ascii="Calibri" w:eastAsia="Calibri" w:hAnsi="Calibri" w:cs="Times New Roman"/>
      <w:sz w:val="20"/>
      <w:szCs w:val="20"/>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Shading-Accent313111">
    <w:name w:val="Light Shading - Accent 313111"/>
    <w:basedOn w:val="TableNormal"/>
    <w:next w:val="LightShading-Accent3"/>
    <w:uiPriority w:val="60"/>
    <w:rsid w:val="006D0778"/>
    <w:pPr>
      <w:spacing w:after="0" w:line="240" w:lineRule="auto"/>
    </w:pPr>
    <w:rPr>
      <w:rFonts w:ascii="Constantia" w:eastAsia="Constantia" w:hAnsi="Constantia" w:cs="Times New Roman"/>
      <w:color w:val="8CADAE"/>
      <w:lang w:val="sr-Cyrl-CS"/>
    </w:rPr>
    <w:tblPr>
      <w:tblStyleRowBandSize w:val="1"/>
      <w:tblStyleColBandSize w:val="1"/>
      <w:tblBorders>
        <w:top w:val="single" w:sz="8" w:space="0" w:color="8CADAE"/>
        <w:bottom w:val="single" w:sz="8" w:space="0" w:color="8CADAE"/>
      </w:tblBorders>
    </w:tblPr>
    <w:tblStylePr w:type="fir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la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2EAEB"/>
      </w:tcPr>
    </w:tblStylePr>
    <w:tblStylePr w:type="band1Horz">
      <w:tblPr/>
      <w:tcPr>
        <w:tcBorders>
          <w:left w:val="nil"/>
          <w:right w:val="nil"/>
          <w:insideH w:val="nil"/>
          <w:insideV w:val="nil"/>
        </w:tcBorders>
        <w:shd w:val="clear" w:color="auto" w:fill="E2EAEB"/>
      </w:tcPr>
    </w:tblStylePr>
  </w:style>
  <w:style w:type="table" w:customStyle="1" w:styleId="LightList-Accent314111">
    <w:name w:val="Light List - Accent 314111"/>
    <w:basedOn w:val="TableNormal"/>
    <w:next w:val="LightList-Accent3"/>
    <w:uiPriority w:val="61"/>
    <w:rsid w:val="006D0778"/>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513111">
    <w:name w:val="Light List - Accent 513111"/>
    <w:basedOn w:val="TableNormal"/>
    <w:next w:val="LightList-Accent5"/>
    <w:uiPriority w:val="61"/>
    <w:rsid w:val="006D0778"/>
    <w:pPr>
      <w:spacing w:after="0" w:line="240" w:lineRule="auto"/>
    </w:pPr>
    <w:rPr>
      <w:rFonts w:ascii="Times New Roman" w:eastAsia="Constantia" w:hAnsi="Times New Roman" w:cs="Times New Roman"/>
      <w:lang w:val="sr-Cyrl-CS"/>
    </w:rPr>
    <w:tblPr>
      <w:tblStyleRowBandSize w:val="1"/>
      <w:tblStyleColBandSize w:val="1"/>
      <w:tblBorders>
        <w:top w:val="single" w:sz="8" w:space="0" w:color="8FB08C"/>
        <w:left w:val="single" w:sz="8" w:space="0" w:color="8FB08C"/>
        <w:bottom w:val="single" w:sz="8" w:space="0" w:color="8FB08C"/>
        <w:right w:val="single" w:sz="8" w:space="0" w:color="8FB08C"/>
      </w:tblBorders>
    </w:tblPr>
    <w:tblStylePr w:type="firstRow">
      <w:pPr>
        <w:spacing w:before="0" w:after="0" w:line="240" w:lineRule="auto"/>
      </w:pPr>
      <w:rPr>
        <w:b/>
        <w:bCs/>
        <w:color w:val="FFFFFF"/>
      </w:rPr>
      <w:tblPr/>
      <w:tcPr>
        <w:shd w:val="clear" w:color="auto" w:fill="8FB08C"/>
      </w:tcPr>
    </w:tblStylePr>
    <w:tblStylePr w:type="lastRow">
      <w:pPr>
        <w:spacing w:before="0" w:after="0" w:line="240" w:lineRule="auto"/>
      </w:pPr>
      <w:rPr>
        <w:b/>
        <w:bCs/>
      </w:rPr>
      <w:tblPr/>
      <w:tcPr>
        <w:tcBorders>
          <w:top w:val="double" w:sz="6" w:space="0" w:color="8FB08C"/>
          <w:left w:val="single" w:sz="8" w:space="0" w:color="8FB08C"/>
          <w:bottom w:val="single" w:sz="8" w:space="0" w:color="8FB08C"/>
          <w:right w:val="single" w:sz="8" w:space="0" w:color="8FB08C"/>
        </w:tcBorders>
      </w:tcPr>
    </w:tblStylePr>
    <w:tblStylePr w:type="firstCol">
      <w:rPr>
        <w:b/>
        <w:bCs/>
      </w:rPr>
    </w:tblStylePr>
    <w:tblStylePr w:type="lastCol">
      <w:rPr>
        <w:b/>
        <w:bCs/>
      </w:rPr>
    </w:tblStylePr>
    <w:tblStylePr w:type="band1Vert">
      <w:tblPr/>
      <w:tcPr>
        <w:tcBorders>
          <w:top w:val="single" w:sz="8" w:space="0" w:color="8FB08C"/>
          <w:left w:val="single" w:sz="8" w:space="0" w:color="8FB08C"/>
          <w:bottom w:val="single" w:sz="8" w:space="0" w:color="8FB08C"/>
          <w:right w:val="single" w:sz="8" w:space="0" w:color="8FB08C"/>
        </w:tcBorders>
      </w:tcPr>
    </w:tblStylePr>
    <w:tblStylePr w:type="band1Horz">
      <w:tblPr/>
      <w:tcPr>
        <w:tcBorders>
          <w:top w:val="single" w:sz="8" w:space="0" w:color="8FB08C"/>
          <w:left w:val="single" w:sz="8" w:space="0" w:color="8FB08C"/>
          <w:bottom w:val="single" w:sz="8" w:space="0" w:color="8FB08C"/>
          <w:right w:val="single" w:sz="8" w:space="0" w:color="8FB08C"/>
        </w:tcBorders>
      </w:tcPr>
    </w:tblStylePr>
  </w:style>
  <w:style w:type="table" w:customStyle="1" w:styleId="LightGrid-Accent513211">
    <w:name w:val="Light Grid - Accent 513211"/>
    <w:basedOn w:val="TableNormal"/>
    <w:next w:val="LightGrid-Accent5"/>
    <w:uiPriority w:val="62"/>
    <w:rsid w:val="006D0778"/>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Verdana" w:eastAsia="Times New Roman" w:hAnsi="Verdan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Verdana" w:eastAsia="Times New Roman" w:hAnsi="Verdan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Verdana" w:eastAsia="Times New Roman" w:hAnsi="Verdana" w:cs="Times New Roman"/>
        <w:b/>
        <w:bCs/>
      </w:rPr>
    </w:tblStylePr>
    <w:tblStylePr w:type="lastCol">
      <w:rPr>
        <w:rFonts w:ascii="Verdana" w:eastAsia="Times New Roman" w:hAnsi="Verdan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113111">
    <w:name w:val="Светло сенчење – наглашавање 113111"/>
    <w:basedOn w:val="TableNormal"/>
    <w:uiPriority w:val="60"/>
    <w:rsid w:val="006D0778"/>
    <w:pPr>
      <w:spacing w:after="0" w:line="240" w:lineRule="auto"/>
    </w:pPr>
    <w:rPr>
      <w:rFonts w:ascii="Calibri" w:eastAsia="Calibri" w:hAnsi="Calibri" w:cs="Times New Roman"/>
      <w:color w:val="365F91"/>
      <w:sz w:val="20"/>
      <w:szCs w:val="20"/>
      <w:lang w:val="sr-Latn-CS" w:eastAsia="en-GB"/>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Grid-Accent54211">
    <w:name w:val="Light Grid - Accent 54211"/>
    <w:basedOn w:val="TableNormal"/>
    <w:next w:val="LightGrid-Accent5"/>
    <w:uiPriority w:val="62"/>
    <w:rsid w:val="006D0778"/>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Verdana" w:eastAsia="Times New Roman" w:hAnsi="Verdana"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Verdana" w:eastAsia="Times New Roman" w:hAnsi="Verdana"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Verdana" w:eastAsia="Times New Roman" w:hAnsi="Verdana" w:cs="Times New Roman"/>
        <w:b/>
        <w:bCs/>
      </w:rPr>
    </w:tblStylePr>
    <w:tblStylePr w:type="lastCol">
      <w:rPr>
        <w:rFonts w:ascii="Verdana" w:eastAsia="Times New Roman" w:hAnsi="Verdana"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Shading-Accent123111">
    <w:name w:val="Light Shading - Accent 123111"/>
    <w:basedOn w:val="TableNormal"/>
    <w:uiPriority w:val="60"/>
    <w:rsid w:val="006D0778"/>
    <w:pPr>
      <w:spacing w:after="0" w:line="240" w:lineRule="auto"/>
    </w:pPr>
    <w:rPr>
      <w:rFonts w:ascii="Cambria" w:eastAsia="Calibri" w:hAnsi="Cambria" w:cs="Times New Roman"/>
      <w:color w:val="A8422A"/>
      <w:sz w:val="20"/>
      <w:szCs w:val="20"/>
      <w:lang w:val="en-GB" w:eastAsia="sr-Cyrl-CS"/>
    </w:rPr>
    <w:tblPr>
      <w:tblStyleRowBandSize w:val="1"/>
      <w:tblStyleColBandSize w:val="1"/>
      <w:tblBorders>
        <w:top w:val="single" w:sz="8" w:space="0" w:color="D16349"/>
        <w:bottom w:val="single" w:sz="8" w:space="0" w:color="D16349"/>
      </w:tblBorders>
    </w:tblPr>
    <w:tblStylePr w:type="fir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la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D8D2"/>
      </w:tcPr>
    </w:tblStylePr>
    <w:tblStylePr w:type="band1Horz">
      <w:tblPr/>
      <w:tcPr>
        <w:tcBorders>
          <w:left w:val="nil"/>
          <w:right w:val="nil"/>
          <w:insideH w:val="nil"/>
          <w:insideV w:val="nil"/>
        </w:tcBorders>
        <w:shd w:val="clear" w:color="auto" w:fill="F3D8D2"/>
      </w:tcPr>
    </w:tblStylePr>
  </w:style>
  <w:style w:type="table" w:customStyle="1" w:styleId="LightList-Accent323111">
    <w:name w:val="Light List - Accent 323111"/>
    <w:basedOn w:val="TableNormal"/>
    <w:next w:val="LightList-Accent3"/>
    <w:uiPriority w:val="61"/>
    <w:rsid w:val="006D0778"/>
    <w:pPr>
      <w:spacing w:after="0" w:line="240" w:lineRule="auto"/>
    </w:pPr>
    <w:rPr>
      <w:rFonts w:ascii="Calibri" w:eastAsia="Calibri" w:hAnsi="Calibri" w:cs="Times New Roman"/>
      <w:sz w:val="20"/>
      <w:szCs w:val="20"/>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3113111">
    <w:name w:val="Light List - Accent 3113111"/>
    <w:basedOn w:val="TableNormal"/>
    <w:next w:val="LightList-Accent3"/>
    <w:uiPriority w:val="61"/>
    <w:rsid w:val="006D0778"/>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Shading-Accent1314111">
    <w:name w:val="Light Shading - Accent 131411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5111">
    <w:name w:val="Light Shading - Accent 131511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23111">
    <w:name w:val="Light Shading - Accent 132311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6111">
    <w:name w:val="Light Shading - Accent 131611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81111">
    <w:name w:val="Light Shading - Accent 138111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8111">
    <w:name w:val="Light Shading - Accent 118111"/>
    <w:basedOn w:val="TableNormal"/>
    <w:uiPriority w:val="60"/>
    <w:rsid w:val="006D0778"/>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91111">
    <w:name w:val="Light Shading - Accent 139111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61111">
    <w:name w:val="Light Shading - Accent 1161111"/>
    <w:basedOn w:val="TableNormal"/>
    <w:uiPriority w:val="60"/>
    <w:rsid w:val="006D0778"/>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01111">
    <w:name w:val="Light Shading - Accent 1310111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61111">
    <w:name w:val="Light Shading - Accent 136111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9111">
    <w:name w:val="Light Shading - Accent 11911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331111">
    <w:name w:val="Light Shading - Accent 331111"/>
    <w:basedOn w:val="TableNormal"/>
    <w:next w:val="LightShading-Accent3"/>
    <w:uiPriority w:val="60"/>
    <w:rsid w:val="006D0778"/>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Shading-Accent332111">
    <w:name w:val="Light Shading - Accent 332111"/>
    <w:basedOn w:val="TableNormal"/>
    <w:next w:val="LightShading-Accent3"/>
    <w:uiPriority w:val="60"/>
    <w:rsid w:val="006D0778"/>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Shading-Accent333111">
    <w:name w:val="Light Shading - Accent 333111"/>
    <w:basedOn w:val="TableNormal"/>
    <w:next w:val="LightShading-Accent3"/>
    <w:uiPriority w:val="60"/>
    <w:rsid w:val="006D0778"/>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Shading-Accent341111">
    <w:name w:val="Light Shading - Accent 341111"/>
    <w:basedOn w:val="TableNormal"/>
    <w:next w:val="LightShading-Accent3"/>
    <w:uiPriority w:val="60"/>
    <w:rsid w:val="006D0778"/>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Shading-Accent342111">
    <w:name w:val="Light Shading - Accent 342111"/>
    <w:basedOn w:val="TableNormal"/>
    <w:next w:val="LightShading-Accent3"/>
    <w:uiPriority w:val="60"/>
    <w:rsid w:val="006D0778"/>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Grid-Accent514111">
    <w:name w:val="Light Grid - Accent 514111"/>
    <w:basedOn w:val="TableNormal"/>
    <w:next w:val="LightGrid-Accent5"/>
    <w:uiPriority w:val="62"/>
    <w:rsid w:val="006D0778"/>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55111">
    <w:name w:val="Light Grid - Accent 55111"/>
    <w:basedOn w:val="TableNormal"/>
    <w:next w:val="LightGrid-Accent5"/>
    <w:uiPriority w:val="62"/>
    <w:rsid w:val="006D0778"/>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Grid-Accent5111111">
    <w:name w:val="Light Grid - Accent 5111111"/>
    <w:basedOn w:val="TableNormal"/>
    <w:next w:val="LightGrid-Accent5"/>
    <w:uiPriority w:val="62"/>
    <w:rsid w:val="006D0778"/>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521111">
    <w:name w:val="Light Grid - Accent 521111"/>
    <w:basedOn w:val="TableNormal"/>
    <w:next w:val="LightGrid-Accent5"/>
    <w:uiPriority w:val="62"/>
    <w:rsid w:val="006D0778"/>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Grid-Accent5121111">
    <w:name w:val="Light Grid - Accent 5121111"/>
    <w:basedOn w:val="TableNormal"/>
    <w:next w:val="LightGrid-Accent5"/>
    <w:uiPriority w:val="62"/>
    <w:rsid w:val="006D0778"/>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531111">
    <w:name w:val="Light Grid - Accent 531111"/>
    <w:basedOn w:val="TableNormal"/>
    <w:next w:val="LightGrid-Accent5"/>
    <w:uiPriority w:val="62"/>
    <w:rsid w:val="006D0778"/>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Grid-Accent5131111">
    <w:name w:val="Light Grid - Accent 5131111"/>
    <w:basedOn w:val="TableNormal"/>
    <w:next w:val="LightGrid-Accent5"/>
    <w:uiPriority w:val="62"/>
    <w:rsid w:val="006D0778"/>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541111">
    <w:name w:val="Light Grid - Accent 541111"/>
    <w:basedOn w:val="TableNormal"/>
    <w:next w:val="LightGrid-Accent5"/>
    <w:uiPriority w:val="62"/>
    <w:rsid w:val="006D0778"/>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Shading-Accent6211">
    <w:name w:val="Light Shading - Accent 6211"/>
    <w:basedOn w:val="TableNormal"/>
    <w:next w:val="LightShading-Accent6"/>
    <w:uiPriority w:val="60"/>
    <w:rsid w:val="006D0778"/>
    <w:pPr>
      <w:spacing w:after="0" w:line="240" w:lineRule="auto"/>
    </w:pPr>
    <w:rPr>
      <w:rFonts w:ascii="Calibri" w:eastAsia="Calibri" w:hAnsi="Calibri" w:cs="Times New Roman"/>
      <w:color w:val="393939"/>
      <w:sz w:val="20"/>
      <w:szCs w:val="20"/>
    </w:rPr>
    <w:tblPr>
      <w:tblStyleRowBandSize w:val="1"/>
      <w:tblStyleColBandSize w:val="1"/>
      <w:tblBorders>
        <w:top w:val="single" w:sz="8" w:space="0" w:color="4D4D4D"/>
        <w:bottom w:val="single" w:sz="8" w:space="0" w:color="4D4D4D"/>
      </w:tblBorders>
    </w:tblPr>
    <w:tblStylePr w:type="firstRow">
      <w:pPr>
        <w:spacing w:beforeLines="0" w:before="0" w:beforeAutospacing="0" w:afterLines="0" w:after="0" w:afterAutospacing="0" w:line="240" w:lineRule="auto"/>
      </w:pPr>
      <w:rPr>
        <w:b/>
        <w:bCs/>
      </w:rPr>
      <w:tblPr/>
      <w:tcPr>
        <w:tcBorders>
          <w:top w:val="single" w:sz="8" w:space="0" w:color="4D4D4D"/>
          <w:left w:val="nil"/>
          <w:bottom w:val="single" w:sz="8" w:space="0" w:color="4D4D4D"/>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4D4D4D"/>
          <w:left w:val="nil"/>
          <w:bottom w:val="single" w:sz="8" w:space="0" w:color="4D4D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3D3"/>
      </w:tcPr>
    </w:tblStylePr>
    <w:tblStylePr w:type="band1Horz">
      <w:tblPr/>
      <w:tcPr>
        <w:tcBorders>
          <w:left w:val="nil"/>
          <w:right w:val="nil"/>
          <w:insideH w:val="nil"/>
          <w:insideV w:val="nil"/>
        </w:tcBorders>
        <w:shd w:val="clear" w:color="auto" w:fill="D3D3D3"/>
      </w:tcPr>
    </w:tblStylePr>
  </w:style>
  <w:style w:type="table" w:customStyle="1" w:styleId="GridTable6Colorful-Accent4211">
    <w:name w:val="Grid Table 6 Colorful - Accent 4211"/>
    <w:basedOn w:val="TableNormal"/>
    <w:next w:val="GridTable6Colorful-Accent430"/>
    <w:uiPriority w:val="51"/>
    <w:rsid w:val="006D0778"/>
    <w:pPr>
      <w:spacing w:after="0" w:line="240" w:lineRule="auto"/>
    </w:pPr>
    <w:rPr>
      <w:color w:val="5F5F5F"/>
    </w:rPr>
    <w:tblPr>
      <w:tblStyleRowBandSize w:val="1"/>
      <w:tblStyleColBandSize w:val="1"/>
      <w:tblBorders>
        <w:top w:val="single" w:sz="4" w:space="0" w:color="B2B2B2"/>
        <w:left w:val="single" w:sz="4" w:space="0" w:color="B2B2B2"/>
        <w:bottom w:val="single" w:sz="4" w:space="0" w:color="B2B2B2"/>
        <w:right w:val="single" w:sz="4" w:space="0" w:color="B2B2B2"/>
        <w:insideH w:val="single" w:sz="4" w:space="0" w:color="B2B2B2"/>
        <w:insideV w:val="single" w:sz="4" w:space="0" w:color="B2B2B2"/>
      </w:tblBorders>
    </w:tblPr>
    <w:tblStylePr w:type="firstRow">
      <w:rPr>
        <w:b/>
        <w:bCs/>
      </w:rPr>
      <w:tblPr/>
      <w:tcPr>
        <w:tcBorders>
          <w:bottom w:val="single" w:sz="12" w:space="0" w:color="B2B2B2"/>
        </w:tcBorders>
      </w:tcPr>
    </w:tblStylePr>
    <w:tblStylePr w:type="lastRow">
      <w:rPr>
        <w:b/>
        <w:bCs/>
      </w:rPr>
      <w:tblPr/>
      <w:tcPr>
        <w:tcBorders>
          <w:top w:val="double" w:sz="4" w:space="0" w:color="B2B2B2"/>
        </w:tcBorders>
      </w:tcPr>
    </w:tblStylePr>
    <w:tblStylePr w:type="firstCol">
      <w:rPr>
        <w:b/>
        <w:bCs/>
      </w:rPr>
    </w:tblStylePr>
    <w:tblStylePr w:type="lastCol">
      <w:rPr>
        <w:b/>
        <w:bCs/>
      </w:rPr>
    </w:tblStylePr>
    <w:tblStylePr w:type="band1Vert">
      <w:tblPr/>
      <w:tcPr>
        <w:shd w:val="clear" w:color="auto" w:fill="E5E5E5"/>
      </w:tcPr>
    </w:tblStylePr>
    <w:tblStylePr w:type="band1Horz">
      <w:tblPr/>
      <w:tcPr>
        <w:shd w:val="clear" w:color="auto" w:fill="E5E5E5"/>
      </w:tcPr>
    </w:tblStylePr>
  </w:style>
  <w:style w:type="table" w:customStyle="1" w:styleId="GridTable6Colorful-Accent3211">
    <w:name w:val="Grid Table 6 Colorful - Accent 3211"/>
    <w:basedOn w:val="TableNormal"/>
    <w:next w:val="GridTable6Colorful-Accent330"/>
    <w:uiPriority w:val="51"/>
    <w:rsid w:val="006D0778"/>
    <w:pPr>
      <w:spacing w:after="0" w:line="240" w:lineRule="auto"/>
    </w:pPr>
    <w:rPr>
      <w:rFonts w:ascii="Calibri" w:eastAsia="Calibri" w:hAnsi="Calibri" w:cs="Times New Roman"/>
      <w:color w:val="707070"/>
      <w:sz w:val="20"/>
      <w:szCs w:val="20"/>
    </w:rPr>
    <w:tblPr>
      <w:tblStyleRowBandSize w:val="1"/>
      <w:tblStyleColBandSize w:val="1"/>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Pr>
    <w:tblStylePr w:type="firstRow">
      <w:rPr>
        <w:b/>
        <w:bCs/>
      </w:rPr>
      <w:tblPr/>
      <w:tcPr>
        <w:tcBorders>
          <w:bottom w:val="single" w:sz="12" w:space="0" w:color="C0C0C0"/>
        </w:tcBorders>
      </w:tcPr>
    </w:tblStylePr>
    <w:tblStylePr w:type="lastRow">
      <w:rPr>
        <w:b/>
        <w:bCs/>
      </w:rPr>
      <w:tblPr/>
      <w:tcPr>
        <w:tcBorders>
          <w:top w:val="double" w:sz="4" w:space="0" w:color="C0C0C0"/>
        </w:tcBorders>
      </w:tcPr>
    </w:tblStylePr>
    <w:tblStylePr w:type="firstCol">
      <w:rPr>
        <w:b/>
        <w:bCs/>
      </w:rPr>
    </w:tblStylePr>
    <w:tblStylePr w:type="lastCol">
      <w:rPr>
        <w:b/>
        <w:bCs/>
      </w:rPr>
    </w:tblStylePr>
    <w:tblStylePr w:type="band1Vert">
      <w:tblPr/>
      <w:tcPr>
        <w:shd w:val="clear" w:color="auto" w:fill="EAEAEA"/>
      </w:tcPr>
    </w:tblStylePr>
    <w:tblStylePr w:type="band1Horz">
      <w:tblPr/>
      <w:tcPr>
        <w:shd w:val="clear" w:color="auto" w:fill="EAEAEA"/>
      </w:tcPr>
    </w:tblStylePr>
  </w:style>
  <w:style w:type="table" w:customStyle="1" w:styleId="GridTable4-Accent5211">
    <w:name w:val="Grid Table 4 - Accent 5211"/>
    <w:basedOn w:val="TableNormal"/>
    <w:next w:val="GridTable4-Accent530"/>
    <w:uiPriority w:val="49"/>
    <w:rsid w:val="006D0778"/>
    <w:pPr>
      <w:spacing w:after="0" w:line="240" w:lineRule="auto"/>
    </w:pPr>
    <w:rPr>
      <w:rFonts w:ascii="Calibri" w:eastAsia="Calibri" w:hAnsi="Calibri" w:cs="Times New Roman"/>
      <w:sz w:val="20"/>
      <w:szCs w:val="20"/>
    </w:rPr>
    <w:tblPr>
      <w:tblStyleRowBandSize w:val="1"/>
      <w:tblStyleColBandSize w:val="1"/>
      <w:tblBorders>
        <w:top w:val="single" w:sz="4" w:space="0" w:color="9F9F9F"/>
        <w:left w:val="single" w:sz="4" w:space="0" w:color="9F9F9F"/>
        <w:bottom w:val="single" w:sz="4" w:space="0" w:color="9F9F9F"/>
        <w:right w:val="single" w:sz="4" w:space="0" w:color="9F9F9F"/>
        <w:insideH w:val="single" w:sz="4" w:space="0" w:color="9F9F9F"/>
        <w:insideV w:val="single" w:sz="4" w:space="0" w:color="9F9F9F"/>
      </w:tblBorders>
    </w:tblPr>
    <w:tblStylePr w:type="firstRow">
      <w:rPr>
        <w:b/>
        <w:bCs/>
        <w:color w:val="FFFFFF"/>
      </w:rPr>
      <w:tblPr/>
      <w:tcPr>
        <w:tcBorders>
          <w:top w:val="single" w:sz="4" w:space="0" w:color="5F5F5F"/>
          <w:left w:val="single" w:sz="4" w:space="0" w:color="5F5F5F"/>
          <w:bottom w:val="single" w:sz="4" w:space="0" w:color="5F5F5F"/>
          <w:right w:val="single" w:sz="4" w:space="0" w:color="5F5F5F"/>
          <w:insideH w:val="nil"/>
          <w:insideV w:val="nil"/>
        </w:tcBorders>
        <w:shd w:val="clear" w:color="auto" w:fill="5F5F5F"/>
      </w:tcPr>
    </w:tblStylePr>
    <w:tblStylePr w:type="lastRow">
      <w:rPr>
        <w:b/>
        <w:bCs/>
      </w:rPr>
      <w:tblPr/>
      <w:tcPr>
        <w:tcBorders>
          <w:top w:val="double" w:sz="4" w:space="0" w:color="5F5F5F"/>
        </w:tcBorders>
      </w:tcPr>
    </w:tblStylePr>
    <w:tblStylePr w:type="firstCol">
      <w:rPr>
        <w:b/>
        <w:bCs/>
      </w:rPr>
    </w:tblStylePr>
    <w:tblStylePr w:type="lastCol">
      <w:rPr>
        <w:b/>
        <w:bCs/>
      </w:rPr>
    </w:tblStylePr>
    <w:tblStylePr w:type="band1Vert">
      <w:tblPr/>
      <w:tcPr>
        <w:shd w:val="clear" w:color="auto" w:fill="DFDFDF"/>
      </w:tcPr>
    </w:tblStylePr>
    <w:tblStylePr w:type="band1Horz">
      <w:tblPr/>
      <w:tcPr>
        <w:shd w:val="clear" w:color="auto" w:fill="DFDFDF"/>
      </w:tcPr>
    </w:tblStylePr>
  </w:style>
  <w:style w:type="table" w:customStyle="1" w:styleId="GridTable5Dark-Accent5211">
    <w:name w:val="Grid Table 5 Dark - Accent 5211"/>
    <w:basedOn w:val="TableNormal"/>
    <w:next w:val="GridTable5Dark-Accent530"/>
    <w:uiPriority w:val="50"/>
    <w:rsid w:val="006D0778"/>
    <w:pPr>
      <w:spacing w:after="0" w:line="240" w:lineRule="auto"/>
    </w:pPr>
    <w:rPr>
      <w:rFonts w:ascii="Calibri" w:eastAsia="Calibri" w:hAnsi="Calibri" w:cs="Times New Roman"/>
      <w:sz w:val="20"/>
      <w:szCs w:val="20"/>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DFDFDF"/>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5F5F5F"/>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5F5F5F"/>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5F5F5F"/>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5F5F5F"/>
      </w:tcPr>
    </w:tblStylePr>
    <w:tblStylePr w:type="band1Vert">
      <w:tblPr/>
      <w:tcPr>
        <w:shd w:val="clear" w:color="auto" w:fill="BFBFBF"/>
      </w:tcPr>
    </w:tblStylePr>
    <w:tblStylePr w:type="band1Horz">
      <w:tblPr/>
      <w:tcPr>
        <w:shd w:val="clear" w:color="auto" w:fill="BFBFBF"/>
      </w:tcPr>
    </w:tblStylePr>
  </w:style>
  <w:style w:type="table" w:customStyle="1" w:styleId="1110">
    <w:name w:val="ФС111"/>
    <w:basedOn w:val="TableNormal"/>
    <w:uiPriority w:val="99"/>
    <w:rsid w:val="006D0778"/>
    <w:pPr>
      <w:spacing w:after="0" w:line="240" w:lineRule="auto"/>
    </w:pPr>
    <w:rPr>
      <w:rFonts w:ascii="Calibri" w:eastAsia="Calibri" w:hAnsi="Calibri" w:cs="Times New Roman"/>
      <w:sz w:val="20"/>
      <w:szCs w:val="20"/>
    </w:rPr>
    <w:tblPr/>
  </w:style>
  <w:style w:type="table" w:customStyle="1" w:styleId="ListTable6Colorful-Accent3211">
    <w:name w:val="List Table 6 Colorful - Accent 3211"/>
    <w:basedOn w:val="TableNormal"/>
    <w:next w:val="ListTable6Colorful-Accent330"/>
    <w:uiPriority w:val="51"/>
    <w:rsid w:val="006D0778"/>
    <w:pPr>
      <w:spacing w:after="0" w:line="240" w:lineRule="auto"/>
    </w:pPr>
    <w:rPr>
      <w:rFonts w:ascii="Calibri" w:eastAsia="Calibri" w:hAnsi="Calibri" w:cs="Times New Roman"/>
      <w:color w:val="707070"/>
      <w:sz w:val="20"/>
      <w:szCs w:val="20"/>
    </w:rPr>
    <w:tblPr>
      <w:tblStyleRowBandSize w:val="1"/>
      <w:tblStyleColBandSize w:val="1"/>
      <w:tblBorders>
        <w:top w:val="single" w:sz="4" w:space="0" w:color="969696"/>
        <w:bottom w:val="single" w:sz="4" w:space="0" w:color="969696"/>
      </w:tblBorders>
    </w:tblPr>
    <w:tblStylePr w:type="firstRow">
      <w:rPr>
        <w:b/>
        <w:bCs/>
      </w:rPr>
      <w:tblPr/>
      <w:tcPr>
        <w:tcBorders>
          <w:bottom w:val="single" w:sz="4" w:space="0" w:color="969696"/>
        </w:tcBorders>
      </w:tcPr>
    </w:tblStylePr>
    <w:tblStylePr w:type="lastRow">
      <w:rPr>
        <w:b/>
        <w:bCs/>
      </w:rPr>
      <w:tblPr/>
      <w:tcPr>
        <w:tcBorders>
          <w:top w:val="double" w:sz="4" w:space="0" w:color="969696"/>
        </w:tcBorders>
      </w:tcPr>
    </w:tblStylePr>
    <w:tblStylePr w:type="firstCol">
      <w:rPr>
        <w:b/>
        <w:bCs/>
      </w:rPr>
    </w:tblStylePr>
    <w:tblStylePr w:type="lastCol">
      <w:rPr>
        <w:b/>
        <w:bCs/>
      </w:rPr>
    </w:tblStylePr>
    <w:tblStylePr w:type="band1Vert">
      <w:tblPr/>
      <w:tcPr>
        <w:shd w:val="clear" w:color="auto" w:fill="EAEAEA"/>
      </w:tcPr>
    </w:tblStylePr>
    <w:tblStylePr w:type="band1Horz">
      <w:tblPr/>
      <w:tcPr>
        <w:shd w:val="clear" w:color="auto" w:fill="EAEAEA"/>
      </w:tcPr>
    </w:tblStylePr>
  </w:style>
  <w:style w:type="table" w:customStyle="1" w:styleId="GridTable1Light-Accent1211">
    <w:name w:val="Grid Table 1 Light - Accent 1211"/>
    <w:basedOn w:val="TableNormal"/>
    <w:next w:val="GridTable1Light-Accent130"/>
    <w:uiPriority w:val="46"/>
    <w:rsid w:val="006D0778"/>
    <w:pPr>
      <w:spacing w:after="0" w:line="240" w:lineRule="auto"/>
    </w:pPr>
    <w:tblPr>
      <w:tblStyleRowBandSize w:val="1"/>
      <w:tblStyleColBandSize w:val="1"/>
      <w:tblBorders>
        <w:top w:val="single" w:sz="4" w:space="0" w:color="F8B4A6"/>
        <w:left w:val="single" w:sz="4" w:space="0" w:color="F8B4A6"/>
        <w:bottom w:val="single" w:sz="4" w:space="0" w:color="F8B4A6"/>
        <w:right w:val="single" w:sz="4" w:space="0" w:color="F8B4A6"/>
        <w:insideH w:val="single" w:sz="4" w:space="0" w:color="F8B4A6"/>
        <w:insideV w:val="single" w:sz="4" w:space="0" w:color="F8B4A6"/>
      </w:tblBorders>
    </w:tblPr>
    <w:tblStylePr w:type="firstRow">
      <w:rPr>
        <w:b/>
        <w:bCs/>
      </w:rPr>
      <w:tblPr/>
      <w:tcPr>
        <w:tcBorders>
          <w:bottom w:val="single" w:sz="12" w:space="0" w:color="F58F7A"/>
        </w:tcBorders>
      </w:tcPr>
    </w:tblStylePr>
    <w:tblStylePr w:type="lastRow">
      <w:rPr>
        <w:b/>
        <w:bCs/>
      </w:rPr>
      <w:tblPr/>
      <w:tcPr>
        <w:tcBorders>
          <w:top w:val="double" w:sz="2" w:space="0" w:color="F58F7A"/>
        </w:tcBorders>
      </w:tcPr>
    </w:tblStylePr>
    <w:tblStylePr w:type="firstCol">
      <w:rPr>
        <w:b/>
        <w:bCs/>
      </w:rPr>
    </w:tblStylePr>
    <w:tblStylePr w:type="lastCol">
      <w:rPr>
        <w:b/>
        <w:bCs/>
      </w:rPr>
    </w:tblStylePr>
  </w:style>
  <w:style w:type="table" w:customStyle="1" w:styleId="ListTable1Light-Accent1211">
    <w:name w:val="List Table 1 Light - Accent 1211"/>
    <w:basedOn w:val="TableNormal"/>
    <w:next w:val="ListTable1Light-Accent130"/>
    <w:uiPriority w:val="46"/>
    <w:rsid w:val="006D0778"/>
    <w:pPr>
      <w:spacing w:after="0" w:line="240" w:lineRule="auto"/>
    </w:pPr>
    <w:tblPr>
      <w:tblStyleRowBandSize w:val="1"/>
      <w:tblStyleColBandSize w:val="1"/>
    </w:tblPr>
    <w:tblStylePr w:type="firstRow">
      <w:rPr>
        <w:b/>
        <w:bCs/>
      </w:rPr>
      <w:tblPr/>
      <w:tcPr>
        <w:tcBorders>
          <w:bottom w:val="single" w:sz="4" w:space="0" w:color="F58F7A"/>
        </w:tcBorders>
      </w:tcPr>
    </w:tblStylePr>
    <w:tblStylePr w:type="lastRow">
      <w:rPr>
        <w:b/>
        <w:bCs/>
      </w:rPr>
      <w:tblPr/>
      <w:tcPr>
        <w:tcBorders>
          <w:top w:val="single" w:sz="4" w:space="0" w:color="F58F7A"/>
        </w:tcBorders>
      </w:tcPr>
    </w:tblStylePr>
    <w:tblStylePr w:type="firstCol">
      <w:rPr>
        <w:b/>
        <w:bCs/>
      </w:rPr>
    </w:tblStylePr>
    <w:tblStylePr w:type="lastCol">
      <w:rPr>
        <w:b/>
        <w:bCs/>
      </w:rPr>
    </w:tblStylePr>
    <w:tblStylePr w:type="band1Vert">
      <w:tblPr/>
      <w:tcPr>
        <w:shd w:val="clear" w:color="auto" w:fill="FBD9D2"/>
      </w:tcPr>
    </w:tblStylePr>
    <w:tblStylePr w:type="band1Horz">
      <w:tblPr/>
      <w:tcPr>
        <w:shd w:val="clear" w:color="auto" w:fill="FBD9D2"/>
      </w:tcPr>
    </w:tblStylePr>
  </w:style>
  <w:style w:type="table" w:customStyle="1" w:styleId="ListTable2-Accent1211">
    <w:name w:val="List Table 2 - Accent 1211"/>
    <w:basedOn w:val="TableNormal"/>
    <w:next w:val="ListTable2-Accent130"/>
    <w:uiPriority w:val="47"/>
    <w:rsid w:val="006D0778"/>
    <w:pPr>
      <w:spacing w:after="0" w:line="240" w:lineRule="auto"/>
    </w:pPr>
    <w:tblPr>
      <w:tblStyleRowBandSize w:val="1"/>
      <w:tblStyleColBandSize w:val="1"/>
      <w:tblBorders>
        <w:top w:val="single" w:sz="4" w:space="0" w:color="F58F7A"/>
        <w:bottom w:val="single" w:sz="4" w:space="0" w:color="F58F7A"/>
        <w:insideH w:val="single" w:sz="4" w:space="0" w:color="F58F7A"/>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BD9D2"/>
      </w:tcPr>
    </w:tblStylePr>
    <w:tblStylePr w:type="band1Horz">
      <w:tblPr/>
      <w:tcPr>
        <w:shd w:val="clear" w:color="auto" w:fill="FBD9D2"/>
      </w:tcPr>
    </w:tblStylePr>
  </w:style>
  <w:style w:type="table" w:customStyle="1" w:styleId="ListTable2-Accent5211">
    <w:name w:val="List Table 2 - Accent 5211"/>
    <w:basedOn w:val="TableNormal"/>
    <w:next w:val="ListTable2-Accent530"/>
    <w:uiPriority w:val="47"/>
    <w:rsid w:val="006D0778"/>
    <w:pPr>
      <w:spacing w:after="0" w:line="240" w:lineRule="auto"/>
    </w:pPr>
    <w:tblPr>
      <w:tblStyleRowBandSize w:val="1"/>
      <w:tblStyleColBandSize w:val="1"/>
      <w:tblBorders>
        <w:top w:val="single" w:sz="4" w:space="0" w:color="9F9F9F"/>
        <w:bottom w:val="single" w:sz="4" w:space="0" w:color="9F9F9F"/>
        <w:insideH w:val="single" w:sz="4" w:space="0" w:color="9F9F9F"/>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FDFDF"/>
      </w:tcPr>
    </w:tblStylePr>
    <w:tblStylePr w:type="band1Horz">
      <w:tblPr/>
      <w:tcPr>
        <w:shd w:val="clear" w:color="auto" w:fill="DFDFDF"/>
      </w:tcPr>
    </w:tblStylePr>
  </w:style>
  <w:style w:type="table" w:customStyle="1" w:styleId="GridTable2-Accent5211">
    <w:name w:val="Grid Table 2 - Accent 5211"/>
    <w:basedOn w:val="TableNormal"/>
    <w:next w:val="GridTable2-Accent530"/>
    <w:uiPriority w:val="47"/>
    <w:rsid w:val="006D0778"/>
    <w:pPr>
      <w:spacing w:after="0" w:line="240" w:lineRule="auto"/>
    </w:pPr>
    <w:tblPr>
      <w:tblStyleRowBandSize w:val="1"/>
      <w:tblStyleColBandSize w:val="1"/>
      <w:tblBorders>
        <w:top w:val="single" w:sz="2" w:space="0" w:color="9F9F9F"/>
        <w:bottom w:val="single" w:sz="2" w:space="0" w:color="9F9F9F"/>
        <w:insideH w:val="single" w:sz="2" w:space="0" w:color="9F9F9F"/>
        <w:insideV w:val="single" w:sz="2" w:space="0" w:color="9F9F9F"/>
      </w:tblBorders>
    </w:tblPr>
    <w:tblStylePr w:type="firstRow">
      <w:rPr>
        <w:b/>
        <w:bCs/>
      </w:rPr>
      <w:tblPr/>
      <w:tcPr>
        <w:tcBorders>
          <w:top w:val="nil"/>
          <w:bottom w:val="single" w:sz="12" w:space="0" w:color="9F9F9F"/>
          <w:insideH w:val="nil"/>
          <w:insideV w:val="nil"/>
        </w:tcBorders>
        <w:shd w:val="clear" w:color="auto" w:fill="FFFFFF"/>
      </w:tcPr>
    </w:tblStylePr>
    <w:tblStylePr w:type="lastRow">
      <w:rPr>
        <w:b/>
        <w:bCs/>
      </w:rPr>
      <w:tblPr/>
      <w:tcPr>
        <w:tcBorders>
          <w:top w:val="double" w:sz="2" w:space="0" w:color="9F9F9F"/>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FDFDF"/>
      </w:tcPr>
    </w:tblStylePr>
    <w:tblStylePr w:type="band1Horz">
      <w:tblPr/>
      <w:tcPr>
        <w:shd w:val="clear" w:color="auto" w:fill="DFDFDF"/>
      </w:tcPr>
    </w:tblStylePr>
  </w:style>
  <w:style w:type="table" w:customStyle="1" w:styleId="GridTable6Colorful-Accent41111">
    <w:name w:val="Grid Table 6 Colorful - Accent 41111"/>
    <w:basedOn w:val="TableNormal"/>
    <w:uiPriority w:val="51"/>
    <w:rsid w:val="006D0778"/>
    <w:pPr>
      <w:spacing w:after="0" w:line="240" w:lineRule="auto"/>
    </w:pPr>
    <w:rPr>
      <w:color w:val="5F5F5F"/>
    </w:rPr>
    <w:tblPr>
      <w:tblStyleRowBandSize w:val="1"/>
      <w:tblStyleColBandSize w:val="1"/>
      <w:tblBorders>
        <w:top w:val="single" w:sz="4" w:space="0" w:color="B2B2B2"/>
        <w:left w:val="single" w:sz="4" w:space="0" w:color="B2B2B2"/>
        <w:bottom w:val="single" w:sz="4" w:space="0" w:color="B2B2B2"/>
        <w:right w:val="single" w:sz="4" w:space="0" w:color="B2B2B2"/>
        <w:insideH w:val="single" w:sz="4" w:space="0" w:color="B2B2B2"/>
        <w:insideV w:val="single" w:sz="4" w:space="0" w:color="B2B2B2"/>
      </w:tblBorders>
    </w:tblPr>
    <w:tblStylePr w:type="firstRow">
      <w:rPr>
        <w:b/>
        <w:bCs/>
      </w:rPr>
      <w:tblPr/>
      <w:tcPr>
        <w:tcBorders>
          <w:bottom w:val="single" w:sz="12" w:space="0" w:color="B2B2B2"/>
        </w:tcBorders>
      </w:tcPr>
    </w:tblStylePr>
    <w:tblStylePr w:type="lastRow">
      <w:rPr>
        <w:b/>
        <w:bCs/>
      </w:rPr>
      <w:tblPr/>
      <w:tcPr>
        <w:tcBorders>
          <w:top w:val="double" w:sz="4" w:space="0" w:color="B2B2B2"/>
        </w:tcBorders>
      </w:tcPr>
    </w:tblStylePr>
    <w:tblStylePr w:type="firstCol">
      <w:rPr>
        <w:b/>
        <w:bCs/>
      </w:rPr>
    </w:tblStylePr>
    <w:tblStylePr w:type="lastCol">
      <w:rPr>
        <w:b/>
        <w:bCs/>
      </w:rPr>
    </w:tblStylePr>
    <w:tblStylePr w:type="band1Vert">
      <w:tblPr/>
      <w:tcPr>
        <w:shd w:val="clear" w:color="auto" w:fill="E5E5E5"/>
      </w:tcPr>
    </w:tblStylePr>
    <w:tblStylePr w:type="band1Horz">
      <w:tblPr/>
      <w:tcPr>
        <w:shd w:val="clear" w:color="auto" w:fill="E5E5E5"/>
      </w:tcPr>
    </w:tblStylePr>
  </w:style>
  <w:style w:type="table" w:customStyle="1" w:styleId="GridTable6Colorful-Accent31111">
    <w:name w:val="Grid Table 6 Colorful - Accent 31111"/>
    <w:basedOn w:val="TableNormal"/>
    <w:uiPriority w:val="51"/>
    <w:rsid w:val="006D0778"/>
    <w:pPr>
      <w:spacing w:after="0" w:line="240" w:lineRule="auto"/>
    </w:pPr>
    <w:rPr>
      <w:rFonts w:ascii="Calibri" w:eastAsia="Calibri" w:hAnsi="Calibri" w:cs="Times New Roman"/>
      <w:color w:val="707070"/>
      <w:sz w:val="20"/>
      <w:szCs w:val="20"/>
    </w:rPr>
    <w:tblPr>
      <w:tblStyleRowBandSize w:val="1"/>
      <w:tblStyleColBandSize w:val="1"/>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Pr>
    <w:tblStylePr w:type="firstRow">
      <w:rPr>
        <w:b/>
        <w:bCs/>
      </w:rPr>
      <w:tblPr/>
      <w:tcPr>
        <w:tcBorders>
          <w:bottom w:val="single" w:sz="12" w:space="0" w:color="C0C0C0"/>
        </w:tcBorders>
      </w:tcPr>
    </w:tblStylePr>
    <w:tblStylePr w:type="lastRow">
      <w:rPr>
        <w:b/>
        <w:bCs/>
      </w:rPr>
      <w:tblPr/>
      <w:tcPr>
        <w:tcBorders>
          <w:top w:val="double" w:sz="4" w:space="0" w:color="C0C0C0"/>
        </w:tcBorders>
      </w:tcPr>
    </w:tblStylePr>
    <w:tblStylePr w:type="firstCol">
      <w:rPr>
        <w:b/>
        <w:bCs/>
      </w:rPr>
    </w:tblStylePr>
    <w:tblStylePr w:type="lastCol">
      <w:rPr>
        <w:b/>
        <w:bCs/>
      </w:rPr>
    </w:tblStylePr>
    <w:tblStylePr w:type="band1Vert">
      <w:tblPr/>
      <w:tcPr>
        <w:shd w:val="clear" w:color="auto" w:fill="EAEAEA"/>
      </w:tcPr>
    </w:tblStylePr>
    <w:tblStylePr w:type="band1Horz">
      <w:tblPr/>
      <w:tcPr>
        <w:shd w:val="clear" w:color="auto" w:fill="EAEAEA"/>
      </w:tcPr>
    </w:tblStylePr>
  </w:style>
  <w:style w:type="table" w:customStyle="1" w:styleId="TableGrid2111">
    <w:name w:val="Table Grid2111"/>
    <w:basedOn w:val="TableNormal"/>
    <w:next w:val="TableGrid"/>
    <w:uiPriority w:val="39"/>
    <w:rsid w:val="006D0778"/>
    <w:pPr>
      <w:spacing w:before="120" w:after="120" w:line="264" w:lineRule="auto"/>
      <w:ind w:left="115" w:right="115"/>
    </w:pPr>
    <w:rPr>
      <w:rFonts w:eastAsia="MS PGothic"/>
      <w:sz w:val="20"/>
      <w:szCs w:val="20"/>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
    <w:tcPr>
      <w:vAlign w:val="center"/>
    </w:tcPr>
    <w:tblStylePr w:type="firstRow">
      <w:pPr>
        <w:wordWrap/>
        <w:jc w:val="center"/>
      </w:pPr>
      <w:rPr>
        <w:b/>
        <w:i w:val="0"/>
        <w:sz w:val="22"/>
      </w:rPr>
    </w:tblStylePr>
    <w:tblStylePr w:type="lastRow">
      <w:rPr>
        <w:b/>
        <w:i w:val="0"/>
        <w:sz w:val="22"/>
      </w:rPr>
      <w:tblPr/>
      <w:tcPr>
        <w:tcBorders>
          <w:top w:val="double" w:sz="4" w:space="0" w:color="auto"/>
          <w:left w:val="single" w:sz="4" w:space="0" w:color="auto"/>
          <w:bottom w:val="single" w:sz="18" w:space="0" w:color="auto"/>
          <w:right w:val="single" w:sz="4" w:space="0" w:color="auto"/>
          <w:insideH w:val="nil"/>
          <w:insideV w:val="single" w:sz="4" w:space="0" w:color="auto"/>
          <w:tl2br w:val="nil"/>
          <w:tr2bl w:val="nil"/>
        </w:tcBorders>
      </w:tcPr>
    </w:tblStylePr>
  </w:style>
  <w:style w:type="table" w:customStyle="1" w:styleId="LightShading-Accent124111">
    <w:name w:val="Light Shading - Accent 124111"/>
    <w:basedOn w:val="TableNormal"/>
    <w:uiPriority w:val="60"/>
    <w:rsid w:val="006D0778"/>
    <w:pPr>
      <w:spacing w:after="0" w:line="264" w:lineRule="auto"/>
    </w:pPr>
    <w:rPr>
      <w:rFonts w:ascii="Cambria" w:eastAsia="Calibri" w:hAnsi="Cambria" w:cs="Times New Roman"/>
      <w:color w:val="A8422A"/>
      <w:sz w:val="20"/>
      <w:szCs w:val="20"/>
      <w:lang w:val="en-GB" w:eastAsia="sr-Cyrl-CS"/>
    </w:rPr>
    <w:tblPr>
      <w:tblStyleRowBandSize w:val="1"/>
      <w:tblStyleColBandSize w:val="1"/>
      <w:tblBorders>
        <w:top w:val="single" w:sz="8" w:space="0" w:color="D16349"/>
        <w:bottom w:val="single" w:sz="8" w:space="0" w:color="D16349"/>
      </w:tblBorders>
    </w:tblPr>
    <w:tblStylePr w:type="fir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la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D8D2"/>
      </w:tcPr>
    </w:tblStylePr>
    <w:tblStylePr w:type="band1Horz">
      <w:tblPr/>
      <w:tcPr>
        <w:tcBorders>
          <w:left w:val="nil"/>
          <w:right w:val="nil"/>
          <w:insideH w:val="nil"/>
          <w:insideV w:val="nil"/>
        </w:tcBorders>
        <w:shd w:val="clear" w:color="auto" w:fill="F3D8D2"/>
      </w:tcPr>
    </w:tblStylePr>
  </w:style>
  <w:style w:type="table" w:customStyle="1" w:styleId="LightShading-Accent125111">
    <w:name w:val="Light Shading - Accent 125111"/>
    <w:basedOn w:val="TableNormal"/>
    <w:uiPriority w:val="60"/>
    <w:rsid w:val="006D0778"/>
    <w:pPr>
      <w:spacing w:after="0" w:line="240" w:lineRule="auto"/>
    </w:pPr>
    <w:rPr>
      <w:rFonts w:ascii="Cambria" w:eastAsia="Calibri" w:hAnsi="Cambria" w:cs="Times New Roman"/>
      <w:color w:val="A8422A"/>
      <w:sz w:val="20"/>
      <w:szCs w:val="20"/>
      <w:lang w:val="en-GB" w:eastAsia="sr-Cyrl-CS"/>
    </w:rPr>
    <w:tblPr>
      <w:tblStyleRowBandSize w:val="1"/>
      <w:tblStyleColBandSize w:val="1"/>
      <w:tblBorders>
        <w:top w:val="single" w:sz="8" w:space="0" w:color="D16349"/>
        <w:bottom w:val="single" w:sz="8" w:space="0" w:color="D16349"/>
      </w:tblBorders>
    </w:tblPr>
    <w:tblStylePr w:type="fir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la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D8D2"/>
      </w:tcPr>
    </w:tblStylePr>
    <w:tblStylePr w:type="band1Horz">
      <w:tblPr/>
      <w:tcPr>
        <w:tcBorders>
          <w:left w:val="nil"/>
          <w:right w:val="nil"/>
          <w:insideH w:val="nil"/>
          <w:insideV w:val="nil"/>
        </w:tcBorders>
        <w:shd w:val="clear" w:color="auto" w:fill="F3D8D2"/>
      </w:tcPr>
    </w:tblStylePr>
  </w:style>
  <w:style w:type="table" w:customStyle="1" w:styleId="LightShading21">
    <w:name w:val="Light Shading21"/>
    <w:basedOn w:val="TableNormal"/>
    <w:next w:val="LightShading"/>
    <w:uiPriority w:val="60"/>
    <w:semiHidden/>
    <w:unhideWhenUsed/>
    <w:rsid w:val="006D0778"/>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51">
    <w:name w:val="Light Shading - Accent 151"/>
    <w:basedOn w:val="TableNormal"/>
    <w:next w:val="LightShading-Accent1"/>
    <w:uiPriority w:val="60"/>
    <w:semiHidden/>
    <w:unhideWhenUsed/>
    <w:rsid w:val="006D0778"/>
    <w:pPr>
      <w:spacing w:after="0" w:line="240" w:lineRule="auto"/>
    </w:pPr>
    <w:rPr>
      <w:color w:val="2E74B5" w:themeColor="accent1" w:themeShade="BF"/>
    </w:rPr>
    <w:tblPr>
      <w:tblStyleRowBandSize w:val="1"/>
      <w:tblStyleColBandSize w:val="1"/>
      <w:tblBorders>
        <w:top w:val="single" w:sz="8" w:space="0" w:color="5B9BD5" w:themeColor="accent1"/>
        <w:bottom w:val="single" w:sz="8" w:space="0" w:color="5B9BD5" w:themeColor="accent1"/>
      </w:tblBorders>
    </w:tblPr>
    <w:tblStylePr w:type="firstRow">
      <w:pPr>
        <w:spacing w:before="0" w:after="0" w:line="240" w:lineRule="auto"/>
      </w:pPr>
      <w:rPr>
        <w:b/>
        <w:bCs/>
      </w:rPr>
      <w:tblPr/>
      <w:tcPr>
        <w:tcBorders>
          <w:top w:val="single" w:sz="8" w:space="0" w:color="5B9BD5" w:themeColor="accent1"/>
          <w:left w:val="nil"/>
          <w:bottom w:val="single" w:sz="8" w:space="0" w:color="5B9BD5" w:themeColor="accent1"/>
          <w:right w:val="nil"/>
          <w:insideH w:val="nil"/>
          <w:insideV w:val="nil"/>
        </w:tcBorders>
      </w:tcPr>
    </w:tblStylePr>
    <w:tblStylePr w:type="lastRow">
      <w:pPr>
        <w:spacing w:before="0" w:after="0" w:line="240" w:lineRule="auto"/>
      </w:pPr>
      <w:rPr>
        <w:b/>
        <w:bCs/>
      </w:rPr>
      <w:tblPr/>
      <w:tcPr>
        <w:tcBorders>
          <w:top w:val="single" w:sz="8" w:space="0" w:color="5B9BD5" w:themeColor="accent1"/>
          <w:left w:val="nil"/>
          <w:bottom w:val="single" w:sz="8" w:space="0" w:color="5B9BD5"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6F4" w:themeFill="accent1" w:themeFillTint="3F"/>
      </w:tcPr>
    </w:tblStylePr>
    <w:tblStylePr w:type="band1Horz">
      <w:tblPr/>
      <w:tcPr>
        <w:tcBorders>
          <w:left w:val="nil"/>
          <w:right w:val="nil"/>
          <w:insideH w:val="nil"/>
          <w:insideV w:val="nil"/>
        </w:tcBorders>
        <w:shd w:val="clear" w:color="auto" w:fill="D6E6F4" w:themeFill="accent1" w:themeFillTint="3F"/>
      </w:tcPr>
    </w:tblStylePr>
  </w:style>
  <w:style w:type="table" w:customStyle="1" w:styleId="LightShading-Accent631">
    <w:name w:val="Light Shading - Accent 631"/>
    <w:basedOn w:val="TableNormal"/>
    <w:next w:val="LightShading-Accent6"/>
    <w:uiPriority w:val="60"/>
    <w:semiHidden/>
    <w:unhideWhenUsed/>
    <w:rsid w:val="006D0778"/>
    <w:pPr>
      <w:spacing w:after="0" w:line="240" w:lineRule="auto"/>
    </w:pPr>
    <w:rPr>
      <w:color w:val="538135" w:themeColor="accent6" w:themeShade="BF"/>
    </w:rPr>
    <w:tblPr>
      <w:tblStyleRowBandSize w:val="1"/>
      <w:tblStyleColBandSize w:val="1"/>
      <w:tblBorders>
        <w:top w:val="single" w:sz="8" w:space="0" w:color="70AD47" w:themeColor="accent6"/>
        <w:bottom w:val="single" w:sz="8" w:space="0" w:color="70AD47" w:themeColor="accent6"/>
      </w:tblBorders>
    </w:tblPr>
    <w:tblStylePr w:type="firstRow">
      <w:pPr>
        <w:spacing w:before="0" w:after="0" w:line="240" w:lineRule="auto"/>
      </w:pPr>
      <w:rPr>
        <w:b/>
        <w:bCs/>
      </w:rPr>
      <w:tblPr/>
      <w:tcPr>
        <w:tcBorders>
          <w:top w:val="single" w:sz="8" w:space="0" w:color="70AD47" w:themeColor="accent6"/>
          <w:left w:val="nil"/>
          <w:bottom w:val="single" w:sz="8" w:space="0" w:color="70AD47" w:themeColor="accent6"/>
          <w:right w:val="nil"/>
          <w:insideH w:val="nil"/>
          <w:insideV w:val="nil"/>
        </w:tcBorders>
      </w:tcPr>
    </w:tblStylePr>
    <w:tblStylePr w:type="lastRow">
      <w:pPr>
        <w:spacing w:before="0" w:after="0" w:line="240" w:lineRule="auto"/>
      </w:pPr>
      <w:rPr>
        <w:b/>
        <w:bCs/>
      </w:rPr>
      <w:tblPr/>
      <w:tcPr>
        <w:tcBorders>
          <w:top w:val="single" w:sz="8" w:space="0" w:color="70AD47" w:themeColor="accent6"/>
          <w:left w:val="nil"/>
          <w:bottom w:val="single" w:sz="8" w:space="0" w:color="70AD47"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BEBD0" w:themeFill="accent6" w:themeFillTint="3F"/>
      </w:tcPr>
    </w:tblStylePr>
    <w:tblStylePr w:type="band1Horz">
      <w:tblPr/>
      <w:tcPr>
        <w:tcBorders>
          <w:left w:val="nil"/>
          <w:right w:val="nil"/>
          <w:insideH w:val="nil"/>
          <w:insideV w:val="nil"/>
        </w:tcBorders>
        <w:shd w:val="clear" w:color="auto" w:fill="DBEBD0" w:themeFill="accent6" w:themeFillTint="3F"/>
      </w:tcPr>
    </w:tblStylePr>
  </w:style>
  <w:style w:type="table" w:customStyle="1" w:styleId="ListTable1Light-Accent611">
    <w:name w:val="List Table 1 Light - Accent 611"/>
    <w:basedOn w:val="TableNormal"/>
    <w:uiPriority w:val="46"/>
    <w:rsid w:val="006D0778"/>
    <w:pPr>
      <w:spacing w:after="0" w:line="240" w:lineRule="auto"/>
    </w:pPr>
    <w:tblPr>
      <w:tblStyleRowBandSize w:val="1"/>
      <w:tblStyleColBandSize w:val="1"/>
    </w:tblPr>
    <w:tblStylePr w:type="firstRow">
      <w:rPr>
        <w:b/>
        <w:bCs/>
      </w:rPr>
      <w:tblPr/>
      <w:tcPr>
        <w:tcBorders>
          <w:bottom w:val="single" w:sz="4" w:space="0" w:color="A8D08D" w:themeColor="accent6" w:themeTint="99"/>
        </w:tcBorders>
      </w:tcPr>
    </w:tblStylePr>
    <w:tblStylePr w:type="lastRow">
      <w:rPr>
        <w:b/>
        <w:bCs/>
      </w:rPr>
      <w:tblPr/>
      <w:tcPr>
        <w:tcBorders>
          <w:top w:val="single" w:sz="4" w:space="0" w:color="A8D08D" w:themeColor="accent6" w:themeTint="99"/>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numbering" w:customStyle="1" w:styleId="NoList51">
    <w:name w:val="No List51"/>
    <w:next w:val="NoList"/>
    <w:uiPriority w:val="99"/>
    <w:semiHidden/>
    <w:unhideWhenUsed/>
    <w:rsid w:val="006D0778"/>
  </w:style>
  <w:style w:type="numbering" w:customStyle="1" w:styleId="NoList131">
    <w:name w:val="No List131"/>
    <w:next w:val="NoList"/>
    <w:uiPriority w:val="99"/>
    <w:semiHidden/>
    <w:unhideWhenUsed/>
    <w:rsid w:val="006D0778"/>
  </w:style>
  <w:style w:type="table" w:customStyle="1" w:styleId="TableGrid51">
    <w:name w:val="Table Grid51"/>
    <w:basedOn w:val="TableNormal"/>
    <w:next w:val="TableGrid"/>
    <w:uiPriority w:val="39"/>
    <w:rsid w:val="006D0778"/>
    <w:pPr>
      <w:spacing w:before="120" w:after="120" w:line="264" w:lineRule="auto"/>
      <w:ind w:left="115" w:right="115"/>
    </w:pPr>
    <w:rPr>
      <w:rFonts w:eastAsia="MS PGothic"/>
      <w:sz w:val="20"/>
      <w:szCs w:val="20"/>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
    <w:tcPr>
      <w:vAlign w:val="center"/>
    </w:tcPr>
    <w:tblStylePr w:type="firstRow">
      <w:pPr>
        <w:wordWrap/>
        <w:jc w:val="center"/>
      </w:pPr>
      <w:rPr>
        <w:b/>
        <w:i w:val="0"/>
        <w:sz w:val="22"/>
      </w:rPr>
    </w:tblStylePr>
    <w:tblStylePr w:type="lastRow">
      <w:rPr>
        <w:b/>
        <w:i w:val="0"/>
        <w:sz w:val="22"/>
      </w:rPr>
      <w:tblPr/>
      <w:tcPr>
        <w:tcBorders>
          <w:top w:val="double" w:sz="4" w:space="0" w:color="auto"/>
          <w:left w:val="single" w:sz="4" w:space="0" w:color="auto"/>
          <w:bottom w:val="single" w:sz="18" w:space="0" w:color="auto"/>
          <w:right w:val="single" w:sz="4" w:space="0" w:color="auto"/>
          <w:insideH w:val="nil"/>
          <w:insideV w:val="single" w:sz="4" w:space="0" w:color="auto"/>
          <w:tl2br w:val="nil"/>
          <w:tr2bl w:val="nil"/>
        </w:tcBorders>
      </w:tcPr>
    </w:tblStylePr>
  </w:style>
  <w:style w:type="table" w:customStyle="1" w:styleId="FinancialTable31">
    <w:name w:val="Financial Table31"/>
    <w:basedOn w:val="TableNormal"/>
    <w:uiPriority w:val="99"/>
    <w:rsid w:val="006D0778"/>
    <w:pPr>
      <w:spacing w:before="60" w:after="60" w:line="264" w:lineRule="auto"/>
    </w:pPr>
    <w:rPr>
      <w:rFonts w:eastAsia="MS PGothic"/>
      <w:sz w:val="20"/>
      <w:szCs w:val="20"/>
      <w:lang w:eastAsia="ja-JP"/>
    </w:rPr>
    <w:tblPr>
      <w:tblBorders>
        <w:top w:val="single" w:sz="8" w:space="0" w:color="000000"/>
        <w:left w:val="single" w:sz="8" w:space="0" w:color="000000"/>
        <w:bottom w:val="single" w:sz="24" w:space="0" w:color="000000"/>
        <w:right w:val="single" w:sz="8" w:space="0" w:color="000000"/>
        <w:insideH w:val="single" w:sz="8" w:space="0" w:color="000000"/>
        <w:insideV w:val="single" w:sz="8" w:space="0" w:color="000000"/>
      </w:tblBorders>
      <w:tblCellMar>
        <w:left w:w="72" w:type="dxa"/>
        <w:right w:w="72" w:type="dxa"/>
      </w:tblCellMar>
    </w:tblPr>
    <w:tblStylePr w:type="firstRow">
      <w:pPr>
        <w:wordWrap/>
        <w:spacing w:beforeLines="0" w:before="40" w:beforeAutospacing="0" w:afterLines="0" w:after="40" w:afterAutospacing="0"/>
        <w:jc w:val="left"/>
      </w:pPr>
      <w:rPr>
        <w:rFonts w:ascii="Arial" w:hAnsi="Arial"/>
        <w:b/>
        <w:i w:val="0"/>
        <w:caps w:val="0"/>
        <w:smallCaps w:val="0"/>
        <w:color w:val="000000"/>
        <w:sz w:val="22"/>
      </w:rPr>
    </w:tblStylePr>
    <w:tblStylePr w:type="firstCol">
      <w:rPr>
        <w:b/>
        <w:color w:val="000000"/>
      </w:rPr>
    </w:tblStylePr>
  </w:style>
  <w:style w:type="table" w:customStyle="1" w:styleId="LightShading121">
    <w:name w:val="Light Shading121"/>
    <w:basedOn w:val="TableNormal"/>
    <w:next w:val="LightShading"/>
    <w:uiPriority w:val="60"/>
    <w:rsid w:val="006D0778"/>
    <w:pPr>
      <w:spacing w:after="0" w:line="264" w:lineRule="auto"/>
    </w:pPr>
    <w:rPr>
      <w:rFonts w:eastAsia="MS PGothic"/>
      <w:color w:val="000000"/>
      <w:sz w:val="20"/>
      <w:szCs w:val="20"/>
      <w:lang w:eastAsia="ja-JP"/>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GridTable6Colorful-Accent5161">
    <w:name w:val="Grid Table 6 Colorful - Accent 5161"/>
    <w:basedOn w:val="TableNormal"/>
    <w:next w:val="GridTable6Colorful-Accent540"/>
    <w:uiPriority w:val="51"/>
    <w:rsid w:val="006D0778"/>
    <w:pPr>
      <w:spacing w:after="0" w:line="264" w:lineRule="auto"/>
    </w:pPr>
    <w:rPr>
      <w:rFonts w:ascii="Calibri" w:eastAsia="Calibri" w:hAnsi="Calibri" w:cs="Times New Roman"/>
      <w:color w:val="474747"/>
      <w:sz w:val="20"/>
      <w:szCs w:val="20"/>
    </w:rPr>
    <w:tblPr>
      <w:tblStyleRowBandSize w:val="1"/>
      <w:tblStyleColBandSize w:val="1"/>
      <w:tblBorders>
        <w:top w:val="single" w:sz="4" w:space="0" w:color="9F9F9F"/>
        <w:left w:val="single" w:sz="4" w:space="0" w:color="9F9F9F"/>
        <w:bottom w:val="single" w:sz="4" w:space="0" w:color="9F9F9F"/>
        <w:right w:val="single" w:sz="4" w:space="0" w:color="9F9F9F"/>
        <w:insideH w:val="single" w:sz="4" w:space="0" w:color="9F9F9F"/>
        <w:insideV w:val="single" w:sz="4" w:space="0" w:color="9F9F9F"/>
      </w:tblBorders>
    </w:tblPr>
    <w:tblStylePr w:type="firstRow">
      <w:rPr>
        <w:b/>
        <w:bCs/>
      </w:rPr>
      <w:tblPr/>
      <w:tcPr>
        <w:tcBorders>
          <w:bottom w:val="single" w:sz="12" w:space="0" w:color="9F9F9F"/>
        </w:tcBorders>
      </w:tcPr>
    </w:tblStylePr>
    <w:tblStylePr w:type="lastRow">
      <w:rPr>
        <w:b/>
        <w:bCs/>
      </w:rPr>
      <w:tblPr/>
      <w:tcPr>
        <w:tcBorders>
          <w:top w:val="double" w:sz="4" w:space="0" w:color="9F9F9F"/>
        </w:tcBorders>
      </w:tcPr>
    </w:tblStylePr>
    <w:tblStylePr w:type="firstCol">
      <w:rPr>
        <w:b/>
        <w:bCs/>
      </w:rPr>
    </w:tblStylePr>
    <w:tblStylePr w:type="lastCol">
      <w:rPr>
        <w:b/>
        <w:bCs/>
      </w:rPr>
    </w:tblStylePr>
    <w:tblStylePr w:type="band1Vert">
      <w:tblPr/>
      <w:tcPr>
        <w:shd w:val="clear" w:color="auto" w:fill="DFDFDF"/>
      </w:tcPr>
    </w:tblStylePr>
    <w:tblStylePr w:type="band1Horz">
      <w:tblPr/>
      <w:tcPr>
        <w:shd w:val="clear" w:color="auto" w:fill="DFDFDF"/>
      </w:tcPr>
    </w:tblStylePr>
  </w:style>
  <w:style w:type="table" w:customStyle="1" w:styleId="LightShading-Accent1271">
    <w:name w:val="Light Shading - Accent 1271"/>
    <w:basedOn w:val="TableNormal"/>
    <w:uiPriority w:val="60"/>
    <w:rsid w:val="006D0778"/>
    <w:pPr>
      <w:spacing w:after="0" w:line="264" w:lineRule="auto"/>
    </w:pPr>
    <w:rPr>
      <w:rFonts w:ascii="Cambria" w:eastAsia="Calibri" w:hAnsi="Cambria" w:cs="Times New Roman"/>
      <w:color w:val="A8422A"/>
      <w:sz w:val="20"/>
      <w:szCs w:val="20"/>
      <w:lang w:val="en-GB" w:eastAsia="sr-Cyrl-CS"/>
    </w:rPr>
    <w:tblPr>
      <w:tblStyleRowBandSize w:val="1"/>
      <w:tblStyleColBandSize w:val="1"/>
      <w:tblBorders>
        <w:top w:val="single" w:sz="8" w:space="0" w:color="D16349"/>
        <w:bottom w:val="single" w:sz="8" w:space="0" w:color="D16349"/>
      </w:tblBorders>
    </w:tblPr>
    <w:tblStylePr w:type="fir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la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D8D2"/>
      </w:tcPr>
    </w:tblStylePr>
    <w:tblStylePr w:type="band1Horz">
      <w:tblPr/>
      <w:tcPr>
        <w:tcBorders>
          <w:left w:val="nil"/>
          <w:right w:val="nil"/>
          <w:insideH w:val="nil"/>
          <w:insideV w:val="nil"/>
        </w:tcBorders>
        <w:shd w:val="clear" w:color="auto" w:fill="F3D8D2"/>
      </w:tcPr>
    </w:tblStylePr>
  </w:style>
  <w:style w:type="table" w:customStyle="1" w:styleId="GridTable6Colorful-Accent51131">
    <w:name w:val="Grid Table 6 Colorful - Accent 51131"/>
    <w:basedOn w:val="TableNormal"/>
    <w:uiPriority w:val="51"/>
    <w:rsid w:val="006D0778"/>
    <w:pPr>
      <w:spacing w:after="0" w:line="264" w:lineRule="auto"/>
    </w:pPr>
    <w:rPr>
      <w:rFonts w:ascii="Calibri" w:eastAsia="Calibri" w:hAnsi="Calibri" w:cs="Times New Roman"/>
      <w:color w:val="387AAA"/>
      <w:sz w:val="20"/>
      <w:szCs w:val="20"/>
    </w:rPr>
    <w:tblPr>
      <w:tblStyleRowBandSize w:val="1"/>
      <w:tblStyleColBandSize w:val="1"/>
      <w:tblBorders>
        <w:top w:val="single" w:sz="4" w:space="0" w:color="A1C5E0"/>
        <w:left w:val="single" w:sz="4" w:space="0" w:color="A1C5E0"/>
        <w:bottom w:val="single" w:sz="4" w:space="0" w:color="A1C5E0"/>
        <w:right w:val="single" w:sz="4" w:space="0" w:color="A1C5E0"/>
        <w:insideH w:val="single" w:sz="4" w:space="0" w:color="A1C5E0"/>
        <w:insideV w:val="single" w:sz="4" w:space="0" w:color="A1C5E0"/>
      </w:tblBorders>
    </w:tblPr>
    <w:tblStylePr w:type="firstRow">
      <w:rPr>
        <w:b/>
        <w:bCs/>
      </w:rPr>
      <w:tblPr/>
      <w:tcPr>
        <w:tcBorders>
          <w:bottom w:val="single" w:sz="12" w:space="0" w:color="A1C5E0"/>
        </w:tcBorders>
      </w:tcPr>
    </w:tblStylePr>
    <w:tblStylePr w:type="lastRow">
      <w:rPr>
        <w:b/>
        <w:bCs/>
      </w:rPr>
      <w:tblPr/>
      <w:tcPr>
        <w:tcBorders>
          <w:top w:val="double" w:sz="4" w:space="0" w:color="A1C5E0"/>
        </w:tcBorders>
      </w:tcPr>
    </w:tblStylePr>
    <w:tblStylePr w:type="firstCol">
      <w:rPr>
        <w:b/>
        <w:bCs/>
      </w:rPr>
    </w:tblStylePr>
    <w:tblStylePr w:type="lastCol">
      <w:rPr>
        <w:b/>
        <w:bCs/>
      </w:rPr>
    </w:tblStylePr>
    <w:tblStylePr w:type="band1Vert">
      <w:tblPr/>
      <w:tcPr>
        <w:shd w:val="clear" w:color="auto" w:fill="DFEBF4"/>
      </w:tcPr>
    </w:tblStylePr>
    <w:tblStylePr w:type="band1Horz">
      <w:tblPr/>
      <w:tcPr>
        <w:shd w:val="clear" w:color="auto" w:fill="DFEBF4"/>
      </w:tcPr>
    </w:tblStylePr>
  </w:style>
  <w:style w:type="table" w:customStyle="1" w:styleId="LightShading-Accent12131">
    <w:name w:val="Light Shading - Accent 12131"/>
    <w:basedOn w:val="TableNormal"/>
    <w:uiPriority w:val="60"/>
    <w:rsid w:val="006D0778"/>
    <w:pPr>
      <w:spacing w:after="0" w:line="264" w:lineRule="auto"/>
    </w:pPr>
    <w:rPr>
      <w:rFonts w:ascii="Cambria" w:eastAsia="Calibri" w:hAnsi="Cambria" w:cs="Times New Roman"/>
      <w:color w:val="A8422A"/>
      <w:sz w:val="20"/>
      <w:szCs w:val="20"/>
      <w:lang w:val="en-GB" w:eastAsia="sr-Cyrl-CS"/>
    </w:rPr>
    <w:tblPr>
      <w:tblStyleRowBandSize w:val="1"/>
      <w:tblStyleColBandSize w:val="1"/>
      <w:tblBorders>
        <w:top w:val="single" w:sz="8" w:space="0" w:color="D16349"/>
        <w:bottom w:val="single" w:sz="8" w:space="0" w:color="D16349"/>
      </w:tblBorders>
    </w:tblPr>
    <w:tblStylePr w:type="fir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la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D8D2"/>
      </w:tcPr>
    </w:tblStylePr>
    <w:tblStylePr w:type="band1Horz">
      <w:tblPr/>
      <w:tcPr>
        <w:tcBorders>
          <w:left w:val="nil"/>
          <w:right w:val="nil"/>
          <w:insideH w:val="nil"/>
          <w:insideV w:val="nil"/>
        </w:tcBorders>
        <w:shd w:val="clear" w:color="auto" w:fill="F3D8D2"/>
      </w:tcPr>
    </w:tblStylePr>
  </w:style>
  <w:style w:type="table" w:customStyle="1" w:styleId="GridTable6Colorful-Accent1121">
    <w:name w:val="Grid Table 6 Colorful - Accent 1121"/>
    <w:basedOn w:val="TableNormal"/>
    <w:next w:val="GridTable6Colorful-Accent130"/>
    <w:uiPriority w:val="51"/>
    <w:rsid w:val="006D0778"/>
    <w:pPr>
      <w:spacing w:after="0" w:line="264" w:lineRule="auto"/>
    </w:pPr>
    <w:rPr>
      <w:rFonts w:eastAsia="MS PGothic"/>
      <w:color w:val="BF2B0E"/>
      <w:sz w:val="20"/>
      <w:szCs w:val="20"/>
      <w:lang w:eastAsia="ja-JP"/>
    </w:rPr>
    <w:tblPr>
      <w:tblStyleRowBandSize w:val="1"/>
      <w:tblStyleColBandSize w:val="1"/>
      <w:tblBorders>
        <w:top w:val="single" w:sz="4" w:space="0" w:color="F58F7A"/>
        <w:left w:val="single" w:sz="4" w:space="0" w:color="F58F7A"/>
        <w:bottom w:val="single" w:sz="4" w:space="0" w:color="F58F7A"/>
        <w:right w:val="single" w:sz="4" w:space="0" w:color="F58F7A"/>
        <w:insideH w:val="single" w:sz="4" w:space="0" w:color="F58F7A"/>
        <w:insideV w:val="single" w:sz="4" w:space="0" w:color="F58F7A"/>
      </w:tblBorders>
    </w:tblPr>
    <w:tblStylePr w:type="firstRow">
      <w:rPr>
        <w:b/>
        <w:bCs/>
      </w:rPr>
      <w:tblPr/>
      <w:tcPr>
        <w:tcBorders>
          <w:bottom w:val="single" w:sz="12" w:space="0" w:color="F58F7A"/>
        </w:tcBorders>
      </w:tcPr>
    </w:tblStylePr>
    <w:tblStylePr w:type="lastRow">
      <w:rPr>
        <w:b/>
        <w:bCs/>
      </w:rPr>
      <w:tblPr/>
      <w:tcPr>
        <w:tcBorders>
          <w:top w:val="double" w:sz="4" w:space="0" w:color="F58F7A"/>
        </w:tcBorders>
      </w:tcPr>
    </w:tblStylePr>
    <w:tblStylePr w:type="firstCol">
      <w:rPr>
        <w:b/>
        <w:bCs/>
      </w:rPr>
    </w:tblStylePr>
    <w:tblStylePr w:type="lastCol">
      <w:rPr>
        <w:b/>
        <w:bCs/>
      </w:rPr>
    </w:tblStylePr>
    <w:tblStylePr w:type="band1Vert">
      <w:tblPr/>
      <w:tcPr>
        <w:shd w:val="clear" w:color="auto" w:fill="FBD9D2"/>
      </w:tcPr>
    </w:tblStylePr>
    <w:tblStylePr w:type="band1Horz">
      <w:tblPr/>
      <w:tcPr>
        <w:shd w:val="clear" w:color="auto" w:fill="FBD9D2"/>
      </w:tcPr>
    </w:tblStylePr>
  </w:style>
  <w:style w:type="table" w:customStyle="1" w:styleId="LightShading-Accent12231">
    <w:name w:val="Light Shading - Accent 12231"/>
    <w:basedOn w:val="TableNormal"/>
    <w:uiPriority w:val="60"/>
    <w:rsid w:val="006D0778"/>
    <w:pPr>
      <w:spacing w:after="0" w:line="240" w:lineRule="auto"/>
    </w:pPr>
    <w:rPr>
      <w:rFonts w:ascii="Cambria" w:eastAsia="Calibri" w:hAnsi="Cambria" w:cs="Times New Roman"/>
      <w:color w:val="A8422A"/>
      <w:sz w:val="20"/>
      <w:szCs w:val="20"/>
      <w:lang w:val="en-GB" w:eastAsia="sr-Cyrl-CS"/>
    </w:rPr>
    <w:tblPr>
      <w:tblStyleRowBandSize w:val="1"/>
      <w:tblStyleColBandSize w:val="1"/>
      <w:tblBorders>
        <w:top w:val="single" w:sz="8" w:space="0" w:color="D16349"/>
        <w:bottom w:val="single" w:sz="8" w:space="0" w:color="D16349"/>
      </w:tblBorders>
    </w:tblPr>
    <w:tblStylePr w:type="fir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la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D8D2"/>
      </w:tcPr>
    </w:tblStylePr>
    <w:tblStylePr w:type="band1Horz">
      <w:tblPr/>
      <w:tcPr>
        <w:tcBorders>
          <w:left w:val="nil"/>
          <w:right w:val="nil"/>
          <w:insideH w:val="nil"/>
          <w:insideV w:val="nil"/>
        </w:tcBorders>
        <w:shd w:val="clear" w:color="auto" w:fill="F3D8D2"/>
      </w:tcPr>
    </w:tblStylePr>
  </w:style>
  <w:style w:type="table" w:customStyle="1" w:styleId="GridTable6Colorful-Accent5231">
    <w:name w:val="Grid Table 6 Colorful - Accent 5231"/>
    <w:basedOn w:val="TableNormal"/>
    <w:next w:val="GridTable6Colorful-Accent540"/>
    <w:uiPriority w:val="51"/>
    <w:rsid w:val="006D0778"/>
    <w:pPr>
      <w:spacing w:after="0" w:line="240" w:lineRule="auto"/>
    </w:pPr>
    <w:rPr>
      <w:rFonts w:ascii="Calibri" w:eastAsia="Calibri" w:hAnsi="Calibri" w:cs="Times New Roman"/>
      <w:color w:val="C19300"/>
      <w:sz w:val="20"/>
      <w:szCs w:val="20"/>
    </w:rPr>
    <w:tblPr>
      <w:tblStyleRowBandSize w:val="1"/>
      <w:tblStyleColBandSize w:val="1"/>
      <w:tblBorders>
        <w:top w:val="single" w:sz="4" w:space="0" w:color="FEDA69"/>
        <w:left w:val="single" w:sz="4" w:space="0" w:color="FEDA69"/>
        <w:bottom w:val="single" w:sz="4" w:space="0" w:color="FEDA69"/>
        <w:right w:val="single" w:sz="4" w:space="0" w:color="FEDA69"/>
        <w:insideH w:val="single" w:sz="4" w:space="0" w:color="FEDA69"/>
        <w:insideV w:val="single" w:sz="4" w:space="0" w:color="FEDA69"/>
      </w:tblBorders>
    </w:tblPr>
    <w:tblStylePr w:type="firstRow">
      <w:rPr>
        <w:b/>
        <w:bCs/>
      </w:rPr>
      <w:tblPr/>
      <w:tcPr>
        <w:tcBorders>
          <w:bottom w:val="single" w:sz="12" w:space="0" w:color="FEDA69"/>
        </w:tcBorders>
      </w:tcPr>
    </w:tblStylePr>
    <w:tblStylePr w:type="lastRow">
      <w:rPr>
        <w:b/>
        <w:bCs/>
      </w:rPr>
      <w:tblPr/>
      <w:tcPr>
        <w:tcBorders>
          <w:top w:val="double" w:sz="4" w:space="0" w:color="FEDA69"/>
        </w:tcBorders>
      </w:tcPr>
    </w:tblStylePr>
    <w:tblStylePr w:type="firstCol">
      <w:rPr>
        <w:b/>
        <w:bCs/>
      </w:rPr>
    </w:tblStylePr>
    <w:tblStylePr w:type="lastCol">
      <w:rPr>
        <w:b/>
        <w:bCs/>
      </w:rPr>
    </w:tblStylePr>
    <w:tblStylePr w:type="band1Vert">
      <w:tblPr/>
      <w:tcPr>
        <w:shd w:val="clear" w:color="auto" w:fill="FEF2CD"/>
      </w:tcPr>
    </w:tblStylePr>
    <w:tblStylePr w:type="band1Horz">
      <w:tblPr/>
      <w:tcPr>
        <w:shd w:val="clear" w:color="auto" w:fill="FEF2CD"/>
      </w:tcPr>
    </w:tblStylePr>
  </w:style>
  <w:style w:type="table" w:customStyle="1" w:styleId="tabele361">
    <w:name w:val="tabele 361"/>
    <w:basedOn w:val="TableNormal"/>
    <w:next w:val="LightList-Accent3"/>
    <w:uiPriority w:val="61"/>
    <w:rsid w:val="006D0778"/>
    <w:pPr>
      <w:spacing w:after="0" w:line="240" w:lineRule="auto"/>
    </w:pPr>
    <w:rPr>
      <w:rFonts w:ascii="Cambria Math" w:eastAsia="Calibri" w:hAnsi="Cambria Math" w:cs="Times New Roman"/>
      <w:sz w:val="18"/>
      <w:lang w:val="sr-Cyrl-CS"/>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LightShading-Accent11141">
    <w:name w:val="Light Shading - Accent 11141"/>
    <w:basedOn w:val="TableNormal"/>
    <w:uiPriority w:val="60"/>
    <w:rsid w:val="006D0778"/>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371">
    <w:name w:val="Light Shading - Accent 371"/>
    <w:basedOn w:val="TableNormal"/>
    <w:next w:val="LightShading-Accent3"/>
    <w:uiPriority w:val="60"/>
    <w:rsid w:val="006D0778"/>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List-Accent571">
    <w:name w:val="Light List - Accent 571"/>
    <w:basedOn w:val="TableNormal"/>
    <w:next w:val="LightList-Accent5"/>
    <w:uiPriority w:val="61"/>
    <w:rsid w:val="006D0778"/>
    <w:pPr>
      <w:spacing w:after="0" w:line="240" w:lineRule="auto"/>
    </w:pPr>
    <w:rPr>
      <w:rFonts w:ascii="Calibri" w:eastAsia="Calibri" w:hAnsi="Calibri" w:cs="Times New Roman"/>
      <w:sz w:val="20"/>
      <w:szCs w:val="20"/>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Shading-Accent3161">
    <w:name w:val="Light Shading - Accent 3161"/>
    <w:basedOn w:val="TableNormal"/>
    <w:next w:val="LightShading-Accent3"/>
    <w:uiPriority w:val="60"/>
    <w:rsid w:val="006D0778"/>
    <w:pPr>
      <w:spacing w:after="0" w:line="240" w:lineRule="auto"/>
    </w:pPr>
    <w:rPr>
      <w:rFonts w:ascii="Constantia" w:eastAsia="Constantia" w:hAnsi="Constantia" w:cs="Times New Roman"/>
      <w:color w:val="8CADAE"/>
      <w:lang w:val="sr-Cyrl-CS"/>
    </w:rPr>
    <w:tblPr>
      <w:tblStyleRowBandSize w:val="1"/>
      <w:tblStyleColBandSize w:val="1"/>
      <w:tblBorders>
        <w:top w:val="single" w:sz="8" w:space="0" w:color="8CADAE"/>
        <w:bottom w:val="single" w:sz="8" w:space="0" w:color="8CADAE"/>
      </w:tblBorders>
    </w:tblPr>
    <w:tblStylePr w:type="fir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la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2EAEB"/>
      </w:tcPr>
    </w:tblStylePr>
    <w:tblStylePr w:type="band1Horz">
      <w:tblPr/>
      <w:tcPr>
        <w:tcBorders>
          <w:left w:val="nil"/>
          <w:right w:val="nil"/>
          <w:insideH w:val="nil"/>
          <w:insideV w:val="nil"/>
        </w:tcBorders>
        <w:shd w:val="clear" w:color="auto" w:fill="E2EAEB"/>
      </w:tcPr>
    </w:tblStylePr>
  </w:style>
  <w:style w:type="table" w:customStyle="1" w:styleId="LightList-Accent3171">
    <w:name w:val="Light List - Accent 3171"/>
    <w:basedOn w:val="TableNormal"/>
    <w:next w:val="LightList-Accent3"/>
    <w:uiPriority w:val="61"/>
    <w:rsid w:val="006D0778"/>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TableGrid131">
    <w:name w:val="Table Grid131"/>
    <w:basedOn w:val="TableNormal"/>
    <w:next w:val="TableGrid"/>
    <w:uiPriority w:val="59"/>
    <w:rsid w:val="006D0778"/>
    <w:pPr>
      <w:spacing w:after="0" w:line="240" w:lineRule="auto"/>
    </w:pPr>
    <w:rPr>
      <w:rFonts w:ascii="Constantia" w:eastAsia="Constantia" w:hAnsi="Constantia" w:cs="Times New Roman"/>
      <w:lang w:val="sr-Cyrl-C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ghtList-Accent5161">
    <w:name w:val="Light List - Accent 5161"/>
    <w:basedOn w:val="TableNormal"/>
    <w:next w:val="LightList-Accent5"/>
    <w:uiPriority w:val="61"/>
    <w:rsid w:val="006D0778"/>
    <w:pPr>
      <w:spacing w:after="0" w:line="240" w:lineRule="auto"/>
    </w:pPr>
    <w:rPr>
      <w:rFonts w:ascii="Times New Roman" w:eastAsia="Constantia" w:hAnsi="Times New Roman" w:cs="Times New Roman"/>
      <w:lang w:val="sr-Cyrl-CS"/>
    </w:rPr>
    <w:tblPr>
      <w:tblStyleRowBandSize w:val="1"/>
      <w:tblStyleColBandSize w:val="1"/>
      <w:tblBorders>
        <w:top w:val="single" w:sz="8" w:space="0" w:color="8FB08C"/>
        <w:left w:val="single" w:sz="8" w:space="0" w:color="8FB08C"/>
        <w:bottom w:val="single" w:sz="8" w:space="0" w:color="8FB08C"/>
        <w:right w:val="single" w:sz="8" w:space="0" w:color="8FB08C"/>
      </w:tblBorders>
    </w:tblPr>
    <w:tblStylePr w:type="firstRow">
      <w:pPr>
        <w:spacing w:before="0" w:after="0" w:line="240" w:lineRule="auto"/>
      </w:pPr>
      <w:rPr>
        <w:b/>
        <w:bCs/>
        <w:color w:val="FFFFFF"/>
      </w:rPr>
      <w:tblPr/>
      <w:tcPr>
        <w:shd w:val="clear" w:color="auto" w:fill="8FB08C"/>
      </w:tcPr>
    </w:tblStylePr>
    <w:tblStylePr w:type="lastRow">
      <w:pPr>
        <w:spacing w:before="0" w:after="0" w:line="240" w:lineRule="auto"/>
      </w:pPr>
      <w:rPr>
        <w:b/>
        <w:bCs/>
      </w:rPr>
      <w:tblPr/>
      <w:tcPr>
        <w:tcBorders>
          <w:top w:val="double" w:sz="6" w:space="0" w:color="8FB08C"/>
          <w:left w:val="single" w:sz="8" w:space="0" w:color="8FB08C"/>
          <w:bottom w:val="single" w:sz="8" w:space="0" w:color="8FB08C"/>
          <w:right w:val="single" w:sz="8" w:space="0" w:color="8FB08C"/>
        </w:tcBorders>
      </w:tcPr>
    </w:tblStylePr>
    <w:tblStylePr w:type="firstCol">
      <w:rPr>
        <w:b/>
        <w:bCs/>
      </w:rPr>
    </w:tblStylePr>
    <w:tblStylePr w:type="lastCol">
      <w:rPr>
        <w:b/>
        <w:bCs/>
      </w:rPr>
    </w:tblStylePr>
    <w:tblStylePr w:type="band1Vert">
      <w:tblPr/>
      <w:tcPr>
        <w:tcBorders>
          <w:top w:val="single" w:sz="8" w:space="0" w:color="8FB08C"/>
          <w:left w:val="single" w:sz="8" w:space="0" w:color="8FB08C"/>
          <w:bottom w:val="single" w:sz="8" w:space="0" w:color="8FB08C"/>
          <w:right w:val="single" w:sz="8" w:space="0" w:color="8FB08C"/>
        </w:tcBorders>
      </w:tcPr>
    </w:tblStylePr>
    <w:tblStylePr w:type="band1Horz">
      <w:tblPr/>
      <w:tcPr>
        <w:tcBorders>
          <w:top w:val="single" w:sz="8" w:space="0" w:color="8FB08C"/>
          <w:left w:val="single" w:sz="8" w:space="0" w:color="8FB08C"/>
          <w:bottom w:val="single" w:sz="8" w:space="0" w:color="8FB08C"/>
          <w:right w:val="single" w:sz="8" w:space="0" w:color="8FB08C"/>
        </w:tcBorders>
      </w:tcPr>
    </w:tblStylePr>
  </w:style>
  <w:style w:type="table" w:customStyle="1" w:styleId="MediumList1-Accent5131">
    <w:name w:val="Medium List 1 - Accent 5131"/>
    <w:basedOn w:val="TableNormal"/>
    <w:next w:val="MediumList1-Accent5"/>
    <w:uiPriority w:val="65"/>
    <w:rsid w:val="006D0778"/>
    <w:pPr>
      <w:spacing w:after="0" w:line="240" w:lineRule="auto"/>
    </w:pPr>
    <w:rPr>
      <w:rFonts w:ascii="Constantia" w:eastAsia="Constantia" w:hAnsi="Constantia" w:cs="Times New Roman"/>
      <w:color w:val="000000"/>
      <w:lang w:val="sr-Cyrl-CS"/>
    </w:rPr>
    <w:tblPr>
      <w:tblStyleRowBandSize w:val="1"/>
      <w:tblStyleColBandSize w:val="1"/>
      <w:tblBorders>
        <w:top w:val="single" w:sz="8" w:space="0" w:color="8FB08C"/>
        <w:bottom w:val="single" w:sz="8" w:space="0" w:color="8FB08C"/>
      </w:tblBorders>
    </w:tblPr>
    <w:tblStylePr w:type="firstRow">
      <w:rPr>
        <w:rFonts w:ascii="Verdana" w:eastAsia="Times New Roman" w:hAnsi="Verdana" w:cs="Times New Roman"/>
      </w:rPr>
      <w:tblPr/>
      <w:tcPr>
        <w:tcBorders>
          <w:top w:val="nil"/>
          <w:bottom w:val="single" w:sz="8" w:space="0" w:color="8FB08C"/>
        </w:tcBorders>
      </w:tcPr>
    </w:tblStylePr>
    <w:tblStylePr w:type="lastRow">
      <w:rPr>
        <w:b/>
        <w:bCs/>
        <w:color w:val="646B86"/>
      </w:rPr>
      <w:tblPr/>
      <w:tcPr>
        <w:tcBorders>
          <w:top w:val="single" w:sz="8" w:space="0" w:color="8FB08C"/>
          <w:bottom w:val="single" w:sz="8" w:space="0" w:color="8FB08C"/>
        </w:tcBorders>
      </w:tcPr>
    </w:tblStylePr>
    <w:tblStylePr w:type="firstCol">
      <w:rPr>
        <w:b/>
        <w:bCs/>
      </w:rPr>
    </w:tblStylePr>
    <w:tblStylePr w:type="lastCol">
      <w:rPr>
        <w:b/>
        <w:bCs/>
      </w:rPr>
      <w:tblPr/>
      <w:tcPr>
        <w:tcBorders>
          <w:top w:val="single" w:sz="8" w:space="0" w:color="8FB08C"/>
          <w:bottom w:val="single" w:sz="8" w:space="0" w:color="8FB08C"/>
        </w:tcBorders>
      </w:tcPr>
    </w:tblStylePr>
    <w:tblStylePr w:type="band1Vert">
      <w:tblPr/>
      <w:tcPr>
        <w:shd w:val="clear" w:color="auto" w:fill="E3EBE2"/>
      </w:tcPr>
    </w:tblStylePr>
    <w:tblStylePr w:type="band1Horz">
      <w:tblPr/>
      <w:tcPr>
        <w:shd w:val="clear" w:color="auto" w:fill="E3EBE2"/>
      </w:tcPr>
    </w:tblStylePr>
  </w:style>
  <w:style w:type="table" w:customStyle="1" w:styleId="MediumList1-Accent541">
    <w:name w:val="Medium List 1 - Accent 541"/>
    <w:basedOn w:val="TableNormal"/>
    <w:next w:val="MediumList1-Accent5"/>
    <w:uiPriority w:val="65"/>
    <w:rsid w:val="006D0778"/>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4BACC6"/>
        <w:bottom w:val="single" w:sz="8" w:space="0" w:color="4BACC6"/>
      </w:tblBorders>
    </w:tblPr>
    <w:tblStylePr w:type="firstRow">
      <w:rPr>
        <w:rFonts w:ascii="Times New Roman" w:eastAsia="Times New Roman" w:hAnsi="Times New Roman" w:cs="Times New Roman"/>
      </w:rPr>
      <w:tblPr/>
      <w:tcPr>
        <w:tcBorders>
          <w:top w:val="nil"/>
          <w:bottom w:val="single" w:sz="8" w:space="0" w:color="4BACC6"/>
        </w:tcBorders>
      </w:tcPr>
    </w:tblStylePr>
    <w:tblStylePr w:type="lastRow">
      <w:rPr>
        <w:b/>
        <w:bCs/>
        <w:color w:val="1F497D"/>
      </w:rPr>
      <w:tblPr/>
      <w:tcPr>
        <w:tcBorders>
          <w:top w:val="single" w:sz="8" w:space="0" w:color="4BACC6"/>
          <w:bottom w:val="single" w:sz="8" w:space="0" w:color="4BACC6"/>
        </w:tcBorders>
      </w:tcPr>
    </w:tblStylePr>
    <w:tblStylePr w:type="firstCol">
      <w:rPr>
        <w:b/>
        <w:bCs/>
      </w:rPr>
    </w:tblStylePr>
    <w:tblStylePr w:type="lastCol">
      <w:rPr>
        <w:b/>
        <w:bCs/>
      </w:rPr>
      <w:tblPr/>
      <w:tcPr>
        <w:tcBorders>
          <w:top w:val="single" w:sz="8" w:space="0" w:color="4BACC6"/>
          <w:bottom w:val="single" w:sz="8" w:space="0" w:color="4BACC6"/>
        </w:tcBorders>
      </w:tcPr>
    </w:tblStylePr>
    <w:tblStylePr w:type="band1Vert">
      <w:tblPr/>
      <w:tcPr>
        <w:shd w:val="clear" w:color="auto" w:fill="D2EAF1"/>
      </w:tcPr>
    </w:tblStylePr>
    <w:tblStylePr w:type="band1Horz">
      <w:tblPr/>
      <w:tcPr>
        <w:shd w:val="clear" w:color="auto" w:fill="D2EAF1"/>
      </w:tcPr>
    </w:tblStylePr>
  </w:style>
  <w:style w:type="numbering" w:customStyle="1" w:styleId="NoList1131">
    <w:name w:val="No List1131"/>
    <w:next w:val="NoList"/>
    <w:uiPriority w:val="99"/>
    <w:semiHidden/>
    <w:unhideWhenUsed/>
    <w:rsid w:val="006D0778"/>
  </w:style>
  <w:style w:type="table" w:customStyle="1" w:styleId="LightGrid-Accent5171">
    <w:name w:val="Light Grid - Accent 5171"/>
    <w:basedOn w:val="TableNormal"/>
    <w:next w:val="LightGrid-Accent5"/>
    <w:uiPriority w:val="62"/>
    <w:rsid w:val="006D0778"/>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omic Sans MS" w:eastAsia="Times New Roman" w:hAnsi="Comic Sans MS"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omic Sans MS" w:eastAsia="Times New Roman" w:hAnsi="Comic Sans MS"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omic Sans MS" w:eastAsia="Times New Roman" w:hAnsi="Comic Sans MS" w:cs="Times New Roman"/>
        <w:b/>
        <w:bCs/>
      </w:rPr>
    </w:tblStylePr>
    <w:tblStylePr w:type="lastCol">
      <w:rPr>
        <w:rFonts w:ascii="Comic Sans MS" w:eastAsia="Times New Roman" w:hAnsi="Comic Sans MS"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1161">
    <w:name w:val="Светло сенчење – наглашавање 1161"/>
    <w:basedOn w:val="TableNormal"/>
    <w:uiPriority w:val="60"/>
    <w:rsid w:val="006D0778"/>
    <w:pPr>
      <w:spacing w:after="0" w:line="240" w:lineRule="auto"/>
    </w:pPr>
    <w:rPr>
      <w:rFonts w:ascii="Calibri" w:eastAsia="Calibri" w:hAnsi="Calibri" w:cs="Times New Roman"/>
      <w:color w:val="365F91"/>
      <w:sz w:val="20"/>
      <w:szCs w:val="20"/>
      <w:lang w:val="sr-Latn-CS" w:eastAsia="en-GB"/>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Grid-Accent581">
    <w:name w:val="Light Grid - Accent 581"/>
    <w:basedOn w:val="TableNormal"/>
    <w:next w:val="LightGrid-Accent5"/>
    <w:uiPriority w:val="62"/>
    <w:rsid w:val="006D0778"/>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Comic Sans MS" w:eastAsia="Times New Roman" w:hAnsi="Comic Sans MS"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Comic Sans MS" w:eastAsia="Times New Roman" w:hAnsi="Comic Sans MS"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Comic Sans MS" w:eastAsia="Times New Roman" w:hAnsi="Comic Sans MS" w:cs="Times New Roman"/>
        <w:b/>
        <w:bCs/>
      </w:rPr>
    </w:tblStylePr>
    <w:tblStylePr w:type="lastCol">
      <w:rPr>
        <w:rFonts w:ascii="Comic Sans MS" w:eastAsia="Times New Roman" w:hAnsi="Comic Sans MS"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tabelezaifs31">
    <w:name w:val="tabele za ifs31"/>
    <w:basedOn w:val="TableNormal"/>
    <w:uiPriority w:val="99"/>
    <w:qFormat/>
    <w:rsid w:val="006D0778"/>
    <w:pPr>
      <w:spacing w:after="0" w:line="240" w:lineRule="auto"/>
    </w:pPr>
    <w:rPr>
      <w:rFonts w:ascii="Cambria Math" w:eastAsia="Calibri" w:hAnsi="Cambria Math" w:cs="Times New Roman"/>
      <w:sz w:val="20"/>
      <w:szCs w:val="20"/>
      <w:lang w:val="en-GB" w:eastAsia="en-GB"/>
    </w:rPr>
    <w:tblPr/>
  </w:style>
  <w:style w:type="table" w:customStyle="1" w:styleId="tabelezaifs131">
    <w:name w:val="tabele za ifs 131"/>
    <w:basedOn w:val="TableNormal"/>
    <w:uiPriority w:val="66"/>
    <w:rsid w:val="006D0778"/>
    <w:pPr>
      <w:spacing w:after="0" w:line="240" w:lineRule="auto"/>
    </w:pPr>
    <w:rPr>
      <w:rFonts w:ascii="Cambria Math" w:eastAsia="Times New Roman" w:hAnsi="Cambria Math" w:cs="Times New Roman"/>
      <w:color w:val="000000"/>
      <w:sz w:val="20"/>
      <w:szCs w:val="20"/>
      <w:lang w:val="en-GB" w:eastAsia="en-GB"/>
    </w:rPr>
    <w:tblPr>
      <w:tblStyleRowBandSize w:val="1"/>
      <w:tblStyleColBandSize w:val="1"/>
      <w:tblBorders>
        <w:top w:val="single" w:sz="8" w:space="0" w:color="8CADAE"/>
        <w:left w:val="single" w:sz="8" w:space="0" w:color="8CADAE"/>
        <w:bottom w:val="single" w:sz="8" w:space="0" w:color="8CADAE"/>
        <w:right w:val="single" w:sz="8" w:space="0" w:color="8CADAE"/>
      </w:tblBorders>
    </w:tblPr>
    <w:tcPr>
      <w:vAlign w:val="bottom"/>
    </w:tcPr>
    <w:tblStylePr w:type="firstRow">
      <w:rPr>
        <w:sz w:val="24"/>
        <w:szCs w:val="24"/>
      </w:rPr>
      <w:tblPr/>
      <w:tcPr>
        <w:tcBorders>
          <w:top w:val="nil"/>
          <w:left w:val="nil"/>
          <w:bottom w:val="single" w:sz="24" w:space="0" w:color="8CADAE"/>
          <w:right w:val="nil"/>
          <w:insideH w:val="nil"/>
          <w:insideV w:val="nil"/>
        </w:tcBorders>
        <w:shd w:val="clear" w:color="auto" w:fill="FFFFFF"/>
      </w:tcPr>
    </w:tblStylePr>
    <w:tblStylePr w:type="lastRow">
      <w:tblPr/>
      <w:tcPr>
        <w:tcBorders>
          <w:top w:val="single" w:sz="8" w:space="0" w:color="8CADAE"/>
          <w:left w:val="nil"/>
          <w:bottom w:val="nil"/>
          <w:right w:val="nil"/>
          <w:insideH w:val="nil"/>
          <w:insideV w:val="nil"/>
        </w:tcBorders>
        <w:shd w:val="clear" w:color="auto" w:fill="FFFFFF"/>
      </w:tcPr>
    </w:tblStylePr>
    <w:tblStylePr w:type="firstCol">
      <w:tblPr/>
      <w:tcPr>
        <w:tcBorders>
          <w:top w:val="nil"/>
          <w:left w:val="nil"/>
          <w:bottom w:val="nil"/>
          <w:right w:val="single" w:sz="8" w:space="0" w:color="8CADAE"/>
          <w:insideH w:val="nil"/>
          <w:insideV w:val="nil"/>
        </w:tcBorders>
        <w:shd w:val="clear" w:color="auto" w:fill="FFFFFF"/>
      </w:tcPr>
    </w:tblStylePr>
    <w:tblStylePr w:type="lastCol">
      <w:tblPr/>
      <w:tcPr>
        <w:tcBorders>
          <w:top w:val="nil"/>
          <w:left w:val="single" w:sz="8" w:space="0" w:color="8CADAE"/>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2EAEB"/>
      </w:tcPr>
    </w:tblStylePr>
    <w:tblStylePr w:type="band1Horz">
      <w:tblPr/>
      <w:tcPr>
        <w:tcBorders>
          <w:top w:val="nil"/>
          <w:bottom w:val="nil"/>
          <w:insideH w:val="nil"/>
          <w:insideV w:val="nil"/>
        </w:tcBorders>
        <w:shd w:val="clear" w:color="auto" w:fill="E2EAEB"/>
      </w:tcPr>
    </w:tblStylePr>
    <w:tblStylePr w:type="nwCell">
      <w:tblPr/>
      <w:tcPr>
        <w:shd w:val="clear" w:color="auto" w:fill="FFFFFF"/>
      </w:tcPr>
    </w:tblStylePr>
    <w:tblStylePr w:type="swCell">
      <w:tblPr/>
      <w:tcPr>
        <w:tcBorders>
          <w:top w:val="nil"/>
        </w:tcBorders>
      </w:tcPr>
    </w:tblStylePr>
  </w:style>
  <w:style w:type="table" w:customStyle="1" w:styleId="ColorfulList-Accent131">
    <w:name w:val="Colorful List - Accent 131"/>
    <w:basedOn w:val="TableNormal"/>
    <w:next w:val="ColorfulList-Accent1"/>
    <w:uiPriority w:val="72"/>
    <w:rsid w:val="006D0778"/>
    <w:pPr>
      <w:spacing w:after="0" w:line="240" w:lineRule="auto"/>
    </w:pPr>
    <w:rPr>
      <w:rFonts w:ascii="Calibri" w:eastAsia="Calibri" w:hAnsi="Calibri" w:cs="Times New Roman"/>
      <w:color w:val="000000"/>
      <w:sz w:val="20"/>
      <w:szCs w:val="20"/>
      <w:lang w:val="en-GB" w:eastAsia="en-GB"/>
    </w:rPr>
    <w:tblPr>
      <w:tblStyleRowBandSize w:val="1"/>
      <w:tblStyleColBandSize w:val="1"/>
    </w:tblPr>
    <w:tcPr>
      <w:shd w:val="clear" w:color="auto" w:fill="FAEFEC"/>
    </w:tcPr>
    <w:tblStylePr w:type="firstRow">
      <w:rPr>
        <w:b/>
        <w:bCs/>
        <w:color w:val="FFFFFF"/>
      </w:rPr>
      <w:tblPr/>
      <w:tcPr>
        <w:tcBorders>
          <w:bottom w:val="single" w:sz="12" w:space="0" w:color="FFFFFF"/>
        </w:tcBorders>
        <w:shd w:val="clear" w:color="auto" w:fill="A38F00"/>
      </w:tcPr>
    </w:tblStylePr>
    <w:tblStylePr w:type="lastRow">
      <w:rPr>
        <w:b/>
        <w:bCs/>
        <w:color w:val="A38F00"/>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3D8D2"/>
      </w:tcPr>
    </w:tblStylePr>
    <w:tblStylePr w:type="band1Horz">
      <w:tblPr/>
      <w:tcPr>
        <w:shd w:val="clear" w:color="auto" w:fill="F5DFDA"/>
      </w:tcPr>
    </w:tblStylePr>
  </w:style>
  <w:style w:type="numbering" w:customStyle="1" w:styleId="NoList231">
    <w:name w:val="No List231"/>
    <w:next w:val="NoList"/>
    <w:uiPriority w:val="99"/>
    <w:semiHidden/>
    <w:unhideWhenUsed/>
    <w:rsid w:val="006D0778"/>
  </w:style>
  <w:style w:type="table" w:customStyle="1" w:styleId="LightList-Accent3261">
    <w:name w:val="Light List - Accent 3261"/>
    <w:basedOn w:val="TableNormal"/>
    <w:next w:val="LightList-Accent3"/>
    <w:uiPriority w:val="61"/>
    <w:rsid w:val="006D0778"/>
    <w:pPr>
      <w:spacing w:after="0" w:line="240" w:lineRule="auto"/>
    </w:pPr>
    <w:rPr>
      <w:rFonts w:ascii="Calibri" w:eastAsia="Calibri" w:hAnsi="Calibri" w:cs="Times New Roman"/>
      <w:sz w:val="20"/>
      <w:szCs w:val="20"/>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31161">
    <w:name w:val="Light List - Accent 31161"/>
    <w:basedOn w:val="TableNormal"/>
    <w:next w:val="LightList-Accent3"/>
    <w:uiPriority w:val="61"/>
    <w:rsid w:val="006D0778"/>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Shading-Accent13201">
    <w:name w:val="Light Shading - Accent 1320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131">
    <w:name w:val="Light Shading - Accent 13113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261">
    <w:name w:val="Light Shading - Accent 1326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tabele3131">
    <w:name w:val="tabele 3131"/>
    <w:basedOn w:val="TableNormal"/>
    <w:next w:val="LightList-Accent3"/>
    <w:uiPriority w:val="61"/>
    <w:rsid w:val="006D0778"/>
    <w:pPr>
      <w:spacing w:after="0" w:line="240" w:lineRule="auto"/>
    </w:pPr>
    <w:rPr>
      <w:rFonts w:ascii="Cambria Math" w:eastAsia="Calibri" w:hAnsi="Cambria Math" w:cs="Times New Roman"/>
      <w:sz w:val="18"/>
      <w:lang w:val="sr-Cyrl-CS"/>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LightShading-Accent11151">
    <w:name w:val="Light Shading - Accent 11151"/>
    <w:basedOn w:val="TableNormal"/>
    <w:uiPriority w:val="60"/>
    <w:rsid w:val="006D0778"/>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3231">
    <w:name w:val="Light Shading - Accent 3231"/>
    <w:basedOn w:val="TableNormal"/>
    <w:next w:val="LightShading-Accent3"/>
    <w:uiPriority w:val="60"/>
    <w:rsid w:val="006D0778"/>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List-Accent5231">
    <w:name w:val="Light List - Accent 5231"/>
    <w:basedOn w:val="TableNormal"/>
    <w:next w:val="LightList-Accent5"/>
    <w:uiPriority w:val="61"/>
    <w:rsid w:val="006D0778"/>
    <w:pPr>
      <w:spacing w:after="0" w:line="240" w:lineRule="auto"/>
    </w:pPr>
    <w:rPr>
      <w:rFonts w:ascii="Calibri" w:eastAsia="Calibri" w:hAnsi="Calibri" w:cs="Times New Roman"/>
      <w:sz w:val="20"/>
      <w:szCs w:val="20"/>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Shading-Accent31131">
    <w:name w:val="Light Shading - Accent 31131"/>
    <w:basedOn w:val="TableNormal"/>
    <w:next w:val="LightShading-Accent3"/>
    <w:uiPriority w:val="60"/>
    <w:rsid w:val="006D0778"/>
    <w:pPr>
      <w:spacing w:after="0" w:line="240" w:lineRule="auto"/>
    </w:pPr>
    <w:rPr>
      <w:rFonts w:ascii="Constantia" w:eastAsia="Constantia" w:hAnsi="Constantia" w:cs="Times New Roman"/>
      <w:color w:val="8CADAE"/>
      <w:lang w:val="sr-Cyrl-CS"/>
    </w:rPr>
    <w:tblPr>
      <w:tblStyleRowBandSize w:val="1"/>
      <w:tblStyleColBandSize w:val="1"/>
      <w:tblBorders>
        <w:top w:val="single" w:sz="8" w:space="0" w:color="8CADAE"/>
        <w:bottom w:val="single" w:sz="8" w:space="0" w:color="8CADAE"/>
      </w:tblBorders>
    </w:tblPr>
    <w:tblStylePr w:type="fir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la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2EAEB"/>
      </w:tcPr>
    </w:tblStylePr>
    <w:tblStylePr w:type="band1Horz">
      <w:tblPr/>
      <w:tcPr>
        <w:tcBorders>
          <w:left w:val="nil"/>
          <w:right w:val="nil"/>
          <w:insideH w:val="nil"/>
          <w:insideV w:val="nil"/>
        </w:tcBorders>
        <w:shd w:val="clear" w:color="auto" w:fill="E2EAEB"/>
      </w:tcPr>
    </w:tblStylePr>
  </w:style>
  <w:style w:type="table" w:customStyle="1" w:styleId="LightList-Accent31231">
    <w:name w:val="Light List - Accent 31231"/>
    <w:basedOn w:val="TableNormal"/>
    <w:next w:val="LightList-Accent3"/>
    <w:uiPriority w:val="61"/>
    <w:rsid w:val="006D0778"/>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51131">
    <w:name w:val="Light List - Accent 51131"/>
    <w:basedOn w:val="TableNormal"/>
    <w:next w:val="LightList-Accent5"/>
    <w:uiPriority w:val="61"/>
    <w:rsid w:val="006D0778"/>
    <w:pPr>
      <w:spacing w:after="0" w:line="240" w:lineRule="auto"/>
    </w:pPr>
    <w:rPr>
      <w:rFonts w:ascii="Times New Roman" w:eastAsia="Constantia" w:hAnsi="Times New Roman" w:cs="Times New Roman"/>
      <w:lang w:val="sr-Cyrl-CS"/>
    </w:rPr>
    <w:tblPr>
      <w:tblStyleRowBandSize w:val="1"/>
      <w:tblStyleColBandSize w:val="1"/>
      <w:tblBorders>
        <w:top w:val="single" w:sz="8" w:space="0" w:color="8FB08C"/>
        <w:left w:val="single" w:sz="8" w:space="0" w:color="8FB08C"/>
        <w:bottom w:val="single" w:sz="8" w:space="0" w:color="8FB08C"/>
        <w:right w:val="single" w:sz="8" w:space="0" w:color="8FB08C"/>
      </w:tblBorders>
    </w:tblPr>
    <w:tblStylePr w:type="firstRow">
      <w:pPr>
        <w:spacing w:before="0" w:after="0" w:line="240" w:lineRule="auto"/>
      </w:pPr>
      <w:rPr>
        <w:b/>
        <w:bCs/>
        <w:color w:val="FFFFFF"/>
      </w:rPr>
      <w:tblPr/>
      <w:tcPr>
        <w:shd w:val="clear" w:color="auto" w:fill="8FB08C"/>
      </w:tcPr>
    </w:tblStylePr>
    <w:tblStylePr w:type="lastRow">
      <w:pPr>
        <w:spacing w:before="0" w:after="0" w:line="240" w:lineRule="auto"/>
      </w:pPr>
      <w:rPr>
        <w:b/>
        <w:bCs/>
      </w:rPr>
      <w:tblPr/>
      <w:tcPr>
        <w:tcBorders>
          <w:top w:val="double" w:sz="6" w:space="0" w:color="8FB08C"/>
          <w:left w:val="single" w:sz="8" w:space="0" w:color="8FB08C"/>
          <w:bottom w:val="single" w:sz="8" w:space="0" w:color="8FB08C"/>
          <w:right w:val="single" w:sz="8" w:space="0" w:color="8FB08C"/>
        </w:tcBorders>
      </w:tcPr>
    </w:tblStylePr>
    <w:tblStylePr w:type="firstCol">
      <w:rPr>
        <w:b/>
        <w:bCs/>
      </w:rPr>
    </w:tblStylePr>
    <w:tblStylePr w:type="lastCol">
      <w:rPr>
        <w:b/>
        <w:bCs/>
      </w:rPr>
    </w:tblStylePr>
    <w:tblStylePr w:type="band1Vert">
      <w:tblPr/>
      <w:tcPr>
        <w:tcBorders>
          <w:top w:val="single" w:sz="8" w:space="0" w:color="8FB08C"/>
          <w:left w:val="single" w:sz="8" w:space="0" w:color="8FB08C"/>
          <w:bottom w:val="single" w:sz="8" w:space="0" w:color="8FB08C"/>
          <w:right w:val="single" w:sz="8" w:space="0" w:color="8FB08C"/>
        </w:tcBorders>
      </w:tcPr>
    </w:tblStylePr>
    <w:tblStylePr w:type="band1Horz">
      <w:tblPr/>
      <w:tcPr>
        <w:tcBorders>
          <w:top w:val="single" w:sz="8" w:space="0" w:color="8FB08C"/>
          <w:left w:val="single" w:sz="8" w:space="0" w:color="8FB08C"/>
          <w:bottom w:val="single" w:sz="8" w:space="0" w:color="8FB08C"/>
          <w:right w:val="single" w:sz="8" w:space="0" w:color="8FB08C"/>
        </w:tcBorders>
      </w:tcPr>
    </w:tblStylePr>
  </w:style>
  <w:style w:type="table" w:customStyle="1" w:styleId="LightGrid-Accent51141">
    <w:name w:val="Light Grid - Accent 51141"/>
    <w:basedOn w:val="TableNormal"/>
    <w:next w:val="LightGrid-Accent5"/>
    <w:uiPriority w:val="62"/>
    <w:rsid w:val="006D0778"/>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omic Sans MS" w:eastAsia="Times New Roman" w:hAnsi="Comic Sans MS"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omic Sans MS" w:eastAsia="Times New Roman" w:hAnsi="Comic Sans MS"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omic Sans MS" w:eastAsia="Times New Roman" w:hAnsi="Comic Sans MS" w:cs="Times New Roman"/>
        <w:b/>
        <w:bCs/>
      </w:rPr>
    </w:tblStylePr>
    <w:tblStylePr w:type="lastCol">
      <w:rPr>
        <w:rFonts w:ascii="Comic Sans MS" w:eastAsia="Times New Roman" w:hAnsi="Comic Sans MS"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11131">
    <w:name w:val="Светло сенчење – наглашавање 11131"/>
    <w:basedOn w:val="TableNormal"/>
    <w:uiPriority w:val="60"/>
    <w:rsid w:val="006D0778"/>
    <w:pPr>
      <w:spacing w:after="0" w:line="240" w:lineRule="auto"/>
    </w:pPr>
    <w:rPr>
      <w:rFonts w:ascii="Calibri" w:eastAsia="Calibri" w:hAnsi="Calibri" w:cs="Times New Roman"/>
      <w:color w:val="365F91"/>
      <w:sz w:val="20"/>
      <w:szCs w:val="20"/>
      <w:lang w:val="sr-Latn-CS" w:eastAsia="en-GB"/>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Grid-Accent5241">
    <w:name w:val="Light Grid - Accent 5241"/>
    <w:basedOn w:val="TableNormal"/>
    <w:next w:val="LightGrid-Accent5"/>
    <w:uiPriority w:val="62"/>
    <w:rsid w:val="006D0778"/>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Comic Sans MS" w:eastAsia="Times New Roman" w:hAnsi="Comic Sans MS"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Comic Sans MS" w:eastAsia="Times New Roman" w:hAnsi="Comic Sans MS"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Comic Sans MS" w:eastAsia="Times New Roman" w:hAnsi="Comic Sans MS" w:cs="Times New Roman"/>
        <w:b/>
        <w:bCs/>
      </w:rPr>
    </w:tblStylePr>
    <w:tblStylePr w:type="lastCol">
      <w:rPr>
        <w:rFonts w:ascii="Comic Sans MS" w:eastAsia="Times New Roman" w:hAnsi="Comic Sans MS"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List-Accent32131">
    <w:name w:val="Light List - Accent 32131"/>
    <w:basedOn w:val="TableNormal"/>
    <w:next w:val="LightList-Accent3"/>
    <w:uiPriority w:val="61"/>
    <w:rsid w:val="006D0778"/>
    <w:pPr>
      <w:spacing w:after="0" w:line="240" w:lineRule="auto"/>
    </w:pPr>
    <w:rPr>
      <w:rFonts w:ascii="Calibri" w:eastAsia="Calibri" w:hAnsi="Calibri" w:cs="Times New Roman"/>
      <w:sz w:val="20"/>
      <w:szCs w:val="20"/>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311131">
    <w:name w:val="Light List - Accent 311131"/>
    <w:basedOn w:val="TableNormal"/>
    <w:next w:val="LightList-Accent3"/>
    <w:uiPriority w:val="61"/>
    <w:rsid w:val="006D0778"/>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Shading-Accent13331">
    <w:name w:val="Light Shading - Accent 1333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141">
    <w:name w:val="Light Shading - Accent 13114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2131">
    <w:name w:val="Light Shading - Accent 13213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231">
    <w:name w:val="Light Shading - Accent 11231"/>
    <w:basedOn w:val="TableNormal"/>
    <w:uiPriority w:val="60"/>
    <w:rsid w:val="006D0778"/>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431">
    <w:name w:val="Light Shading - Accent 1343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331">
    <w:name w:val="Light Shading - Accent 11331"/>
    <w:basedOn w:val="TableNormal"/>
    <w:uiPriority w:val="60"/>
    <w:rsid w:val="006D0778"/>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531">
    <w:name w:val="Light Shading - Accent 1353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641">
    <w:name w:val="Light Shading - Accent 1364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731">
    <w:name w:val="Light Shading - Accent 1373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tabele3231">
    <w:name w:val="tabele 3231"/>
    <w:basedOn w:val="TableNormal"/>
    <w:next w:val="LightList-Accent3"/>
    <w:uiPriority w:val="61"/>
    <w:rsid w:val="006D0778"/>
    <w:pPr>
      <w:spacing w:after="0" w:line="240" w:lineRule="auto"/>
    </w:pPr>
    <w:rPr>
      <w:rFonts w:ascii="Cambria Math" w:eastAsia="Calibri" w:hAnsi="Cambria Math" w:cs="Times New Roman"/>
      <w:sz w:val="18"/>
      <w:lang w:val="sr-Cyrl-CS"/>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LightShading-Accent11431">
    <w:name w:val="Light Shading - Accent 11431"/>
    <w:basedOn w:val="TableNormal"/>
    <w:uiPriority w:val="60"/>
    <w:rsid w:val="006D0778"/>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3361">
    <w:name w:val="Light Shading - Accent 3361"/>
    <w:basedOn w:val="TableNormal"/>
    <w:next w:val="LightShading-Accent3"/>
    <w:uiPriority w:val="60"/>
    <w:rsid w:val="006D0778"/>
    <w:pPr>
      <w:spacing w:after="0" w:line="240" w:lineRule="auto"/>
    </w:pPr>
    <w:rPr>
      <w:rFonts w:ascii="Arial" w:eastAsia="Calibri" w:hAnsi="Arial" w:cs="Times New Roman"/>
      <w:color w:val="474747"/>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List-Accent5331">
    <w:name w:val="Light List - Accent 5331"/>
    <w:basedOn w:val="TableNormal"/>
    <w:next w:val="LightList-Accent5"/>
    <w:uiPriority w:val="61"/>
    <w:rsid w:val="006D0778"/>
    <w:pPr>
      <w:spacing w:after="0" w:line="240" w:lineRule="auto"/>
    </w:pPr>
    <w:rPr>
      <w:rFonts w:ascii="Calibri" w:eastAsia="Calibri" w:hAnsi="Calibri" w:cs="Times New Roman"/>
      <w:sz w:val="20"/>
      <w:szCs w:val="20"/>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Shading-Accent31231">
    <w:name w:val="Light Shading - Accent 31231"/>
    <w:basedOn w:val="TableNormal"/>
    <w:next w:val="LightShading-Accent3"/>
    <w:uiPriority w:val="60"/>
    <w:rsid w:val="006D0778"/>
    <w:pPr>
      <w:spacing w:after="0" w:line="240" w:lineRule="auto"/>
    </w:pPr>
    <w:rPr>
      <w:rFonts w:ascii="Constantia" w:eastAsia="Constantia" w:hAnsi="Constantia" w:cs="Times New Roman"/>
      <w:color w:val="8CADAE"/>
      <w:lang w:val="sr-Cyrl-CS"/>
    </w:rPr>
    <w:tblPr>
      <w:tblStyleRowBandSize w:val="1"/>
      <w:tblStyleColBandSize w:val="1"/>
      <w:tblBorders>
        <w:top w:val="single" w:sz="8" w:space="0" w:color="8CADAE"/>
        <w:bottom w:val="single" w:sz="8" w:space="0" w:color="8CADAE"/>
      </w:tblBorders>
    </w:tblPr>
    <w:tblStylePr w:type="fir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la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2EAEB"/>
      </w:tcPr>
    </w:tblStylePr>
    <w:tblStylePr w:type="band1Horz">
      <w:tblPr/>
      <w:tcPr>
        <w:tcBorders>
          <w:left w:val="nil"/>
          <w:right w:val="nil"/>
          <w:insideH w:val="nil"/>
          <w:insideV w:val="nil"/>
        </w:tcBorders>
        <w:shd w:val="clear" w:color="auto" w:fill="E2EAEB"/>
      </w:tcPr>
    </w:tblStylePr>
  </w:style>
  <w:style w:type="table" w:customStyle="1" w:styleId="LightList-Accent31331">
    <w:name w:val="Light List - Accent 31331"/>
    <w:basedOn w:val="TableNormal"/>
    <w:next w:val="LightList-Accent3"/>
    <w:uiPriority w:val="61"/>
    <w:rsid w:val="006D0778"/>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51231">
    <w:name w:val="Light List - Accent 51231"/>
    <w:basedOn w:val="TableNormal"/>
    <w:next w:val="LightList-Accent5"/>
    <w:uiPriority w:val="61"/>
    <w:rsid w:val="006D0778"/>
    <w:pPr>
      <w:spacing w:after="0" w:line="240" w:lineRule="auto"/>
    </w:pPr>
    <w:rPr>
      <w:rFonts w:ascii="Times New Roman" w:eastAsia="Constantia" w:hAnsi="Times New Roman" w:cs="Times New Roman"/>
      <w:lang w:val="sr-Cyrl-CS"/>
    </w:rPr>
    <w:tblPr>
      <w:tblStyleRowBandSize w:val="1"/>
      <w:tblStyleColBandSize w:val="1"/>
      <w:tblBorders>
        <w:top w:val="single" w:sz="8" w:space="0" w:color="8FB08C"/>
        <w:left w:val="single" w:sz="8" w:space="0" w:color="8FB08C"/>
        <w:bottom w:val="single" w:sz="8" w:space="0" w:color="8FB08C"/>
        <w:right w:val="single" w:sz="8" w:space="0" w:color="8FB08C"/>
      </w:tblBorders>
    </w:tblPr>
    <w:tblStylePr w:type="firstRow">
      <w:pPr>
        <w:spacing w:before="0" w:after="0" w:line="240" w:lineRule="auto"/>
      </w:pPr>
      <w:rPr>
        <w:b/>
        <w:bCs/>
        <w:color w:val="FFFFFF"/>
      </w:rPr>
      <w:tblPr/>
      <w:tcPr>
        <w:shd w:val="clear" w:color="auto" w:fill="8FB08C"/>
      </w:tcPr>
    </w:tblStylePr>
    <w:tblStylePr w:type="lastRow">
      <w:pPr>
        <w:spacing w:before="0" w:after="0" w:line="240" w:lineRule="auto"/>
      </w:pPr>
      <w:rPr>
        <w:b/>
        <w:bCs/>
      </w:rPr>
      <w:tblPr/>
      <w:tcPr>
        <w:tcBorders>
          <w:top w:val="double" w:sz="6" w:space="0" w:color="8FB08C"/>
          <w:left w:val="single" w:sz="8" w:space="0" w:color="8FB08C"/>
          <w:bottom w:val="single" w:sz="8" w:space="0" w:color="8FB08C"/>
          <w:right w:val="single" w:sz="8" w:space="0" w:color="8FB08C"/>
        </w:tcBorders>
      </w:tcPr>
    </w:tblStylePr>
    <w:tblStylePr w:type="firstCol">
      <w:rPr>
        <w:b/>
        <w:bCs/>
      </w:rPr>
    </w:tblStylePr>
    <w:tblStylePr w:type="lastCol">
      <w:rPr>
        <w:b/>
        <w:bCs/>
      </w:rPr>
    </w:tblStylePr>
    <w:tblStylePr w:type="band1Vert">
      <w:tblPr/>
      <w:tcPr>
        <w:tcBorders>
          <w:top w:val="single" w:sz="8" w:space="0" w:color="8FB08C"/>
          <w:left w:val="single" w:sz="8" w:space="0" w:color="8FB08C"/>
          <w:bottom w:val="single" w:sz="8" w:space="0" w:color="8FB08C"/>
          <w:right w:val="single" w:sz="8" w:space="0" w:color="8FB08C"/>
        </w:tcBorders>
      </w:tcPr>
    </w:tblStylePr>
    <w:tblStylePr w:type="band1Horz">
      <w:tblPr/>
      <w:tcPr>
        <w:tcBorders>
          <w:top w:val="single" w:sz="8" w:space="0" w:color="8FB08C"/>
          <w:left w:val="single" w:sz="8" w:space="0" w:color="8FB08C"/>
          <w:bottom w:val="single" w:sz="8" w:space="0" w:color="8FB08C"/>
          <w:right w:val="single" w:sz="8" w:space="0" w:color="8FB08C"/>
        </w:tcBorders>
      </w:tcPr>
    </w:tblStylePr>
  </w:style>
  <w:style w:type="table" w:customStyle="1" w:styleId="LightGrid-Accent51241">
    <w:name w:val="Light Grid - Accent 51241"/>
    <w:basedOn w:val="TableNormal"/>
    <w:next w:val="LightGrid-Accent5"/>
    <w:uiPriority w:val="62"/>
    <w:rsid w:val="006D0778"/>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omic Sans MS" w:eastAsia="Times New Roman" w:hAnsi="Comic Sans MS"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omic Sans MS" w:eastAsia="Times New Roman" w:hAnsi="Comic Sans MS"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omic Sans MS" w:eastAsia="Times New Roman" w:hAnsi="Comic Sans MS" w:cs="Times New Roman"/>
        <w:b/>
        <w:bCs/>
      </w:rPr>
    </w:tblStylePr>
    <w:tblStylePr w:type="lastCol">
      <w:rPr>
        <w:rFonts w:ascii="Comic Sans MS" w:eastAsia="Times New Roman" w:hAnsi="Comic Sans MS"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11231">
    <w:name w:val="Светло сенчење – наглашавање 11231"/>
    <w:basedOn w:val="TableNormal"/>
    <w:uiPriority w:val="60"/>
    <w:rsid w:val="006D0778"/>
    <w:pPr>
      <w:spacing w:after="0" w:line="240" w:lineRule="auto"/>
    </w:pPr>
    <w:rPr>
      <w:rFonts w:ascii="Calibri" w:eastAsia="Calibri" w:hAnsi="Calibri" w:cs="Times New Roman"/>
      <w:color w:val="365F91"/>
      <w:sz w:val="20"/>
      <w:szCs w:val="20"/>
      <w:lang w:val="sr-Latn-CS" w:eastAsia="en-GB"/>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Grid-Accent5341">
    <w:name w:val="Light Grid - Accent 5341"/>
    <w:basedOn w:val="TableNormal"/>
    <w:next w:val="LightGrid-Accent5"/>
    <w:uiPriority w:val="62"/>
    <w:rsid w:val="006D0778"/>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Comic Sans MS" w:eastAsia="Times New Roman" w:hAnsi="Comic Sans MS"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Comic Sans MS" w:eastAsia="Times New Roman" w:hAnsi="Comic Sans MS"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Comic Sans MS" w:eastAsia="Times New Roman" w:hAnsi="Comic Sans MS" w:cs="Times New Roman"/>
        <w:b/>
        <w:bCs/>
      </w:rPr>
    </w:tblStylePr>
    <w:tblStylePr w:type="lastCol">
      <w:rPr>
        <w:rFonts w:ascii="Comic Sans MS" w:eastAsia="Times New Roman" w:hAnsi="Comic Sans MS"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List-Accent32231">
    <w:name w:val="Light List - Accent 32231"/>
    <w:basedOn w:val="TableNormal"/>
    <w:next w:val="LightList-Accent3"/>
    <w:uiPriority w:val="61"/>
    <w:rsid w:val="006D0778"/>
    <w:pPr>
      <w:spacing w:after="0" w:line="240" w:lineRule="auto"/>
    </w:pPr>
    <w:rPr>
      <w:rFonts w:ascii="Calibri" w:eastAsia="Calibri" w:hAnsi="Calibri" w:cs="Times New Roman"/>
      <w:sz w:val="20"/>
      <w:szCs w:val="20"/>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311231">
    <w:name w:val="Light List - Accent 311231"/>
    <w:basedOn w:val="TableNormal"/>
    <w:next w:val="LightList-Accent3"/>
    <w:uiPriority w:val="61"/>
    <w:rsid w:val="006D0778"/>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Shading-Accent13841">
    <w:name w:val="Light Shading - Accent 1384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231">
    <w:name w:val="Light Shading - Accent 13123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2231">
    <w:name w:val="Light Shading - Accent 13223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531">
    <w:name w:val="Light Shading - Accent 11531"/>
    <w:basedOn w:val="TableNormal"/>
    <w:uiPriority w:val="60"/>
    <w:rsid w:val="006D0778"/>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941">
    <w:name w:val="Light Shading - Accent 1394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641">
    <w:name w:val="Light Shading - Accent 11641"/>
    <w:basedOn w:val="TableNormal"/>
    <w:uiPriority w:val="60"/>
    <w:rsid w:val="006D0778"/>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041">
    <w:name w:val="Light Shading - Accent 13104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331">
    <w:name w:val="Light Shading - Accent 13133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tabele3331">
    <w:name w:val="tabele 3331"/>
    <w:basedOn w:val="TableNormal"/>
    <w:next w:val="LightList-Accent3"/>
    <w:uiPriority w:val="61"/>
    <w:rsid w:val="006D0778"/>
    <w:pPr>
      <w:spacing w:after="0" w:line="240" w:lineRule="auto"/>
    </w:pPr>
    <w:rPr>
      <w:rFonts w:ascii="Cambria Math" w:eastAsia="Calibri" w:hAnsi="Cambria Math" w:cs="Times New Roman"/>
      <w:sz w:val="18"/>
      <w:lang w:val="sr-Cyrl-CS"/>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LightShading-Accent11731">
    <w:name w:val="Light Shading - Accent 11731"/>
    <w:basedOn w:val="TableNormal"/>
    <w:uiPriority w:val="60"/>
    <w:rsid w:val="006D0778"/>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3451">
    <w:name w:val="Light Shading - Accent 3451"/>
    <w:basedOn w:val="TableNormal"/>
    <w:next w:val="LightShading-Accent3"/>
    <w:uiPriority w:val="60"/>
    <w:rsid w:val="006D0778"/>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List-Accent5431">
    <w:name w:val="Light List - Accent 5431"/>
    <w:basedOn w:val="TableNormal"/>
    <w:next w:val="LightList-Accent5"/>
    <w:uiPriority w:val="61"/>
    <w:rsid w:val="006D0778"/>
    <w:pPr>
      <w:spacing w:after="0" w:line="240" w:lineRule="auto"/>
    </w:pPr>
    <w:rPr>
      <w:rFonts w:ascii="Calibri" w:eastAsia="Calibri" w:hAnsi="Calibri" w:cs="Times New Roman"/>
      <w:sz w:val="20"/>
      <w:szCs w:val="20"/>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Shading-Accent31331">
    <w:name w:val="Light Shading - Accent 31331"/>
    <w:basedOn w:val="TableNormal"/>
    <w:next w:val="LightShading-Accent3"/>
    <w:uiPriority w:val="60"/>
    <w:rsid w:val="006D0778"/>
    <w:pPr>
      <w:spacing w:after="0" w:line="240" w:lineRule="auto"/>
    </w:pPr>
    <w:rPr>
      <w:rFonts w:ascii="Constantia" w:eastAsia="Constantia" w:hAnsi="Constantia" w:cs="Times New Roman"/>
      <w:color w:val="8CADAE"/>
      <w:lang w:val="sr-Cyrl-CS"/>
    </w:rPr>
    <w:tblPr>
      <w:tblStyleRowBandSize w:val="1"/>
      <w:tblStyleColBandSize w:val="1"/>
      <w:tblBorders>
        <w:top w:val="single" w:sz="8" w:space="0" w:color="8CADAE"/>
        <w:bottom w:val="single" w:sz="8" w:space="0" w:color="8CADAE"/>
      </w:tblBorders>
    </w:tblPr>
    <w:tblStylePr w:type="fir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la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2EAEB"/>
      </w:tcPr>
    </w:tblStylePr>
    <w:tblStylePr w:type="band1Horz">
      <w:tblPr/>
      <w:tcPr>
        <w:tcBorders>
          <w:left w:val="nil"/>
          <w:right w:val="nil"/>
          <w:insideH w:val="nil"/>
          <w:insideV w:val="nil"/>
        </w:tcBorders>
        <w:shd w:val="clear" w:color="auto" w:fill="E2EAEB"/>
      </w:tcPr>
    </w:tblStylePr>
  </w:style>
  <w:style w:type="table" w:customStyle="1" w:styleId="LightList-Accent31431">
    <w:name w:val="Light List - Accent 31431"/>
    <w:basedOn w:val="TableNormal"/>
    <w:next w:val="LightList-Accent3"/>
    <w:uiPriority w:val="61"/>
    <w:rsid w:val="006D0778"/>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51331">
    <w:name w:val="Light List - Accent 51331"/>
    <w:basedOn w:val="TableNormal"/>
    <w:next w:val="LightList-Accent5"/>
    <w:uiPriority w:val="61"/>
    <w:rsid w:val="006D0778"/>
    <w:pPr>
      <w:spacing w:after="0" w:line="240" w:lineRule="auto"/>
    </w:pPr>
    <w:rPr>
      <w:rFonts w:ascii="Times New Roman" w:eastAsia="Constantia" w:hAnsi="Times New Roman" w:cs="Times New Roman"/>
      <w:lang w:val="sr-Cyrl-CS"/>
    </w:rPr>
    <w:tblPr>
      <w:tblStyleRowBandSize w:val="1"/>
      <w:tblStyleColBandSize w:val="1"/>
      <w:tblBorders>
        <w:top w:val="single" w:sz="8" w:space="0" w:color="8FB08C"/>
        <w:left w:val="single" w:sz="8" w:space="0" w:color="8FB08C"/>
        <w:bottom w:val="single" w:sz="8" w:space="0" w:color="8FB08C"/>
        <w:right w:val="single" w:sz="8" w:space="0" w:color="8FB08C"/>
      </w:tblBorders>
    </w:tblPr>
    <w:tblStylePr w:type="firstRow">
      <w:pPr>
        <w:spacing w:before="0" w:after="0" w:line="240" w:lineRule="auto"/>
      </w:pPr>
      <w:rPr>
        <w:b/>
        <w:bCs/>
        <w:color w:val="FFFFFF"/>
      </w:rPr>
      <w:tblPr/>
      <w:tcPr>
        <w:shd w:val="clear" w:color="auto" w:fill="8FB08C"/>
      </w:tcPr>
    </w:tblStylePr>
    <w:tblStylePr w:type="lastRow">
      <w:pPr>
        <w:spacing w:before="0" w:after="0" w:line="240" w:lineRule="auto"/>
      </w:pPr>
      <w:rPr>
        <w:b/>
        <w:bCs/>
      </w:rPr>
      <w:tblPr/>
      <w:tcPr>
        <w:tcBorders>
          <w:top w:val="double" w:sz="6" w:space="0" w:color="8FB08C"/>
          <w:left w:val="single" w:sz="8" w:space="0" w:color="8FB08C"/>
          <w:bottom w:val="single" w:sz="8" w:space="0" w:color="8FB08C"/>
          <w:right w:val="single" w:sz="8" w:space="0" w:color="8FB08C"/>
        </w:tcBorders>
      </w:tcPr>
    </w:tblStylePr>
    <w:tblStylePr w:type="firstCol">
      <w:rPr>
        <w:b/>
        <w:bCs/>
      </w:rPr>
    </w:tblStylePr>
    <w:tblStylePr w:type="lastCol">
      <w:rPr>
        <w:b/>
        <w:bCs/>
      </w:rPr>
    </w:tblStylePr>
    <w:tblStylePr w:type="band1Vert">
      <w:tblPr/>
      <w:tcPr>
        <w:tcBorders>
          <w:top w:val="single" w:sz="8" w:space="0" w:color="8FB08C"/>
          <w:left w:val="single" w:sz="8" w:space="0" w:color="8FB08C"/>
          <w:bottom w:val="single" w:sz="8" w:space="0" w:color="8FB08C"/>
          <w:right w:val="single" w:sz="8" w:space="0" w:color="8FB08C"/>
        </w:tcBorders>
      </w:tcPr>
    </w:tblStylePr>
    <w:tblStylePr w:type="band1Horz">
      <w:tblPr/>
      <w:tcPr>
        <w:tcBorders>
          <w:top w:val="single" w:sz="8" w:space="0" w:color="8FB08C"/>
          <w:left w:val="single" w:sz="8" w:space="0" w:color="8FB08C"/>
          <w:bottom w:val="single" w:sz="8" w:space="0" w:color="8FB08C"/>
          <w:right w:val="single" w:sz="8" w:space="0" w:color="8FB08C"/>
        </w:tcBorders>
      </w:tcPr>
    </w:tblStylePr>
  </w:style>
  <w:style w:type="table" w:customStyle="1" w:styleId="LightGrid-Accent51341">
    <w:name w:val="Light Grid - Accent 51341"/>
    <w:basedOn w:val="TableNormal"/>
    <w:next w:val="LightGrid-Accent5"/>
    <w:uiPriority w:val="62"/>
    <w:rsid w:val="006D0778"/>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omic Sans MS" w:eastAsia="Times New Roman" w:hAnsi="Comic Sans MS"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omic Sans MS" w:eastAsia="Times New Roman" w:hAnsi="Comic Sans MS"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omic Sans MS" w:eastAsia="Times New Roman" w:hAnsi="Comic Sans MS" w:cs="Times New Roman"/>
        <w:b/>
        <w:bCs/>
      </w:rPr>
    </w:tblStylePr>
    <w:tblStylePr w:type="lastCol">
      <w:rPr>
        <w:rFonts w:ascii="Comic Sans MS" w:eastAsia="Times New Roman" w:hAnsi="Comic Sans MS"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11331">
    <w:name w:val="Светло сенчење – наглашавање 11331"/>
    <w:basedOn w:val="TableNormal"/>
    <w:uiPriority w:val="60"/>
    <w:rsid w:val="006D0778"/>
    <w:pPr>
      <w:spacing w:after="0" w:line="240" w:lineRule="auto"/>
    </w:pPr>
    <w:rPr>
      <w:rFonts w:ascii="Calibri" w:eastAsia="Calibri" w:hAnsi="Calibri" w:cs="Times New Roman"/>
      <w:color w:val="365F91"/>
      <w:sz w:val="20"/>
      <w:szCs w:val="20"/>
      <w:lang w:val="sr-Latn-CS" w:eastAsia="en-GB"/>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Grid-Accent5441">
    <w:name w:val="Light Grid - Accent 5441"/>
    <w:basedOn w:val="TableNormal"/>
    <w:next w:val="LightGrid-Accent5"/>
    <w:uiPriority w:val="62"/>
    <w:rsid w:val="006D0778"/>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Comic Sans MS" w:eastAsia="Times New Roman" w:hAnsi="Comic Sans MS"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Comic Sans MS" w:eastAsia="Times New Roman" w:hAnsi="Comic Sans MS"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Comic Sans MS" w:eastAsia="Times New Roman" w:hAnsi="Comic Sans MS" w:cs="Times New Roman"/>
        <w:b/>
        <w:bCs/>
      </w:rPr>
    </w:tblStylePr>
    <w:tblStylePr w:type="lastCol">
      <w:rPr>
        <w:rFonts w:ascii="Comic Sans MS" w:eastAsia="Times New Roman" w:hAnsi="Comic Sans MS"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Shading-Accent12331">
    <w:name w:val="Light Shading - Accent 12331"/>
    <w:basedOn w:val="TableNormal"/>
    <w:uiPriority w:val="60"/>
    <w:rsid w:val="006D0778"/>
    <w:pPr>
      <w:spacing w:after="0" w:line="240" w:lineRule="auto"/>
    </w:pPr>
    <w:rPr>
      <w:rFonts w:ascii="Cambria" w:eastAsia="Calibri" w:hAnsi="Cambria" w:cs="Times New Roman"/>
      <w:color w:val="A8422A"/>
      <w:sz w:val="20"/>
      <w:szCs w:val="20"/>
      <w:lang w:val="en-GB" w:eastAsia="sr-Cyrl-CS"/>
    </w:rPr>
    <w:tblPr>
      <w:tblStyleRowBandSize w:val="1"/>
      <w:tblStyleColBandSize w:val="1"/>
      <w:tblBorders>
        <w:top w:val="single" w:sz="8" w:space="0" w:color="D16349"/>
        <w:bottom w:val="single" w:sz="8" w:space="0" w:color="D16349"/>
      </w:tblBorders>
    </w:tblPr>
    <w:tblStylePr w:type="fir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la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D8D2"/>
      </w:tcPr>
    </w:tblStylePr>
    <w:tblStylePr w:type="band1Horz">
      <w:tblPr/>
      <w:tcPr>
        <w:tcBorders>
          <w:left w:val="nil"/>
          <w:right w:val="nil"/>
          <w:insideH w:val="nil"/>
          <w:insideV w:val="nil"/>
        </w:tcBorders>
        <w:shd w:val="clear" w:color="auto" w:fill="F3D8D2"/>
      </w:tcPr>
    </w:tblStylePr>
  </w:style>
  <w:style w:type="table" w:customStyle="1" w:styleId="LightList-Accent32331">
    <w:name w:val="Light List - Accent 32331"/>
    <w:basedOn w:val="TableNormal"/>
    <w:next w:val="LightList-Accent3"/>
    <w:uiPriority w:val="61"/>
    <w:rsid w:val="006D0778"/>
    <w:pPr>
      <w:spacing w:after="0" w:line="240" w:lineRule="auto"/>
    </w:pPr>
    <w:rPr>
      <w:rFonts w:ascii="Calibri" w:eastAsia="Calibri" w:hAnsi="Calibri" w:cs="Times New Roman"/>
      <w:sz w:val="20"/>
      <w:szCs w:val="20"/>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311331">
    <w:name w:val="Light List - Accent 311331"/>
    <w:basedOn w:val="TableNormal"/>
    <w:next w:val="LightList-Accent3"/>
    <w:uiPriority w:val="61"/>
    <w:rsid w:val="006D0778"/>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Shading-Accent131431">
    <w:name w:val="Light Shading - Accent 13143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531">
    <w:name w:val="Light Shading - Accent 13153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2331">
    <w:name w:val="Light Shading - Accent 13233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631">
    <w:name w:val="Light Shading - Accent 13163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8131">
    <w:name w:val="Light Shading - Accent 13813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831">
    <w:name w:val="Light Shading - Accent 11831"/>
    <w:basedOn w:val="TableNormal"/>
    <w:uiPriority w:val="60"/>
    <w:rsid w:val="006D0778"/>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9131">
    <w:name w:val="Light Shading - Accent 13913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6131">
    <w:name w:val="Light Shading - Accent 116131"/>
    <w:basedOn w:val="TableNormal"/>
    <w:uiPriority w:val="60"/>
    <w:rsid w:val="006D0778"/>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0131">
    <w:name w:val="Light Shading - Accent 131013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6131">
    <w:name w:val="Light Shading - Accent 13613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931">
    <w:name w:val="Light Shading - Accent 1193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421">
    <w:name w:val="Light Shading - Accent 1421"/>
    <w:basedOn w:val="TableNormal"/>
    <w:next w:val="LightShading-Accent1"/>
    <w:uiPriority w:val="60"/>
    <w:rsid w:val="006D0778"/>
    <w:pPr>
      <w:spacing w:after="0" w:line="240" w:lineRule="auto"/>
    </w:pPr>
    <w:rPr>
      <w:color w:val="BF2B0E"/>
    </w:rPr>
    <w:tblPr>
      <w:tblStyleRowBandSize w:val="1"/>
      <w:tblStyleColBandSize w:val="1"/>
      <w:tblBorders>
        <w:top w:val="single" w:sz="8" w:space="0" w:color="EF4623"/>
        <w:bottom w:val="single" w:sz="8" w:space="0" w:color="EF4623"/>
      </w:tblBorders>
    </w:tblPr>
    <w:tblStylePr w:type="firstRow">
      <w:pPr>
        <w:spacing w:before="0" w:after="0" w:line="240" w:lineRule="auto"/>
      </w:pPr>
      <w:rPr>
        <w:b/>
        <w:bCs/>
      </w:rPr>
      <w:tblPr/>
      <w:tcPr>
        <w:tcBorders>
          <w:top w:val="single" w:sz="8" w:space="0" w:color="EF4623"/>
          <w:left w:val="nil"/>
          <w:bottom w:val="single" w:sz="8" w:space="0" w:color="EF4623"/>
          <w:right w:val="nil"/>
          <w:insideH w:val="nil"/>
          <w:insideV w:val="nil"/>
        </w:tcBorders>
      </w:tcPr>
    </w:tblStylePr>
    <w:tblStylePr w:type="lastRow">
      <w:pPr>
        <w:spacing w:before="0" w:after="0" w:line="240" w:lineRule="auto"/>
      </w:pPr>
      <w:rPr>
        <w:b/>
        <w:bCs/>
      </w:rPr>
      <w:tblPr/>
      <w:tcPr>
        <w:tcBorders>
          <w:top w:val="single" w:sz="8" w:space="0" w:color="EF4623"/>
          <w:left w:val="nil"/>
          <w:bottom w:val="single" w:sz="8" w:space="0" w:color="EF462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BD1C8"/>
      </w:tcPr>
    </w:tblStylePr>
    <w:tblStylePr w:type="band1Horz">
      <w:tblPr/>
      <w:tcPr>
        <w:tcBorders>
          <w:left w:val="nil"/>
          <w:right w:val="nil"/>
          <w:insideH w:val="nil"/>
          <w:insideV w:val="nil"/>
        </w:tcBorders>
        <w:shd w:val="clear" w:color="auto" w:fill="FBD1C8"/>
      </w:tcPr>
    </w:tblStylePr>
  </w:style>
  <w:style w:type="table" w:customStyle="1" w:styleId="LightShading-Accent33131">
    <w:name w:val="Light Shading - Accent 33131"/>
    <w:basedOn w:val="TableNormal"/>
    <w:next w:val="LightShading-Accent3"/>
    <w:uiPriority w:val="60"/>
    <w:rsid w:val="006D0778"/>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Shading-Accent33231">
    <w:name w:val="Light Shading - Accent 33231"/>
    <w:basedOn w:val="TableNormal"/>
    <w:next w:val="LightShading-Accent3"/>
    <w:uiPriority w:val="60"/>
    <w:rsid w:val="006D0778"/>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Shading-Accent33331">
    <w:name w:val="Light Shading - Accent 33331"/>
    <w:basedOn w:val="TableNormal"/>
    <w:next w:val="LightShading-Accent3"/>
    <w:uiPriority w:val="60"/>
    <w:rsid w:val="006D0778"/>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Shading-Accent34131">
    <w:name w:val="Light Shading - Accent 34131"/>
    <w:basedOn w:val="TableNormal"/>
    <w:next w:val="LightShading-Accent3"/>
    <w:uiPriority w:val="60"/>
    <w:rsid w:val="006D0778"/>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Shading-Accent34231">
    <w:name w:val="Light Shading - Accent 34231"/>
    <w:basedOn w:val="TableNormal"/>
    <w:next w:val="LightShading-Accent3"/>
    <w:uiPriority w:val="60"/>
    <w:rsid w:val="006D0778"/>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Grid-Accent51431">
    <w:name w:val="Light Grid - Accent 51431"/>
    <w:basedOn w:val="TableNormal"/>
    <w:next w:val="LightGrid-Accent5"/>
    <w:uiPriority w:val="62"/>
    <w:rsid w:val="006D0778"/>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5531">
    <w:name w:val="Light Grid - Accent 5531"/>
    <w:basedOn w:val="TableNormal"/>
    <w:next w:val="LightGrid-Accent5"/>
    <w:uiPriority w:val="62"/>
    <w:rsid w:val="006D0778"/>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Grid-Accent511131">
    <w:name w:val="Light Grid - Accent 511131"/>
    <w:basedOn w:val="TableNormal"/>
    <w:next w:val="LightGrid-Accent5"/>
    <w:uiPriority w:val="62"/>
    <w:rsid w:val="006D0778"/>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52131">
    <w:name w:val="Light Grid - Accent 52131"/>
    <w:basedOn w:val="TableNormal"/>
    <w:next w:val="LightGrid-Accent5"/>
    <w:uiPriority w:val="62"/>
    <w:rsid w:val="006D0778"/>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Grid-Accent512131">
    <w:name w:val="Light Grid - Accent 512131"/>
    <w:basedOn w:val="TableNormal"/>
    <w:next w:val="LightGrid-Accent5"/>
    <w:uiPriority w:val="62"/>
    <w:rsid w:val="006D0778"/>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53131">
    <w:name w:val="Light Grid - Accent 53131"/>
    <w:basedOn w:val="TableNormal"/>
    <w:next w:val="LightGrid-Accent5"/>
    <w:uiPriority w:val="62"/>
    <w:rsid w:val="006D0778"/>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Grid-Accent513131">
    <w:name w:val="Light Grid - Accent 513131"/>
    <w:basedOn w:val="TableNormal"/>
    <w:next w:val="LightGrid-Accent5"/>
    <w:uiPriority w:val="62"/>
    <w:rsid w:val="006D0778"/>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54131">
    <w:name w:val="Light Grid - Accent 54131"/>
    <w:basedOn w:val="TableNormal"/>
    <w:next w:val="LightGrid-Accent5"/>
    <w:uiPriority w:val="62"/>
    <w:rsid w:val="006D0778"/>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Shading-Accent6131">
    <w:name w:val="Light Shading - Accent 6131"/>
    <w:basedOn w:val="TableNormal"/>
    <w:next w:val="LightShading-Accent6"/>
    <w:uiPriority w:val="60"/>
    <w:rsid w:val="006D0778"/>
    <w:pPr>
      <w:spacing w:after="0" w:line="240" w:lineRule="auto"/>
    </w:pPr>
    <w:rPr>
      <w:rFonts w:ascii="Calibri" w:eastAsia="Calibri" w:hAnsi="Calibri" w:cs="Times New Roman"/>
      <w:color w:val="393939"/>
      <w:sz w:val="20"/>
      <w:szCs w:val="20"/>
    </w:rPr>
    <w:tblPr>
      <w:tblStyleRowBandSize w:val="1"/>
      <w:tblStyleColBandSize w:val="1"/>
      <w:tblBorders>
        <w:top w:val="single" w:sz="8" w:space="0" w:color="4D4D4D"/>
        <w:bottom w:val="single" w:sz="8" w:space="0" w:color="4D4D4D"/>
      </w:tblBorders>
    </w:tblPr>
    <w:tblStylePr w:type="firstRow">
      <w:pPr>
        <w:spacing w:beforeLines="0" w:before="0" w:beforeAutospacing="0" w:afterLines="0" w:after="0" w:afterAutospacing="0" w:line="240" w:lineRule="auto"/>
      </w:pPr>
      <w:rPr>
        <w:b/>
        <w:bCs/>
      </w:rPr>
      <w:tblPr/>
      <w:tcPr>
        <w:tcBorders>
          <w:top w:val="single" w:sz="8" w:space="0" w:color="4D4D4D"/>
          <w:left w:val="nil"/>
          <w:bottom w:val="single" w:sz="8" w:space="0" w:color="4D4D4D"/>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4D4D4D"/>
          <w:left w:val="nil"/>
          <w:bottom w:val="single" w:sz="8" w:space="0" w:color="4D4D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3D3"/>
      </w:tcPr>
    </w:tblStylePr>
    <w:tblStylePr w:type="band1Horz">
      <w:tblPr/>
      <w:tcPr>
        <w:tcBorders>
          <w:left w:val="nil"/>
          <w:right w:val="nil"/>
          <w:insideH w:val="nil"/>
          <w:insideV w:val="nil"/>
        </w:tcBorders>
        <w:shd w:val="clear" w:color="auto" w:fill="D3D3D3"/>
      </w:tcPr>
    </w:tblStylePr>
  </w:style>
  <w:style w:type="table" w:customStyle="1" w:styleId="GridTable6Colorful-Accent4131">
    <w:name w:val="Grid Table 6 Colorful - Accent 4131"/>
    <w:basedOn w:val="TableNormal"/>
    <w:next w:val="GridTable6Colorful-Accent430"/>
    <w:uiPriority w:val="51"/>
    <w:rsid w:val="006D0778"/>
    <w:pPr>
      <w:spacing w:after="0" w:line="240" w:lineRule="auto"/>
    </w:pPr>
    <w:rPr>
      <w:color w:val="5F5F5F"/>
    </w:rPr>
    <w:tblPr>
      <w:tblStyleRowBandSize w:val="1"/>
      <w:tblStyleColBandSize w:val="1"/>
      <w:tblBorders>
        <w:top w:val="single" w:sz="4" w:space="0" w:color="B2B2B2"/>
        <w:left w:val="single" w:sz="4" w:space="0" w:color="B2B2B2"/>
        <w:bottom w:val="single" w:sz="4" w:space="0" w:color="B2B2B2"/>
        <w:right w:val="single" w:sz="4" w:space="0" w:color="B2B2B2"/>
        <w:insideH w:val="single" w:sz="4" w:space="0" w:color="B2B2B2"/>
        <w:insideV w:val="single" w:sz="4" w:space="0" w:color="B2B2B2"/>
      </w:tblBorders>
    </w:tblPr>
    <w:tblStylePr w:type="firstRow">
      <w:rPr>
        <w:b/>
        <w:bCs/>
      </w:rPr>
      <w:tblPr/>
      <w:tcPr>
        <w:tcBorders>
          <w:bottom w:val="single" w:sz="12" w:space="0" w:color="B2B2B2"/>
        </w:tcBorders>
      </w:tcPr>
    </w:tblStylePr>
    <w:tblStylePr w:type="lastRow">
      <w:rPr>
        <w:b/>
        <w:bCs/>
      </w:rPr>
      <w:tblPr/>
      <w:tcPr>
        <w:tcBorders>
          <w:top w:val="double" w:sz="4" w:space="0" w:color="B2B2B2"/>
        </w:tcBorders>
      </w:tcPr>
    </w:tblStylePr>
    <w:tblStylePr w:type="firstCol">
      <w:rPr>
        <w:b/>
        <w:bCs/>
      </w:rPr>
    </w:tblStylePr>
    <w:tblStylePr w:type="lastCol">
      <w:rPr>
        <w:b/>
        <w:bCs/>
      </w:rPr>
    </w:tblStylePr>
    <w:tblStylePr w:type="band1Vert">
      <w:tblPr/>
      <w:tcPr>
        <w:shd w:val="clear" w:color="auto" w:fill="E5E5E5"/>
      </w:tcPr>
    </w:tblStylePr>
    <w:tblStylePr w:type="band1Horz">
      <w:tblPr/>
      <w:tcPr>
        <w:shd w:val="clear" w:color="auto" w:fill="E5E5E5"/>
      </w:tcPr>
    </w:tblStylePr>
  </w:style>
  <w:style w:type="table" w:customStyle="1" w:styleId="LightShading-Accent61121">
    <w:name w:val="Light Shading - Accent 61121"/>
    <w:basedOn w:val="TableNormal"/>
    <w:next w:val="LightShading-Accent6"/>
    <w:uiPriority w:val="60"/>
    <w:rsid w:val="006D0778"/>
    <w:pPr>
      <w:spacing w:after="0" w:line="240" w:lineRule="auto"/>
    </w:pPr>
    <w:rPr>
      <w:rFonts w:ascii="Calibri" w:eastAsia="Calibri" w:hAnsi="Calibri" w:cs="Times New Roman"/>
      <w:color w:val="E36C0A"/>
      <w:sz w:val="20"/>
      <w:szCs w:val="20"/>
    </w:rPr>
    <w:tblPr>
      <w:tblStyleRowBandSize w:val="1"/>
      <w:tblStyleColBandSize w:val="1"/>
      <w:tblBorders>
        <w:top w:val="single" w:sz="8" w:space="0" w:color="F79646"/>
        <w:bottom w:val="single" w:sz="8" w:space="0" w:color="F79646"/>
      </w:tblBorders>
    </w:tblPr>
    <w:tblStylePr w:type="firstRow">
      <w:pPr>
        <w:spacing w:beforeLines="0" w:before="0" w:beforeAutospacing="0" w:afterLines="0" w:after="0" w:afterAutospacing="0" w:line="240" w:lineRule="auto"/>
      </w:pPr>
      <w:rPr>
        <w:b/>
        <w:bCs/>
      </w:rPr>
      <w:tblPr/>
      <w:tcPr>
        <w:tcBorders>
          <w:top w:val="single" w:sz="8" w:space="0" w:color="F79646"/>
          <w:left w:val="nil"/>
          <w:bottom w:val="single" w:sz="8" w:space="0" w:color="F79646"/>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F79646"/>
          <w:left w:val="nil"/>
          <w:bottom w:val="single" w:sz="8" w:space="0" w:color="F7964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cPr>
    </w:tblStylePr>
    <w:tblStylePr w:type="band1Horz">
      <w:tblPr/>
      <w:tcPr>
        <w:tcBorders>
          <w:left w:val="nil"/>
          <w:right w:val="nil"/>
          <w:insideH w:val="nil"/>
          <w:insideV w:val="nil"/>
        </w:tcBorders>
        <w:shd w:val="clear" w:color="auto" w:fill="FDE4D0"/>
      </w:tcPr>
    </w:tblStylePr>
  </w:style>
  <w:style w:type="table" w:customStyle="1" w:styleId="GridTable6Colorful-Accent3131">
    <w:name w:val="Grid Table 6 Colorful - Accent 3131"/>
    <w:basedOn w:val="TableNormal"/>
    <w:next w:val="GridTable6Colorful-Accent330"/>
    <w:uiPriority w:val="51"/>
    <w:rsid w:val="006D0778"/>
    <w:pPr>
      <w:spacing w:after="0" w:line="240" w:lineRule="auto"/>
    </w:pPr>
    <w:rPr>
      <w:rFonts w:ascii="Calibri" w:eastAsia="Calibri" w:hAnsi="Calibri" w:cs="Times New Roman"/>
      <w:color w:val="707070"/>
      <w:sz w:val="20"/>
      <w:szCs w:val="20"/>
    </w:rPr>
    <w:tblPr>
      <w:tblStyleRowBandSize w:val="1"/>
      <w:tblStyleColBandSize w:val="1"/>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Pr>
    <w:tblStylePr w:type="firstRow">
      <w:rPr>
        <w:b/>
        <w:bCs/>
      </w:rPr>
      <w:tblPr/>
      <w:tcPr>
        <w:tcBorders>
          <w:bottom w:val="single" w:sz="12" w:space="0" w:color="C0C0C0"/>
        </w:tcBorders>
      </w:tcPr>
    </w:tblStylePr>
    <w:tblStylePr w:type="lastRow">
      <w:rPr>
        <w:b/>
        <w:bCs/>
      </w:rPr>
      <w:tblPr/>
      <w:tcPr>
        <w:tcBorders>
          <w:top w:val="double" w:sz="4" w:space="0" w:color="C0C0C0"/>
        </w:tcBorders>
      </w:tcPr>
    </w:tblStylePr>
    <w:tblStylePr w:type="firstCol">
      <w:rPr>
        <w:b/>
        <w:bCs/>
      </w:rPr>
    </w:tblStylePr>
    <w:tblStylePr w:type="lastCol">
      <w:rPr>
        <w:b/>
        <w:bCs/>
      </w:rPr>
    </w:tblStylePr>
    <w:tblStylePr w:type="band1Vert">
      <w:tblPr/>
      <w:tcPr>
        <w:shd w:val="clear" w:color="auto" w:fill="EAEAEA"/>
      </w:tcPr>
    </w:tblStylePr>
    <w:tblStylePr w:type="band1Horz">
      <w:tblPr/>
      <w:tcPr>
        <w:shd w:val="clear" w:color="auto" w:fill="EAEAEA"/>
      </w:tcPr>
    </w:tblStylePr>
  </w:style>
  <w:style w:type="table" w:customStyle="1" w:styleId="GridTable4-Accent5121">
    <w:name w:val="Grid Table 4 - Accent 5121"/>
    <w:basedOn w:val="TableNormal"/>
    <w:next w:val="GridTable4-Accent530"/>
    <w:uiPriority w:val="49"/>
    <w:rsid w:val="006D0778"/>
    <w:pPr>
      <w:spacing w:after="0" w:line="240" w:lineRule="auto"/>
    </w:pPr>
    <w:rPr>
      <w:rFonts w:ascii="Calibri" w:eastAsia="Calibri" w:hAnsi="Calibri" w:cs="Times New Roman"/>
      <w:sz w:val="20"/>
      <w:szCs w:val="20"/>
    </w:rPr>
    <w:tblPr>
      <w:tblStyleRowBandSize w:val="1"/>
      <w:tblStyleColBandSize w:val="1"/>
      <w:tblBorders>
        <w:top w:val="single" w:sz="4" w:space="0" w:color="9F9F9F"/>
        <w:left w:val="single" w:sz="4" w:space="0" w:color="9F9F9F"/>
        <w:bottom w:val="single" w:sz="4" w:space="0" w:color="9F9F9F"/>
        <w:right w:val="single" w:sz="4" w:space="0" w:color="9F9F9F"/>
        <w:insideH w:val="single" w:sz="4" w:space="0" w:color="9F9F9F"/>
        <w:insideV w:val="single" w:sz="4" w:space="0" w:color="9F9F9F"/>
      </w:tblBorders>
    </w:tblPr>
    <w:tblStylePr w:type="firstRow">
      <w:rPr>
        <w:b/>
        <w:bCs/>
        <w:color w:val="FFFFFF"/>
      </w:rPr>
      <w:tblPr/>
      <w:tcPr>
        <w:tcBorders>
          <w:top w:val="single" w:sz="4" w:space="0" w:color="5F5F5F"/>
          <w:left w:val="single" w:sz="4" w:space="0" w:color="5F5F5F"/>
          <w:bottom w:val="single" w:sz="4" w:space="0" w:color="5F5F5F"/>
          <w:right w:val="single" w:sz="4" w:space="0" w:color="5F5F5F"/>
          <w:insideH w:val="nil"/>
          <w:insideV w:val="nil"/>
        </w:tcBorders>
        <w:shd w:val="clear" w:color="auto" w:fill="5F5F5F"/>
      </w:tcPr>
    </w:tblStylePr>
    <w:tblStylePr w:type="lastRow">
      <w:rPr>
        <w:b/>
        <w:bCs/>
      </w:rPr>
      <w:tblPr/>
      <w:tcPr>
        <w:tcBorders>
          <w:top w:val="double" w:sz="4" w:space="0" w:color="5F5F5F"/>
        </w:tcBorders>
      </w:tcPr>
    </w:tblStylePr>
    <w:tblStylePr w:type="firstCol">
      <w:rPr>
        <w:b/>
        <w:bCs/>
      </w:rPr>
    </w:tblStylePr>
    <w:tblStylePr w:type="lastCol">
      <w:rPr>
        <w:b/>
        <w:bCs/>
      </w:rPr>
    </w:tblStylePr>
    <w:tblStylePr w:type="band1Vert">
      <w:tblPr/>
      <w:tcPr>
        <w:shd w:val="clear" w:color="auto" w:fill="DFDFDF"/>
      </w:tcPr>
    </w:tblStylePr>
    <w:tblStylePr w:type="band1Horz">
      <w:tblPr/>
      <w:tcPr>
        <w:shd w:val="clear" w:color="auto" w:fill="DFDFDF"/>
      </w:tcPr>
    </w:tblStylePr>
  </w:style>
  <w:style w:type="table" w:customStyle="1" w:styleId="GridTable5Dark-Accent5121">
    <w:name w:val="Grid Table 5 Dark - Accent 5121"/>
    <w:basedOn w:val="TableNormal"/>
    <w:next w:val="GridTable5Dark-Accent530"/>
    <w:uiPriority w:val="50"/>
    <w:rsid w:val="006D0778"/>
    <w:pPr>
      <w:spacing w:after="0" w:line="240" w:lineRule="auto"/>
    </w:pPr>
    <w:rPr>
      <w:rFonts w:ascii="Calibri" w:eastAsia="Calibri" w:hAnsi="Calibri" w:cs="Times New Roman"/>
      <w:sz w:val="20"/>
      <w:szCs w:val="20"/>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DFDFDF"/>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5F5F5F"/>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5F5F5F"/>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5F5F5F"/>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5F5F5F"/>
      </w:tcPr>
    </w:tblStylePr>
    <w:tblStylePr w:type="band1Vert">
      <w:tblPr/>
      <w:tcPr>
        <w:shd w:val="clear" w:color="auto" w:fill="BFBFBF"/>
      </w:tcPr>
    </w:tblStylePr>
    <w:tblStylePr w:type="band1Horz">
      <w:tblPr/>
      <w:tcPr>
        <w:shd w:val="clear" w:color="auto" w:fill="BFBFBF"/>
      </w:tcPr>
    </w:tblStylePr>
  </w:style>
  <w:style w:type="table" w:customStyle="1" w:styleId="31">
    <w:name w:val="ФС31"/>
    <w:basedOn w:val="TableNormal"/>
    <w:uiPriority w:val="99"/>
    <w:rsid w:val="006D0778"/>
    <w:pPr>
      <w:spacing w:after="0" w:line="240" w:lineRule="auto"/>
    </w:pPr>
    <w:rPr>
      <w:rFonts w:ascii="Calibri" w:eastAsia="Calibri" w:hAnsi="Calibri" w:cs="Times New Roman"/>
      <w:sz w:val="20"/>
      <w:szCs w:val="20"/>
    </w:rPr>
    <w:tblPr/>
  </w:style>
  <w:style w:type="table" w:customStyle="1" w:styleId="ListTable6Colorful-Accent3121">
    <w:name w:val="List Table 6 Colorful - Accent 3121"/>
    <w:basedOn w:val="TableNormal"/>
    <w:next w:val="ListTable6Colorful-Accent330"/>
    <w:uiPriority w:val="51"/>
    <w:rsid w:val="006D0778"/>
    <w:pPr>
      <w:spacing w:after="0" w:line="240" w:lineRule="auto"/>
    </w:pPr>
    <w:rPr>
      <w:rFonts w:ascii="Calibri" w:eastAsia="Calibri" w:hAnsi="Calibri" w:cs="Times New Roman"/>
      <w:color w:val="707070"/>
      <w:sz w:val="20"/>
      <w:szCs w:val="20"/>
    </w:rPr>
    <w:tblPr>
      <w:tblStyleRowBandSize w:val="1"/>
      <w:tblStyleColBandSize w:val="1"/>
      <w:tblBorders>
        <w:top w:val="single" w:sz="4" w:space="0" w:color="969696"/>
        <w:bottom w:val="single" w:sz="4" w:space="0" w:color="969696"/>
      </w:tblBorders>
    </w:tblPr>
    <w:tblStylePr w:type="firstRow">
      <w:rPr>
        <w:b/>
        <w:bCs/>
      </w:rPr>
      <w:tblPr/>
      <w:tcPr>
        <w:tcBorders>
          <w:bottom w:val="single" w:sz="4" w:space="0" w:color="969696"/>
        </w:tcBorders>
      </w:tcPr>
    </w:tblStylePr>
    <w:tblStylePr w:type="lastRow">
      <w:rPr>
        <w:b/>
        <w:bCs/>
      </w:rPr>
      <w:tblPr/>
      <w:tcPr>
        <w:tcBorders>
          <w:top w:val="double" w:sz="4" w:space="0" w:color="969696"/>
        </w:tcBorders>
      </w:tcPr>
    </w:tblStylePr>
    <w:tblStylePr w:type="firstCol">
      <w:rPr>
        <w:b/>
        <w:bCs/>
      </w:rPr>
    </w:tblStylePr>
    <w:tblStylePr w:type="lastCol">
      <w:rPr>
        <w:b/>
        <w:bCs/>
      </w:rPr>
    </w:tblStylePr>
    <w:tblStylePr w:type="band1Vert">
      <w:tblPr/>
      <w:tcPr>
        <w:shd w:val="clear" w:color="auto" w:fill="EAEAEA"/>
      </w:tcPr>
    </w:tblStylePr>
    <w:tblStylePr w:type="band1Horz">
      <w:tblPr/>
      <w:tcPr>
        <w:shd w:val="clear" w:color="auto" w:fill="EAEAEA"/>
      </w:tcPr>
    </w:tblStylePr>
  </w:style>
  <w:style w:type="table" w:customStyle="1" w:styleId="GridTable1Light-Accent1121">
    <w:name w:val="Grid Table 1 Light - Accent 1121"/>
    <w:basedOn w:val="TableNormal"/>
    <w:next w:val="GridTable1Light-Accent130"/>
    <w:uiPriority w:val="46"/>
    <w:rsid w:val="006D0778"/>
    <w:pPr>
      <w:spacing w:after="0" w:line="240" w:lineRule="auto"/>
    </w:pPr>
    <w:tblPr>
      <w:tblStyleRowBandSize w:val="1"/>
      <w:tblStyleColBandSize w:val="1"/>
      <w:tblBorders>
        <w:top w:val="single" w:sz="4" w:space="0" w:color="F8B4A6"/>
        <w:left w:val="single" w:sz="4" w:space="0" w:color="F8B4A6"/>
        <w:bottom w:val="single" w:sz="4" w:space="0" w:color="F8B4A6"/>
        <w:right w:val="single" w:sz="4" w:space="0" w:color="F8B4A6"/>
        <w:insideH w:val="single" w:sz="4" w:space="0" w:color="F8B4A6"/>
        <w:insideV w:val="single" w:sz="4" w:space="0" w:color="F8B4A6"/>
      </w:tblBorders>
    </w:tblPr>
    <w:tblStylePr w:type="firstRow">
      <w:rPr>
        <w:b/>
        <w:bCs/>
      </w:rPr>
      <w:tblPr/>
      <w:tcPr>
        <w:tcBorders>
          <w:bottom w:val="single" w:sz="12" w:space="0" w:color="F58F7A"/>
        </w:tcBorders>
      </w:tcPr>
    </w:tblStylePr>
    <w:tblStylePr w:type="lastRow">
      <w:rPr>
        <w:b/>
        <w:bCs/>
      </w:rPr>
      <w:tblPr/>
      <w:tcPr>
        <w:tcBorders>
          <w:top w:val="double" w:sz="2" w:space="0" w:color="F58F7A"/>
        </w:tcBorders>
      </w:tcPr>
    </w:tblStylePr>
    <w:tblStylePr w:type="firstCol">
      <w:rPr>
        <w:b/>
        <w:bCs/>
      </w:rPr>
    </w:tblStylePr>
    <w:tblStylePr w:type="lastCol">
      <w:rPr>
        <w:b/>
        <w:bCs/>
      </w:rPr>
    </w:tblStylePr>
  </w:style>
  <w:style w:type="table" w:customStyle="1" w:styleId="ListTable1Light-Accent1121">
    <w:name w:val="List Table 1 Light - Accent 1121"/>
    <w:basedOn w:val="TableNormal"/>
    <w:next w:val="ListTable1Light-Accent130"/>
    <w:uiPriority w:val="46"/>
    <w:rsid w:val="006D0778"/>
    <w:pPr>
      <w:spacing w:after="0" w:line="240" w:lineRule="auto"/>
    </w:pPr>
    <w:tblPr>
      <w:tblStyleRowBandSize w:val="1"/>
      <w:tblStyleColBandSize w:val="1"/>
    </w:tblPr>
    <w:tblStylePr w:type="firstRow">
      <w:rPr>
        <w:b/>
        <w:bCs/>
      </w:rPr>
      <w:tblPr/>
      <w:tcPr>
        <w:tcBorders>
          <w:bottom w:val="single" w:sz="4" w:space="0" w:color="F58F7A"/>
        </w:tcBorders>
      </w:tcPr>
    </w:tblStylePr>
    <w:tblStylePr w:type="lastRow">
      <w:rPr>
        <w:b/>
        <w:bCs/>
      </w:rPr>
      <w:tblPr/>
      <w:tcPr>
        <w:tcBorders>
          <w:top w:val="single" w:sz="4" w:space="0" w:color="F58F7A"/>
        </w:tcBorders>
      </w:tcPr>
    </w:tblStylePr>
    <w:tblStylePr w:type="firstCol">
      <w:rPr>
        <w:b/>
        <w:bCs/>
      </w:rPr>
    </w:tblStylePr>
    <w:tblStylePr w:type="lastCol">
      <w:rPr>
        <w:b/>
        <w:bCs/>
      </w:rPr>
    </w:tblStylePr>
    <w:tblStylePr w:type="band1Vert">
      <w:tblPr/>
      <w:tcPr>
        <w:shd w:val="clear" w:color="auto" w:fill="FBD9D2"/>
      </w:tcPr>
    </w:tblStylePr>
    <w:tblStylePr w:type="band1Horz">
      <w:tblPr/>
      <w:tcPr>
        <w:shd w:val="clear" w:color="auto" w:fill="FBD9D2"/>
      </w:tcPr>
    </w:tblStylePr>
  </w:style>
  <w:style w:type="table" w:customStyle="1" w:styleId="ListTable2-Accent1121">
    <w:name w:val="List Table 2 - Accent 1121"/>
    <w:basedOn w:val="TableNormal"/>
    <w:next w:val="ListTable2-Accent130"/>
    <w:uiPriority w:val="47"/>
    <w:rsid w:val="006D0778"/>
    <w:pPr>
      <w:spacing w:after="0" w:line="240" w:lineRule="auto"/>
    </w:pPr>
    <w:tblPr>
      <w:tblStyleRowBandSize w:val="1"/>
      <w:tblStyleColBandSize w:val="1"/>
      <w:tblBorders>
        <w:top w:val="single" w:sz="4" w:space="0" w:color="F58F7A"/>
        <w:bottom w:val="single" w:sz="4" w:space="0" w:color="F58F7A"/>
        <w:insideH w:val="single" w:sz="4" w:space="0" w:color="F58F7A"/>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BD9D2"/>
      </w:tcPr>
    </w:tblStylePr>
    <w:tblStylePr w:type="band1Horz">
      <w:tblPr/>
      <w:tcPr>
        <w:shd w:val="clear" w:color="auto" w:fill="FBD9D2"/>
      </w:tcPr>
    </w:tblStylePr>
  </w:style>
  <w:style w:type="table" w:customStyle="1" w:styleId="ListTable2-Accent5121">
    <w:name w:val="List Table 2 - Accent 5121"/>
    <w:basedOn w:val="TableNormal"/>
    <w:next w:val="ListTable2-Accent530"/>
    <w:uiPriority w:val="47"/>
    <w:rsid w:val="006D0778"/>
    <w:pPr>
      <w:spacing w:after="0" w:line="240" w:lineRule="auto"/>
    </w:pPr>
    <w:tblPr>
      <w:tblStyleRowBandSize w:val="1"/>
      <w:tblStyleColBandSize w:val="1"/>
      <w:tblBorders>
        <w:top w:val="single" w:sz="4" w:space="0" w:color="9F9F9F"/>
        <w:bottom w:val="single" w:sz="4" w:space="0" w:color="9F9F9F"/>
        <w:insideH w:val="single" w:sz="4" w:space="0" w:color="9F9F9F"/>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FDFDF"/>
      </w:tcPr>
    </w:tblStylePr>
    <w:tblStylePr w:type="band1Horz">
      <w:tblPr/>
      <w:tcPr>
        <w:shd w:val="clear" w:color="auto" w:fill="DFDFDF"/>
      </w:tcPr>
    </w:tblStylePr>
  </w:style>
  <w:style w:type="table" w:customStyle="1" w:styleId="GridTable2-Accent5121">
    <w:name w:val="Grid Table 2 - Accent 5121"/>
    <w:basedOn w:val="TableNormal"/>
    <w:next w:val="GridTable2-Accent530"/>
    <w:uiPriority w:val="47"/>
    <w:rsid w:val="006D0778"/>
    <w:pPr>
      <w:spacing w:after="0" w:line="240" w:lineRule="auto"/>
    </w:pPr>
    <w:tblPr>
      <w:tblStyleRowBandSize w:val="1"/>
      <w:tblStyleColBandSize w:val="1"/>
      <w:tblBorders>
        <w:top w:val="single" w:sz="2" w:space="0" w:color="9F9F9F"/>
        <w:bottom w:val="single" w:sz="2" w:space="0" w:color="9F9F9F"/>
        <w:insideH w:val="single" w:sz="2" w:space="0" w:color="9F9F9F"/>
        <w:insideV w:val="single" w:sz="2" w:space="0" w:color="9F9F9F"/>
      </w:tblBorders>
    </w:tblPr>
    <w:tblStylePr w:type="firstRow">
      <w:rPr>
        <w:b/>
        <w:bCs/>
      </w:rPr>
      <w:tblPr/>
      <w:tcPr>
        <w:tcBorders>
          <w:top w:val="nil"/>
          <w:bottom w:val="single" w:sz="12" w:space="0" w:color="9F9F9F"/>
          <w:insideH w:val="nil"/>
          <w:insideV w:val="nil"/>
        </w:tcBorders>
        <w:shd w:val="clear" w:color="auto" w:fill="FFFFFF"/>
      </w:tcPr>
    </w:tblStylePr>
    <w:tblStylePr w:type="lastRow">
      <w:rPr>
        <w:b/>
        <w:bCs/>
      </w:rPr>
      <w:tblPr/>
      <w:tcPr>
        <w:tcBorders>
          <w:top w:val="double" w:sz="2" w:space="0" w:color="9F9F9F"/>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FDFDF"/>
      </w:tcPr>
    </w:tblStylePr>
    <w:tblStylePr w:type="band1Horz">
      <w:tblPr/>
      <w:tcPr>
        <w:shd w:val="clear" w:color="auto" w:fill="DFDFDF"/>
      </w:tcPr>
    </w:tblStylePr>
  </w:style>
  <w:style w:type="table" w:customStyle="1" w:styleId="TableGrid231">
    <w:name w:val="Table Grid231"/>
    <w:basedOn w:val="TableNormal"/>
    <w:next w:val="TableGrid"/>
    <w:uiPriority w:val="39"/>
    <w:rsid w:val="006D0778"/>
    <w:pPr>
      <w:spacing w:before="120" w:after="120" w:line="264" w:lineRule="auto"/>
      <w:ind w:left="115" w:right="115"/>
    </w:pPr>
    <w:rPr>
      <w:rFonts w:eastAsia="MS PGothic"/>
      <w:sz w:val="20"/>
      <w:szCs w:val="20"/>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
    <w:tcPr>
      <w:vAlign w:val="center"/>
    </w:tcPr>
    <w:tblStylePr w:type="firstRow">
      <w:pPr>
        <w:wordWrap/>
        <w:jc w:val="center"/>
      </w:pPr>
      <w:rPr>
        <w:b/>
        <w:i w:val="0"/>
        <w:sz w:val="22"/>
      </w:rPr>
    </w:tblStylePr>
    <w:tblStylePr w:type="lastRow">
      <w:rPr>
        <w:b/>
        <w:i w:val="0"/>
        <w:sz w:val="22"/>
      </w:rPr>
      <w:tblPr/>
      <w:tcPr>
        <w:tcBorders>
          <w:top w:val="double" w:sz="4" w:space="0" w:color="auto"/>
          <w:left w:val="single" w:sz="4" w:space="0" w:color="auto"/>
          <w:bottom w:val="single" w:sz="18" w:space="0" w:color="auto"/>
          <w:right w:val="single" w:sz="4" w:space="0" w:color="auto"/>
          <w:insideH w:val="nil"/>
          <w:insideV w:val="single" w:sz="4" w:space="0" w:color="auto"/>
          <w:tl2br w:val="nil"/>
          <w:tr2bl w:val="nil"/>
        </w:tcBorders>
      </w:tcPr>
    </w:tblStylePr>
  </w:style>
  <w:style w:type="table" w:customStyle="1" w:styleId="LightShading-Accent12431">
    <w:name w:val="Light Shading - Accent 12431"/>
    <w:basedOn w:val="TableNormal"/>
    <w:uiPriority w:val="60"/>
    <w:rsid w:val="006D0778"/>
    <w:pPr>
      <w:spacing w:after="0" w:line="264" w:lineRule="auto"/>
    </w:pPr>
    <w:rPr>
      <w:rFonts w:ascii="Cambria" w:eastAsia="Calibri" w:hAnsi="Cambria" w:cs="Times New Roman"/>
      <w:color w:val="A8422A"/>
      <w:sz w:val="20"/>
      <w:szCs w:val="20"/>
      <w:lang w:val="en-GB" w:eastAsia="sr-Cyrl-CS"/>
    </w:rPr>
    <w:tblPr>
      <w:tblStyleRowBandSize w:val="1"/>
      <w:tblStyleColBandSize w:val="1"/>
      <w:tblBorders>
        <w:top w:val="single" w:sz="8" w:space="0" w:color="D16349"/>
        <w:bottom w:val="single" w:sz="8" w:space="0" w:color="D16349"/>
      </w:tblBorders>
    </w:tblPr>
    <w:tblStylePr w:type="fir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la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D8D2"/>
      </w:tcPr>
    </w:tblStylePr>
    <w:tblStylePr w:type="band1Horz">
      <w:tblPr/>
      <w:tcPr>
        <w:tcBorders>
          <w:left w:val="nil"/>
          <w:right w:val="nil"/>
          <w:insideH w:val="nil"/>
          <w:insideV w:val="nil"/>
        </w:tcBorders>
        <w:shd w:val="clear" w:color="auto" w:fill="F3D8D2"/>
      </w:tcPr>
    </w:tblStylePr>
  </w:style>
  <w:style w:type="table" w:customStyle="1" w:styleId="GridTable6Colorful-Accent51221">
    <w:name w:val="Grid Table 6 Colorful - Accent 51221"/>
    <w:basedOn w:val="TableNormal"/>
    <w:next w:val="GridTable6Colorful-Accent540"/>
    <w:uiPriority w:val="51"/>
    <w:rsid w:val="006D0778"/>
    <w:pPr>
      <w:spacing w:after="0" w:line="240" w:lineRule="auto"/>
    </w:pPr>
    <w:rPr>
      <w:rFonts w:ascii="Calibri" w:eastAsia="Calibri" w:hAnsi="Calibri" w:cs="Times New Roman"/>
      <w:color w:val="C19300"/>
      <w:sz w:val="20"/>
      <w:szCs w:val="20"/>
    </w:rPr>
    <w:tblPr>
      <w:tblStyleRowBandSize w:val="1"/>
      <w:tblStyleColBandSize w:val="1"/>
      <w:tblBorders>
        <w:top w:val="single" w:sz="4" w:space="0" w:color="FEDA69"/>
        <w:left w:val="single" w:sz="4" w:space="0" w:color="FEDA69"/>
        <w:bottom w:val="single" w:sz="4" w:space="0" w:color="FEDA69"/>
        <w:right w:val="single" w:sz="4" w:space="0" w:color="FEDA69"/>
        <w:insideH w:val="single" w:sz="4" w:space="0" w:color="FEDA69"/>
        <w:insideV w:val="single" w:sz="4" w:space="0" w:color="FEDA69"/>
      </w:tblBorders>
    </w:tblPr>
    <w:tblStylePr w:type="firstRow">
      <w:rPr>
        <w:b/>
        <w:bCs/>
      </w:rPr>
      <w:tblPr/>
      <w:tcPr>
        <w:tcBorders>
          <w:bottom w:val="single" w:sz="12" w:space="0" w:color="FEDA69"/>
        </w:tcBorders>
      </w:tcPr>
    </w:tblStylePr>
    <w:tblStylePr w:type="lastRow">
      <w:rPr>
        <w:b/>
        <w:bCs/>
      </w:rPr>
      <w:tblPr/>
      <w:tcPr>
        <w:tcBorders>
          <w:top w:val="double" w:sz="4" w:space="0" w:color="FEDA69"/>
        </w:tcBorders>
      </w:tcPr>
    </w:tblStylePr>
    <w:tblStylePr w:type="firstCol">
      <w:rPr>
        <w:b/>
        <w:bCs/>
      </w:rPr>
    </w:tblStylePr>
    <w:tblStylePr w:type="lastCol">
      <w:rPr>
        <w:b/>
        <w:bCs/>
      </w:rPr>
    </w:tblStylePr>
    <w:tblStylePr w:type="band1Vert">
      <w:tblPr/>
      <w:tcPr>
        <w:shd w:val="clear" w:color="auto" w:fill="FEF2CD"/>
      </w:tcPr>
    </w:tblStylePr>
    <w:tblStylePr w:type="band1Horz">
      <w:tblPr/>
      <w:tcPr>
        <w:shd w:val="clear" w:color="auto" w:fill="FEF2CD"/>
      </w:tcPr>
    </w:tblStylePr>
  </w:style>
  <w:style w:type="table" w:customStyle="1" w:styleId="GridTable6Colorful-Accent51321">
    <w:name w:val="Grid Table 6 Colorful - Accent 51321"/>
    <w:basedOn w:val="TableNormal"/>
    <w:uiPriority w:val="51"/>
    <w:rsid w:val="006D0778"/>
    <w:pPr>
      <w:spacing w:after="0" w:line="264" w:lineRule="auto"/>
    </w:pPr>
    <w:rPr>
      <w:rFonts w:ascii="Calibri" w:eastAsia="Calibri" w:hAnsi="Calibri" w:cs="Times New Roman"/>
      <w:color w:val="474747"/>
      <w:sz w:val="20"/>
      <w:szCs w:val="20"/>
    </w:rPr>
    <w:tblPr>
      <w:tblStyleRowBandSize w:val="1"/>
      <w:tblStyleColBandSize w:val="1"/>
      <w:tblBorders>
        <w:top w:val="single" w:sz="4" w:space="0" w:color="9F9F9F"/>
        <w:left w:val="single" w:sz="4" w:space="0" w:color="9F9F9F"/>
        <w:bottom w:val="single" w:sz="4" w:space="0" w:color="9F9F9F"/>
        <w:right w:val="single" w:sz="4" w:space="0" w:color="9F9F9F"/>
        <w:insideH w:val="single" w:sz="4" w:space="0" w:color="9F9F9F"/>
        <w:insideV w:val="single" w:sz="4" w:space="0" w:color="9F9F9F"/>
      </w:tblBorders>
    </w:tblPr>
    <w:tblStylePr w:type="firstRow">
      <w:rPr>
        <w:b/>
        <w:bCs/>
      </w:rPr>
      <w:tblPr/>
      <w:tcPr>
        <w:tcBorders>
          <w:bottom w:val="single" w:sz="12" w:space="0" w:color="9F9F9F"/>
        </w:tcBorders>
      </w:tcPr>
    </w:tblStylePr>
    <w:tblStylePr w:type="lastRow">
      <w:rPr>
        <w:b/>
        <w:bCs/>
      </w:rPr>
      <w:tblPr/>
      <w:tcPr>
        <w:tcBorders>
          <w:top w:val="double" w:sz="4" w:space="0" w:color="9F9F9F"/>
        </w:tcBorders>
      </w:tcPr>
    </w:tblStylePr>
    <w:tblStylePr w:type="firstCol">
      <w:rPr>
        <w:b/>
        <w:bCs/>
      </w:rPr>
    </w:tblStylePr>
    <w:tblStylePr w:type="lastCol">
      <w:rPr>
        <w:b/>
        <w:bCs/>
      </w:rPr>
    </w:tblStylePr>
    <w:tblStylePr w:type="band1Vert">
      <w:tblPr/>
      <w:tcPr>
        <w:shd w:val="clear" w:color="auto" w:fill="DFDFDF"/>
      </w:tcPr>
    </w:tblStylePr>
    <w:tblStylePr w:type="band1Horz">
      <w:tblPr/>
      <w:tcPr>
        <w:shd w:val="clear" w:color="auto" w:fill="DFDFDF"/>
      </w:tcPr>
    </w:tblStylePr>
  </w:style>
  <w:style w:type="numbering" w:customStyle="1" w:styleId="NoList321">
    <w:name w:val="No List321"/>
    <w:next w:val="NoList"/>
    <w:uiPriority w:val="99"/>
    <w:semiHidden/>
    <w:unhideWhenUsed/>
    <w:rsid w:val="006D0778"/>
  </w:style>
  <w:style w:type="table" w:customStyle="1" w:styleId="TableGrid321">
    <w:name w:val="Table Grid321"/>
    <w:basedOn w:val="TableNormal"/>
    <w:next w:val="TableGrid"/>
    <w:uiPriority w:val="39"/>
    <w:rsid w:val="006D0778"/>
    <w:pPr>
      <w:spacing w:before="120" w:after="120" w:line="264" w:lineRule="auto"/>
      <w:ind w:left="115" w:right="115"/>
    </w:pPr>
    <w:rPr>
      <w:rFonts w:eastAsia="MS PGothic"/>
      <w:sz w:val="20"/>
      <w:szCs w:val="20"/>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
    <w:tcPr>
      <w:vAlign w:val="center"/>
    </w:tcPr>
    <w:tblStylePr w:type="firstRow">
      <w:pPr>
        <w:wordWrap/>
        <w:jc w:val="center"/>
      </w:pPr>
      <w:rPr>
        <w:b/>
        <w:i w:val="0"/>
        <w:sz w:val="22"/>
      </w:rPr>
    </w:tblStylePr>
    <w:tblStylePr w:type="lastRow">
      <w:rPr>
        <w:b/>
        <w:i w:val="0"/>
        <w:sz w:val="22"/>
      </w:rPr>
      <w:tblPr/>
      <w:tcPr>
        <w:tcBorders>
          <w:top w:val="double" w:sz="4" w:space="0" w:color="auto"/>
          <w:left w:val="single" w:sz="4" w:space="0" w:color="auto"/>
          <w:bottom w:val="single" w:sz="18" w:space="0" w:color="auto"/>
          <w:right w:val="single" w:sz="4" w:space="0" w:color="auto"/>
          <w:insideH w:val="nil"/>
          <w:insideV w:val="single" w:sz="4" w:space="0" w:color="auto"/>
          <w:tl2br w:val="nil"/>
          <w:tr2bl w:val="nil"/>
        </w:tcBorders>
      </w:tcPr>
    </w:tblStylePr>
  </w:style>
  <w:style w:type="table" w:customStyle="1" w:styleId="FinancialTable121">
    <w:name w:val="Financial Table121"/>
    <w:basedOn w:val="TableNormal"/>
    <w:uiPriority w:val="99"/>
    <w:rsid w:val="006D0778"/>
    <w:pPr>
      <w:spacing w:before="60" w:after="60" w:line="264" w:lineRule="auto"/>
    </w:pPr>
    <w:rPr>
      <w:rFonts w:eastAsia="MS PGothic"/>
      <w:sz w:val="20"/>
      <w:szCs w:val="20"/>
      <w:lang w:eastAsia="ja-JP"/>
    </w:rPr>
    <w:tblPr>
      <w:tblBorders>
        <w:top w:val="single" w:sz="8" w:space="0" w:color="000000"/>
        <w:left w:val="single" w:sz="8" w:space="0" w:color="000000"/>
        <w:bottom w:val="single" w:sz="24" w:space="0" w:color="000000"/>
        <w:right w:val="single" w:sz="8" w:space="0" w:color="000000"/>
        <w:insideH w:val="single" w:sz="8" w:space="0" w:color="000000"/>
        <w:insideV w:val="single" w:sz="8" w:space="0" w:color="000000"/>
      </w:tblBorders>
      <w:tblCellMar>
        <w:left w:w="72" w:type="dxa"/>
        <w:right w:w="72" w:type="dxa"/>
      </w:tblCellMar>
    </w:tblPr>
    <w:tblStylePr w:type="firstRow">
      <w:pPr>
        <w:wordWrap/>
        <w:spacing w:beforeLines="0" w:before="40" w:beforeAutospacing="0" w:afterLines="0" w:after="40" w:afterAutospacing="0"/>
        <w:jc w:val="left"/>
      </w:pPr>
      <w:rPr>
        <w:rFonts w:ascii="Arial" w:hAnsi="Arial"/>
        <w:b/>
        <w:i w:val="0"/>
        <w:caps w:val="0"/>
        <w:smallCaps w:val="0"/>
        <w:color w:val="000000"/>
        <w:sz w:val="22"/>
      </w:rPr>
    </w:tblStylePr>
    <w:tblStylePr w:type="firstCol">
      <w:rPr>
        <w:b/>
        <w:color w:val="000000"/>
      </w:rPr>
    </w:tblStylePr>
  </w:style>
  <w:style w:type="table" w:customStyle="1" w:styleId="GridTable6Colorful-Accent5321">
    <w:name w:val="Grid Table 6 Colorful - Accent 5321"/>
    <w:basedOn w:val="TableNormal"/>
    <w:next w:val="GridTable6Colorful-Accent540"/>
    <w:uiPriority w:val="51"/>
    <w:rsid w:val="006D0778"/>
    <w:pPr>
      <w:spacing w:after="0" w:line="264" w:lineRule="auto"/>
    </w:pPr>
    <w:rPr>
      <w:rFonts w:ascii="Calibri" w:eastAsia="Calibri" w:hAnsi="Calibri" w:cs="Times New Roman"/>
      <w:color w:val="474747"/>
      <w:sz w:val="20"/>
      <w:szCs w:val="20"/>
    </w:rPr>
    <w:tblPr>
      <w:tblStyleRowBandSize w:val="1"/>
      <w:tblStyleColBandSize w:val="1"/>
      <w:tblBorders>
        <w:top w:val="single" w:sz="4" w:space="0" w:color="9F9F9F"/>
        <w:left w:val="single" w:sz="4" w:space="0" w:color="9F9F9F"/>
        <w:bottom w:val="single" w:sz="4" w:space="0" w:color="9F9F9F"/>
        <w:right w:val="single" w:sz="4" w:space="0" w:color="9F9F9F"/>
        <w:insideH w:val="single" w:sz="4" w:space="0" w:color="9F9F9F"/>
        <w:insideV w:val="single" w:sz="4" w:space="0" w:color="9F9F9F"/>
      </w:tblBorders>
    </w:tblPr>
    <w:tblStylePr w:type="firstRow">
      <w:rPr>
        <w:b/>
        <w:bCs/>
      </w:rPr>
      <w:tblPr/>
      <w:tcPr>
        <w:tcBorders>
          <w:bottom w:val="single" w:sz="12" w:space="0" w:color="9F9F9F"/>
        </w:tcBorders>
      </w:tcPr>
    </w:tblStylePr>
    <w:tblStylePr w:type="lastRow">
      <w:rPr>
        <w:b/>
        <w:bCs/>
      </w:rPr>
      <w:tblPr/>
      <w:tcPr>
        <w:tcBorders>
          <w:top w:val="double" w:sz="4" w:space="0" w:color="9F9F9F"/>
        </w:tcBorders>
      </w:tcPr>
    </w:tblStylePr>
    <w:tblStylePr w:type="firstCol">
      <w:rPr>
        <w:b/>
        <w:bCs/>
      </w:rPr>
    </w:tblStylePr>
    <w:tblStylePr w:type="lastCol">
      <w:rPr>
        <w:b/>
        <w:bCs/>
      </w:rPr>
    </w:tblStylePr>
    <w:tblStylePr w:type="band1Vert">
      <w:tblPr/>
      <w:tcPr>
        <w:shd w:val="clear" w:color="auto" w:fill="DFDFDF"/>
      </w:tcPr>
    </w:tblStylePr>
    <w:tblStylePr w:type="band1Horz">
      <w:tblPr/>
      <w:tcPr>
        <w:shd w:val="clear" w:color="auto" w:fill="DFDFDF"/>
      </w:tcPr>
    </w:tblStylePr>
  </w:style>
  <w:style w:type="table" w:customStyle="1" w:styleId="LightShading-Accent12531">
    <w:name w:val="Light Shading - Accent 12531"/>
    <w:basedOn w:val="TableNormal"/>
    <w:uiPriority w:val="60"/>
    <w:rsid w:val="006D0778"/>
    <w:pPr>
      <w:spacing w:after="0" w:line="264" w:lineRule="auto"/>
    </w:pPr>
    <w:rPr>
      <w:rFonts w:ascii="Cambria" w:eastAsia="Calibri" w:hAnsi="Cambria" w:cs="Times New Roman"/>
      <w:color w:val="A8422A"/>
      <w:sz w:val="20"/>
      <w:szCs w:val="20"/>
      <w:lang w:val="en-GB" w:eastAsia="sr-Cyrl-CS"/>
    </w:rPr>
    <w:tblPr>
      <w:tblStyleRowBandSize w:val="1"/>
      <w:tblStyleColBandSize w:val="1"/>
      <w:tblBorders>
        <w:top w:val="single" w:sz="8" w:space="0" w:color="D16349"/>
        <w:bottom w:val="single" w:sz="8" w:space="0" w:color="D16349"/>
      </w:tblBorders>
    </w:tblPr>
    <w:tblStylePr w:type="fir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la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D8D2"/>
      </w:tcPr>
    </w:tblStylePr>
    <w:tblStylePr w:type="band1Horz">
      <w:tblPr/>
      <w:tcPr>
        <w:tcBorders>
          <w:left w:val="nil"/>
          <w:right w:val="nil"/>
          <w:insideH w:val="nil"/>
          <w:insideV w:val="nil"/>
        </w:tcBorders>
        <w:shd w:val="clear" w:color="auto" w:fill="F3D8D2"/>
      </w:tcPr>
    </w:tblStylePr>
  </w:style>
  <w:style w:type="table" w:customStyle="1" w:styleId="GridTable6Colorful-Accent51421">
    <w:name w:val="Grid Table 6 Colorful - Accent 51421"/>
    <w:basedOn w:val="TableNormal"/>
    <w:uiPriority w:val="51"/>
    <w:rsid w:val="006D0778"/>
    <w:pPr>
      <w:spacing w:after="0" w:line="264" w:lineRule="auto"/>
    </w:pPr>
    <w:rPr>
      <w:rFonts w:ascii="Calibri" w:eastAsia="Calibri" w:hAnsi="Calibri" w:cs="Times New Roman"/>
      <w:color w:val="387AAA"/>
      <w:sz w:val="20"/>
      <w:szCs w:val="20"/>
    </w:rPr>
    <w:tblPr>
      <w:tblStyleRowBandSize w:val="1"/>
      <w:tblStyleColBandSize w:val="1"/>
      <w:tblBorders>
        <w:top w:val="single" w:sz="4" w:space="0" w:color="A1C5E0"/>
        <w:left w:val="single" w:sz="4" w:space="0" w:color="A1C5E0"/>
        <w:bottom w:val="single" w:sz="4" w:space="0" w:color="A1C5E0"/>
        <w:right w:val="single" w:sz="4" w:space="0" w:color="A1C5E0"/>
        <w:insideH w:val="single" w:sz="4" w:space="0" w:color="A1C5E0"/>
        <w:insideV w:val="single" w:sz="4" w:space="0" w:color="A1C5E0"/>
      </w:tblBorders>
    </w:tblPr>
    <w:tblStylePr w:type="firstRow">
      <w:rPr>
        <w:b/>
        <w:bCs/>
      </w:rPr>
      <w:tblPr/>
      <w:tcPr>
        <w:tcBorders>
          <w:bottom w:val="single" w:sz="12" w:space="0" w:color="A1C5E0"/>
        </w:tcBorders>
      </w:tcPr>
    </w:tblStylePr>
    <w:tblStylePr w:type="lastRow">
      <w:rPr>
        <w:b/>
        <w:bCs/>
      </w:rPr>
      <w:tblPr/>
      <w:tcPr>
        <w:tcBorders>
          <w:top w:val="double" w:sz="4" w:space="0" w:color="A1C5E0"/>
        </w:tcBorders>
      </w:tcPr>
    </w:tblStylePr>
    <w:tblStylePr w:type="firstCol">
      <w:rPr>
        <w:b/>
        <w:bCs/>
      </w:rPr>
    </w:tblStylePr>
    <w:tblStylePr w:type="lastCol">
      <w:rPr>
        <w:b/>
        <w:bCs/>
      </w:rPr>
    </w:tblStylePr>
    <w:tblStylePr w:type="band1Vert">
      <w:tblPr/>
      <w:tcPr>
        <w:shd w:val="clear" w:color="auto" w:fill="DFEBF4"/>
      </w:tcPr>
    </w:tblStylePr>
    <w:tblStylePr w:type="band1Horz">
      <w:tblPr/>
      <w:tcPr>
        <w:shd w:val="clear" w:color="auto" w:fill="DFEBF4"/>
      </w:tcPr>
    </w:tblStylePr>
  </w:style>
  <w:style w:type="table" w:customStyle="1" w:styleId="LightShading-Accent121121">
    <w:name w:val="Light Shading - Accent 121121"/>
    <w:basedOn w:val="TableNormal"/>
    <w:uiPriority w:val="60"/>
    <w:rsid w:val="006D0778"/>
    <w:pPr>
      <w:spacing w:after="0" w:line="264" w:lineRule="auto"/>
    </w:pPr>
    <w:rPr>
      <w:rFonts w:ascii="Cambria" w:eastAsia="Calibri" w:hAnsi="Cambria" w:cs="Times New Roman"/>
      <w:color w:val="A8422A"/>
      <w:sz w:val="20"/>
      <w:szCs w:val="20"/>
      <w:lang w:val="en-GB" w:eastAsia="sr-Cyrl-CS"/>
    </w:rPr>
    <w:tblPr>
      <w:tblStyleRowBandSize w:val="1"/>
      <w:tblStyleColBandSize w:val="1"/>
      <w:tblBorders>
        <w:top w:val="single" w:sz="8" w:space="0" w:color="D16349"/>
        <w:bottom w:val="single" w:sz="8" w:space="0" w:color="D16349"/>
      </w:tblBorders>
    </w:tblPr>
    <w:tblStylePr w:type="fir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la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D8D2"/>
      </w:tcPr>
    </w:tblStylePr>
    <w:tblStylePr w:type="band1Horz">
      <w:tblPr/>
      <w:tcPr>
        <w:tcBorders>
          <w:left w:val="nil"/>
          <w:right w:val="nil"/>
          <w:insideH w:val="nil"/>
          <w:insideV w:val="nil"/>
        </w:tcBorders>
        <w:shd w:val="clear" w:color="auto" w:fill="F3D8D2"/>
      </w:tcPr>
    </w:tblStylePr>
  </w:style>
  <w:style w:type="table" w:customStyle="1" w:styleId="GridTable6Colorful-Accent511121">
    <w:name w:val="Grid Table 6 Colorful - Accent 511121"/>
    <w:basedOn w:val="TableNormal"/>
    <w:uiPriority w:val="51"/>
    <w:rsid w:val="006D0778"/>
    <w:pPr>
      <w:spacing w:after="0" w:line="264" w:lineRule="auto"/>
    </w:pPr>
    <w:rPr>
      <w:rFonts w:ascii="Calibri" w:eastAsia="Calibri" w:hAnsi="Calibri" w:cs="Times New Roman"/>
      <w:color w:val="387AAA"/>
      <w:sz w:val="20"/>
      <w:szCs w:val="20"/>
    </w:rPr>
    <w:tblPr>
      <w:tblStyleRowBandSize w:val="1"/>
      <w:tblStyleColBandSize w:val="1"/>
      <w:tblBorders>
        <w:top w:val="single" w:sz="4" w:space="0" w:color="A1C5E0"/>
        <w:left w:val="single" w:sz="4" w:space="0" w:color="A1C5E0"/>
        <w:bottom w:val="single" w:sz="4" w:space="0" w:color="A1C5E0"/>
        <w:right w:val="single" w:sz="4" w:space="0" w:color="A1C5E0"/>
        <w:insideH w:val="single" w:sz="4" w:space="0" w:color="A1C5E0"/>
        <w:insideV w:val="single" w:sz="4" w:space="0" w:color="A1C5E0"/>
      </w:tblBorders>
    </w:tblPr>
    <w:tblStylePr w:type="firstRow">
      <w:rPr>
        <w:b/>
        <w:bCs/>
      </w:rPr>
      <w:tblPr/>
      <w:tcPr>
        <w:tcBorders>
          <w:bottom w:val="single" w:sz="12" w:space="0" w:color="A1C5E0"/>
        </w:tcBorders>
      </w:tcPr>
    </w:tblStylePr>
    <w:tblStylePr w:type="lastRow">
      <w:rPr>
        <w:b/>
        <w:bCs/>
      </w:rPr>
      <w:tblPr/>
      <w:tcPr>
        <w:tcBorders>
          <w:top w:val="double" w:sz="4" w:space="0" w:color="A1C5E0"/>
        </w:tcBorders>
      </w:tcPr>
    </w:tblStylePr>
    <w:tblStylePr w:type="firstCol">
      <w:rPr>
        <w:b/>
        <w:bCs/>
      </w:rPr>
    </w:tblStylePr>
    <w:tblStylePr w:type="lastCol">
      <w:rPr>
        <w:b/>
        <w:bCs/>
      </w:rPr>
    </w:tblStylePr>
    <w:tblStylePr w:type="band1Vert">
      <w:tblPr/>
      <w:tcPr>
        <w:shd w:val="clear" w:color="auto" w:fill="DFEBF4"/>
      </w:tcPr>
    </w:tblStylePr>
    <w:tblStylePr w:type="band1Horz">
      <w:tblPr/>
      <w:tcPr>
        <w:shd w:val="clear" w:color="auto" w:fill="DFEBF4"/>
      </w:tcPr>
    </w:tblStylePr>
  </w:style>
  <w:style w:type="table" w:customStyle="1" w:styleId="GridTable6Colorful-Accent1221">
    <w:name w:val="Grid Table 6 Colorful - Accent 1221"/>
    <w:basedOn w:val="TableNormal"/>
    <w:next w:val="GridTable6Colorful-Accent130"/>
    <w:uiPriority w:val="51"/>
    <w:rsid w:val="006D0778"/>
    <w:pPr>
      <w:spacing w:after="0" w:line="264" w:lineRule="auto"/>
    </w:pPr>
    <w:rPr>
      <w:rFonts w:eastAsia="MS PGothic"/>
      <w:color w:val="BF2B0E"/>
      <w:sz w:val="20"/>
      <w:szCs w:val="20"/>
      <w:lang w:eastAsia="ja-JP"/>
    </w:rPr>
    <w:tblPr>
      <w:tblStyleRowBandSize w:val="1"/>
      <w:tblStyleColBandSize w:val="1"/>
      <w:tblBorders>
        <w:top w:val="single" w:sz="4" w:space="0" w:color="F58F7A"/>
        <w:left w:val="single" w:sz="4" w:space="0" w:color="F58F7A"/>
        <w:bottom w:val="single" w:sz="4" w:space="0" w:color="F58F7A"/>
        <w:right w:val="single" w:sz="4" w:space="0" w:color="F58F7A"/>
        <w:insideH w:val="single" w:sz="4" w:space="0" w:color="F58F7A"/>
        <w:insideV w:val="single" w:sz="4" w:space="0" w:color="F58F7A"/>
      </w:tblBorders>
    </w:tblPr>
    <w:tblStylePr w:type="firstRow">
      <w:rPr>
        <w:b/>
        <w:bCs/>
      </w:rPr>
      <w:tblPr/>
      <w:tcPr>
        <w:tcBorders>
          <w:bottom w:val="single" w:sz="12" w:space="0" w:color="F58F7A"/>
        </w:tcBorders>
      </w:tcPr>
    </w:tblStylePr>
    <w:tblStylePr w:type="lastRow">
      <w:rPr>
        <w:b/>
        <w:bCs/>
      </w:rPr>
      <w:tblPr/>
      <w:tcPr>
        <w:tcBorders>
          <w:top w:val="double" w:sz="4" w:space="0" w:color="F58F7A"/>
        </w:tcBorders>
      </w:tcPr>
    </w:tblStylePr>
    <w:tblStylePr w:type="firstCol">
      <w:rPr>
        <w:b/>
        <w:bCs/>
      </w:rPr>
    </w:tblStylePr>
    <w:tblStylePr w:type="lastCol">
      <w:rPr>
        <w:b/>
        <w:bCs/>
      </w:rPr>
    </w:tblStylePr>
    <w:tblStylePr w:type="band1Vert">
      <w:tblPr/>
      <w:tcPr>
        <w:shd w:val="clear" w:color="auto" w:fill="FBD9D2"/>
      </w:tcPr>
    </w:tblStylePr>
    <w:tblStylePr w:type="band1Horz">
      <w:tblPr/>
      <w:tcPr>
        <w:shd w:val="clear" w:color="auto" w:fill="FBD9D2"/>
      </w:tcPr>
    </w:tblStylePr>
  </w:style>
  <w:style w:type="table" w:customStyle="1" w:styleId="LightShading-Accent122121">
    <w:name w:val="Light Shading - Accent 122121"/>
    <w:basedOn w:val="TableNormal"/>
    <w:uiPriority w:val="60"/>
    <w:rsid w:val="006D0778"/>
    <w:pPr>
      <w:spacing w:after="0" w:line="240" w:lineRule="auto"/>
    </w:pPr>
    <w:rPr>
      <w:rFonts w:ascii="Cambria" w:eastAsia="Calibri" w:hAnsi="Cambria" w:cs="Times New Roman"/>
      <w:color w:val="A8422A"/>
      <w:sz w:val="20"/>
      <w:szCs w:val="20"/>
      <w:lang w:val="en-GB" w:eastAsia="sr-Cyrl-CS"/>
    </w:rPr>
    <w:tblPr>
      <w:tblStyleRowBandSize w:val="1"/>
      <w:tblStyleColBandSize w:val="1"/>
      <w:tblBorders>
        <w:top w:val="single" w:sz="8" w:space="0" w:color="D16349"/>
        <w:bottom w:val="single" w:sz="8" w:space="0" w:color="D16349"/>
      </w:tblBorders>
    </w:tblPr>
    <w:tblStylePr w:type="fir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la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D8D2"/>
      </w:tcPr>
    </w:tblStylePr>
    <w:tblStylePr w:type="band1Horz">
      <w:tblPr/>
      <w:tcPr>
        <w:tcBorders>
          <w:left w:val="nil"/>
          <w:right w:val="nil"/>
          <w:insideH w:val="nil"/>
          <w:insideV w:val="nil"/>
        </w:tcBorders>
        <w:shd w:val="clear" w:color="auto" w:fill="F3D8D2"/>
      </w:tcPr>
    </w:tblStylePr>
  </w:style>
  <w:style w:type="table" w:customStyle="1" w:styleId="GridTable6Colorful-Accent52121">
    <w:name w:val="Grid Table 6 Colorful - Accent 52121"/>
    <w:basedOn w:val="TableNormal"/>
    <w:next w:val="GridTable6Colorful-Accent540"/>
    <w:uiPriority w:val="51"/>
    <w:rsid w:val="006D0778"/>
    <w:pPr>
      <w:spacing w:after="0" w:line="240" w:lineRule="auto"/>
    </w:pPr>
    <w:rPr>
      <w:rFonts w:ascii="Calibri" w:eastAsia="Calibri" w:hAnsi="Calibri" w:cs="Times New Roman"/>
      <w:color w:val="C19300"/>
      <w:sz w:val="20"/>
      <w:szCs w:val="20"/>
    </w:rPr>
    <w:tblPr>
      <w:tblStyleRowBandSize w:val="1"/>
      <w:tblStyleColBandSize w:val="1"/>
      <w:tblBorders>
        <w:top w:val="single" w:sz="4" w:space="0" w:color="FEDA69"/>
        <w:left w:val="single" w:sz="4" w:space="0" w:color="FEDA69"/>
        <w:bottom w:val="single" w:sz="4" w:space="0" w:color="FEDA69"/>
        <w:right w:val="single" w:sz="4" w:space="0" w:color="FEDA69"/>
        <w:insideH w:val="single" w:sz="4" w:space="0" w:color="FEDA69"/>
        <w:insideV w:val="single" w:sz="4" w:space="0" w:color="FEDA69"/>
      </w:tblBorders>
    </w:tblPr>
    <w:tblStylePr w:type="firstRow">
      <w:rPr>
        <w:b/>
        <w:bCs/>
      </w:rPr>
      <w:tblPr/>
      <w:tcPr>
        <w:tcBorders>
          <w:bottom w:val="single" w:sz="12" w:space="0" w:color="FEDA69"/>
        </w:tcBorders>
      </w:tcPr>
    </w:tblStylePr>
    <w:tblStylePr w:type="lastRow">
      <w:rPr>
        <w:b/>
        <w:bCs/>
      </w:rPr>
      <w:tblPr/>
      <w:tcPr>
        <w:tcBorders>
          <w:top w:val="double" w:sz="4" w:space="0" w:color="FEDA69"/>
        </w:tcBorders>
      </w:tcPr>
    </w:tblStylePr>
    <w:tblStylePr w:type="firstCol">
      <w:rPr>
        <w:b/>
        <w:bCs/>
      </w:rPr>
    </w:tblStylePr>
    <w:tblStylePr w:type="lastCol">
      <w:rPr>
        <w:b/>
        <w:bCs/>
      </w:rPr>
    </w:tblStylePr>
    <w:tblStylePr w:type="band1Vert">
      <w:tblPr/>
      <w:tcPr>
        <w:shd w:val="clear" w:color="auto" w:fill="FEF2CD"/>
      </w:tcPr>
    </w:tblStylePr>
    <w:tblStylePr w:type="band1Horz">
      <w:tblPr/>
      <w:tcPr>
        <w:shd w:val="clear" w:color="auto" w:fill="FEF2CD"/>
      </w:tcPr>
    </w:tblStylePr>
  </w:style>
  <w:style w:type="table" w:customStyle="1" w:styleId="tabele3421">
    <w:name w:val="tabele 3421"/>
    <w:basedOn w:val="TableNormal"/>
    <w:next w:val="LightList-Accent3"/>
    <w:uiPriority w:val="61"/>
    <w:rsid w:val="006D0778"/>
    <w:pPr>
      <w:spacing w:after="0" w:line="240" w:lineRule="auto"/>
    </w:pPr>
    <w:rPr>
      <w:rFonts w:ascii="Cambria Math" w:eastAsia="Calibri" w:hAnsi="Cambria Math" w:cs="Times New Roman"/>
      <w:sz w:val="18"/>
      <w:lang w:val="sr-Cyrl-CS"/>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LightShading-Accent111021">
    <w:name w:val="Light Shading - Accent 111021"/>
    <w:basedOn w:val="TableNormal"/>
    <w:uiPriority w:val="60"/>
    <w:rsid w:val="006D0778"/>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3521">
    <w:name w:val="Light Shading - Accent 3521"/>
    <w:basedOn w:val="TableNormal"/>
    <w:next w:val="LightShading-Accent3"/>
    <w:uiPriority w:val="60"/>
    <w:rsid w:val="006D0778"/>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List-Accent5521">
    <w:name w:val="Light List - Accent 5521"/>
    <w:basedOn w:val="TableNormal"/>
    <w:next w:val="LightList-Accent5"/>
    <w:uiPriority w:val="61"/>
    <w:rsid w:val="006D0778"/>
    <w:pPr>
      <w:spacing w:after="0" w:line="240" w:lineRule="auto"/>
    </w:pPr>
    <w:rPr>
      <w:rFonts w:ascii="Calibri" w:eastAsia="Calibri" w:hAnsi="Calibri" w:cs="Times New Roman"/>
      <w:sz w:val="20"/>
      <w:szCs w:val="20"/>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Shading-Accent31421">
    <w:name w:val="Light Shading - Accent 31421"/>
    <w:basedOn w:val="TableNormal"/>
    <w:next w:val="LightShading-Accent3"/>
    <w:uiPriority w:val="60"/>
    <w:rsid w:val="006D0778"/>
    <w:pPr>
      <w:spacing w:after="0" w:line="240" w:lineRule="auto"/>
    </w:pPr>
    <w:rPr>
      <w:rFonts w:ascii="Constantia" w:eastAsia="Constantia" w:hAnsi="Constantia" w:cs="Times New Roman"/>
      <w:color w:val="8CADAE"/>
      <w:lang w:val="sr-Cyrl-CS"/>
    </w:rPr>
    <w:tblPr>
      <w:tblStyleRowBandSize w:val="1"/>
      <w:tblStyleColBandSize w:val="1"/>
      <w:tblBorders>
        <w:top w:val="single" w:sz="8" w:space="0" w:color="8CADAE"/>
        <w:bottom w:val="single" w:sz="8" w:space="0" w:color="8CADAE"/>
      </w:tblBorders>
    </w:tblPr>
    <w:tblStylePr w:type="fir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la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2EAEB"/>
      </w:tcPr>
    </w:tblStylePr>
    <w:tblStylePr w:type="band1Horz">
      <w:tblPr/>
      <w:tcPr>
        <w:tcBorders>
          <w:left w:val="nil"/>
          <w:right w:val="nil"/>
          <w:insideH w:val="nil"/>
          <w:insideV w:val="nil"/>
        </w:tcBorders>
        <w:shd w:val="clear" w:color="auto" w:fill="E2EAEB"/>
      </w:tcPr>
    </w:tblStylePr>
  </w:style>
  <w:style w:type="table" w:customStyle="1" w:styleId="LightList-Accent31521">
    <w:name w:val="Light List - Accent 31521"/>
    <w:basedOn w:val="TableNormal"/>
    <w:next w:val="LightList-Accent3"/>
    <w:uiPriority w:val="61"/>
    <w:rsid w:val="006D0778"/>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TableGrid1121">
    <w:name w:val="Table Grid1121"/>
    <w:basedOn w:val="TableNormal"/>
    <w:next w:val="TableGrid"/>
    <w:uiPriority w:val="59"/>
    <w:rsid w:val="006D0778"/>
    <w:pPr>
      <w:spacing w:after="0" w:line="240" w:lineRule="auto"/>
    </w:pPr>
    <w:rPr>
      <w:rFonts w:ascii="Constantia" w:eastAsia="Constantia" w:hAnsi="Constantia" w:cs="Times New Roman"/>
      <w:lang w:val="sr-Cyrl-C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ghtList-Accent51421">
    <w:name w:val="Light List - Accent 51421"/>
    <w:basedOn w:val="TableNormal"/>
    <w:next w:val="LightList-Accent5"/>
    <w:uiPriority w:val="61"/>
    <w:rsid w:val="006D0778"/>
    <w:pPr>
      <w:spacing w:after="0" w:line="240" w:lineRule="auto"/>
    </w:pPr>
    <w:rPr>
      <w:rFonts w:ascii="Times New Roman" w:eastAsia="Constantia" w:hAnsi="Times New Roman" w:cs="Times New Roman"/>
      <w:lang w:val="sr-Cyrl-CS"/>
    </w:rPr>
    <w:tblPr>
      <w:tblStyleRowBandSize w:val="1"/>
      <w:tblStyleColBandSize w:val="1"/>
      <w:tblBorders>
        <w:top w:val="single" w:sz="8" w:space="0" w:color="8FB08C"/>
        <w:left w:val="single" w:sz="8" w:space="0" w:color="8FB08C"/>
        <w:bottom w:val="single" w:sz="8" w:space="0" w:color="8FB08C"/>
        <w:right w:val="single" w:sz="8" w:space="0" w:color="8FB08C"/>
      </w:tblBorders>
    </w:tblPr>
    <w:tblStylePr w:type="firstRow">
      <w:pPr>
        <w:spacing w:before="0" w:after="0" w:line="240" w:lineRule="auto"/>
      </w:pPr>
      <w:rPr>
        <w:b/>
        <w:bCs/>
        <w:color w:val="FFFFFF"/>
      </w:rPr>
      <w:tblPr/>
      <w:tcPr>
        <w:shd w:val="clear" w:color="auto" w:fill="8FB08C"/>
      </w:tcPr>
    </w:tblStylePr>
    <w:tblStylePr w:type="lastRow">
      <w:pPr>
        <w:spacing w:before="0" w:after="0" w:line="240" w:lineRule="auto"/>
      </w:pPr>
      <w:rPr>
        <w:b/>
        <w:bCs/>
      </w:rPr>
      <w:tblPr/>
      <w:tcPr>
        <w:tcBorders>
          <w:top w:val="double" w:sz="6" w:space="0" w:color="8FB08C"/>
          <w:left w:val="single" w:sz="8" w:space="0" w:color="8FB08C"/>
          <w:bottom w:val="single" w:sz="8" w:space="0" w:color="8FB08C"/>
          <w:right w:val="single" w:sz="8" w:space="0" w:color="8FB08C"/>
        </w:tcBorders>
      </w:tcPr>
    </w:tblStylePr>
    <w:tblStylePr w:type="firstCol">
      <w:rPr>
        <w:b/>
        <w:bCs/>
      </w:rPr>
    </w:tblStylePr>
    <w:tblStylePr w:type="lastCol">
      <w:rPr>
        <w:b/>
        <w:bCs/>
      </w:rPr>
    </w:tblStylePr>
    <w:tblStylePr w:type="band1Vert">
      <w:tblPr/>
      <w:tcPr>
        <w:tcBorders>
          <w:top w:val="single" w:sz="8" w:space="0" w:color="8FB08C"/>
          <w:left w:val="single" w:sz="8" w:space="0" w:color="8FB08C"/>
          <w:bottom w:val="single" w:sz="8" w:space="0" w:color="8FB08C"/>
          <w:right w:val="single" w:sz="8" w:space="0" w:color="8FB08C"/>
        </w:tcBorders>
      </w:tcPr>
    </w:tblStylePr>
    <w:tblStylePr w:type="band1Horz">
      <w:tblPr/>
      <w:tcPr>
        <w:tcBorders>
          <w:top w:val="single" w:sz="8" w:space="0" w:color="8FB08C"/>
          <w:left w:val="single" w:sz="8" w:space="0" w:color="8FB08C"/>
          <w:bottom w:val="single" w:sz="8" w:space="0" w:color="8FB08C"/>
          <w:right w:val="single" w:sz="8" w:space="0" w:color="8FB08C"/>
        </w:tcBorders>
      </w:tcPr>
    </w:tblStylePr>
  </w:style>
  <w:style w:type="table" w:customStyle="1" w:styleId="MediumList1-Accent51121">
    <w:name w:val="Medium List 1 - Accent 51121"/>
    <w:basedOn w:val="TableNormal"/>
    <w:next w:val="MediumList1-Accent5"/>
    <w:uiPriority w:val="65"/>
    <w:rsid w:val="006D0778"/>
    <w:pPr>
      <w:spacing w:after="0" w:line="240" w:lineRule="auto"/>
    </w:pPr>
    <w:rPr>
      <w:rFonts w:ascii="Constantia" w:eastAsia="Constantia" w:hAnsi="Constantia" w:cs="Times New Roman"/>
      <w:color w:val="000000"/>
      <w:lang w:val="sr-Cyrl-CS"/>
    </w:rPr>
    <w:tblPr>
      <w:tblStyleRowBandSize w:val="1"/>
      <w:tblStyleColBandSize w:val="1"/>
      <w:tblBorders>
        <w:top w:val="single" w:sz="8" w:space="0" w:color="8FB08C"/>
        <w:bottom w:val="single" w:sz="8" w:space="0" w:color="8FB08C"/>
      </w:tblBorders>
    </w:tblPr>
    <w:tblStylePr w:type="firstRow">
      <w:rPr>
        <w:rFonts w:ascii="Verdana" w:eastAsia="Times New Roman" w:hAnsi="Verdana" w:cs="Times New Roman"/>
      </w:rPr>
      <w:tblPr/>
      <w:tcPr>
        <w:tcBorders>
          <w:top w:val="nil"/>
          <w:bottom w:val="single" w:sz="8" w:space="0" w:color="8FB08C"/>
        </w:tcBorders>
      </w:tcPr>
    </w:tblStylePr>
    <w:tblStylePr w:type="lastRow">
      <w:rPr>
        <w:b/>
        <w:bCs/>
        <w:color w:val="646B86"/>
      </w:rPr>
      <w:tblPr/>
      <w:tcPr>
        <w:tcBorders>
          <w:top w:val="single" w:sz="8" w:space="0" w:color="8FB08C"/>
          <w:bottom w:val="single" w:sz="8" w:space="0" w:color="8FB08C"/>
        </w:tcBorders>
      </w:tcPr>
    </w:tblStylePr>
    <w:tblStylePr w:type="firstCol">
      <w:rPr>
        <w:b/>
        <w:bCs/>
      </w:rPr>
    </w:tblStylePr>
    <w:tblStylePr w:type="lastCol">
      <w:rPr>
        <w:b/>
        <w:bCs/>
      </w:rPr>
      <w:tblPr/>
      <w:tcPr>
        <w:tcBorders>
          <w:top w:val="single" w:sz="8" w:space="0" w:color="8FB08C"/>
          <w:bottom w:val="single" w:sz="8" w:space="0" w:color="8FB08C"/>
        </w:tcBorders>
      </w:tcPr>
    </w:tblStylePr>
    <w:tblStylePr w:type="band1Vert">
      <w:tblPr/>
      <w:tcPr>
        <w:shd w:val="clear" w:color="auto" w:fill="E3EBE2"/>
      </w:tcPr>
    </w:tblStylePr>
    <w:tblStylePr w:type="band1Horz">
      <w:tblPr/>
      <w:tcPr>
        <w:shd w:val="clear" w:color="auto" w:fill="E3EBE2"/>
      </w:tcPr>
    </w:tblStylePr>
  </w:style>
  <w:style w:type="table" w:customStyle="1" w:styleId="MediumList1-Accent5221">
    <w:name w:val="Medium List 1 - Accent 5221"/>
    <w:basedOn w:val="TableNormal"/>
    <w:next w:val="MediumList1-Accent5"/>
    <w:uiPriority w:val="65"/>
    <w:rsid w:val="006D0778"/>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4BACC6"/>
        <w:bottom w:val="single" w:sz="8" w:space="0" w:color="4BACC6"/>
      </w:tblBorders>
    </w:tblPr>
    <w:tblStylePr w:type="firstRow">
      <w:rPr>
        <w:rFonts w:ascii="Times New Roman" w:eastAsia="Times New Roman" w:hAnsi="Times New Roman" w:cs="Times New Roman"/>
      </w:rPr>
      <w:tblPr/>
      <w:tcPr>
        <w:tcBorders>
          <w:top w:val="nil"/>
          <w:bottom w:val="single" w:sz="8" w:space="0" w:color="4BACC6"/>
        </w:tcBorders>
      </w:tcPr>
    </w:tblStylePr>
    <w:tblStylePr w:type="lastRow">
      <w:rPr>
        <w:b/>
        <w:bCs/>
        <w:color w:val="1F497D"/>
      </w:rPr>
      <w:tblPr/>
      <w:tcPr>
        <w:tcBorders>
          <w:top w:val="single" w:sz="8" w:space="0" w:color="4BACC6"/>
          <w:bottom w:val="single" w:sz="8" w:space="0" w:color="4BACC6"/>
        </w:tcBorders>
      </w:tcPr>
    </w:tblStylePr>
    <w:tblStylePr w:type="firstCol">
      <w:rPr>
        <w:b/>
        <w:bCs/>
      </w:rPr>
    </w:tblStylePr>
    <w:tblStylePr w:type="lastCol">
      <w:rPr>
        <w:b/>
        <w:bCs/>
      </w:rPr>
      <w:tblPr/>
      <w:tcPr>
        <w:tcBorders>
          <w:top w:val="single" w:sz="8" w:space="0" w:color="4BACC6"/>
          <w:bottom w:val="single" w:sz="8" w:space="0" w:color="4BACC6"/>
        </w:tcBorders>
      </w:tcPr>
    </w:tblStylePr>
    <w:tblStylePr w:type="band1Vert">
      <w:tblPr/>
      <w:tcPr>
        <w:shd w:val="clear" w:color="auto" w:fill="D2EAF1"/>
      </w:tcPr>
    </w:tblStylePr>
    <w:tblStylePr w:type="band1Horz">
      <w:tblPr/>
      <w:tcPr>
        <w:shd w:val="clear" w:color="auto" w:fill="D2EAF1"/>
      </w:tcPr>
    </w:tblStylePr>
  </w:style>
  <w:style w:type="numbering" w:customStyle="1" w:styleId="NoList11121">
    <w:name w:val="No List11121"/>
    <w:next w:val="NoList"/>
    <w:uiPriority w:val="99"/>
    <w:semiHidden/>
    <w:unhideWhenUsed/>
    <w:rsid w:val="006D0778"/>
  </w:style>
  <w:style w:type="table" w:customStyle="1" w:styleId="LightGrid-Accent51521">
    <w:name w:val="Light Grid - Accent 51521"/>
    <w:basedOn w:val="TableNormal"/>
    <w:next w:val="LightGrid-Accent5"/>
    <w:uiPriority w:val="62"/>
    <w:rsid w:val="006D0778"/>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omic Sans MS" w:eastAsia="Times New Roman" w:hAnsi="Comic Sans MS"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omic Sans MS" w:eastAsia="Times New Roman" w:hAnsi="Comic Sans MS"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omic Sans MS" w:eastAsia="Times New Roman" w:hAnsi="Comic Sans MS" w:cs="Times New Roman"/>
        <w:b/>
        <w:bCs/>
      </w:rPr>
    </w:tblStylePr>
    <w:tblStylePr w:type="lastCol">
      <w:rPr>
        <w:rFonts w:ascii="Comic Sans MS" w:eastAsia="Times New Roman" w:hAnsi="Comic Sans MS"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11421">
    <w:name w:val="Светло сенчење – наглашавање 11421"/>
    <w:basedOn w:val="TableNormal"/>
    <w:uiPriority w:val="60"/>
    <w:rsid w:val="006D0778"/>
    <w:pPr>
      <w:spacing w:after="0" w:line="240" w:lineRule="auto"/>
    </w:pPr>
    <w:rPr>
      <w:rFonts w:ascii="Calibri" w:eastAsia="Calibri" w:hAnsi="Calibri" w:cs="Times New Roman"/>
      <w:color w:val="365F91"/>
      <w:sz w:val="20"/>
      <w:szCs w:val="20"/>
      <w:lang w:val="sr-Latn-CS" w:eastAsia="en-GB"/>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Grid-Accent5621">
    <w:name w:val="Light Grid - Accent 5621"/>
    <w:basedOn w:val="TableNormal"/>
    <w:next w:val="LightGrid-Accent5"/>
    <w:uiPriority w:val="62"/>
    <w:rsid w:val="006D0778"/>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Comic Sans MS" w:eastAsia="Times New Roman" w:hAnsi="Comic Sans MS"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Comic Sans MS" w:eastAsia="Times New Roman" w:hAnsi="Comic Sans MS"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Comic Sans MS" w:eastAsia="Times New Roman" w:hAnsi="Comic Sans MS" w:cs="Times New Roman"/>
        <w:b/>
        <w:bCs/>
      </w:rPr>
    </w:tblStylePr>
    <w:tblStylePr w:type="lastCol">
      <w:rPr>
        <w:rFonts w:ascii="Comic Sans MS" w:eastAsia="Times New Roman" w:hAnsi="Comic Sans MS"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tabelezaifs1210">
    <w:name w:val="tabele za ifs121"/>
    <w:basedOn w:val="TableNormal"/>
    <w:uiPriority w:val="99"/>
    <w:qFormat/>
    <w:rsid w:val="006D0778"/>
    <w:pPr>
      <w:spacing w:after="0" w:line="240" w:lineRule="auto"/>
    </w:pPr>
    <w:rPr>
      <w:rFonts w:ascii="Cambria Math" w:eastAsia="Calibri" w:hAnsi="Cambria Math" w:cs="Times New Roman"/>
      <w:sz w:val="20"/>
      <w:szCs w:val="20"/>
      <w:lang w:val="en-GB" w:eastAsia="en-GB"/>
    </w:rPr>
    <w:tblPr/>
  </w:style>
  <w:style w:type="table" w:customStyle="1" w:styleId="tabelezaifs1121">
    <w:name w:val="tabele za ifs 1121"/>
    <w:basedOn w:val="TableNormal"/>
    <w:uiPriority w:val="66"/>
    <w:rsid w:val="006D0778"/>
    <w:pPr>
      <w:spacing w:after="0" w:line="240" w:lineRule="auto"/>
    </w:pPr>
    <w:rPr>
      <w:rFonts w:ascii="Cambria Math" w:eastAsia="Times New Roman" w:hAnsi="Cambria Math" w:cs="Times New Roman"/>
      <w:color w:val="000000"/>
      <w:sz w:val="20"/>
      <w:szCs w:val="20"/>
      <w:lang w:val="en-GB" w:eastAsia="en-GB"/>
    </w:rPr>
    <w:tblPr>
      <w:tblStyleRowBandSize w:val="1"/>
      <w:tblStyleColBandSize w:val="1"/>
      <w:tblBorders>
        <w:top w:val="single" w:sz="8" w:space="0" w:color="8CADAE"/>
        <w:left w:val="single" w:sz="8" w:space="0" w:color="8CADAE"/>
        <w:bottom w:val="single" w:sz="8" w:space="0" w:color="8CADAE"/>
        <w:right w:val="single" w:sz="8" w:space="0" w:color="8CADAE"/>
      </w:tblBorders>
    </w:tblPr>
    <w:tcPr>
      <w:vAlign w:val="bottom"/>
    </w:tcPr>
    <w:tblStylePr w:type="firstRow">
      <w:rPr>
        <w:sz w:val="24"/>
        <w:szCs w:val="24"/>
      </w:rPr>
      <w:tblPr/>
      <w:tcPr>
        <w:tcBorders>
          <w:top w:val="nil"/>
          <w:left w:val="nil"/>
          <w:bottom w:val="single" w:sz="24" w:space="0" w:color="8CADAE"/>
          <w:right w:val="nil"/>
          <w:insideH w:val="nil"/>
          <w:insideV w:val="nil"/>
        </w:tcBorders>
        <w:shd w:val="clear" w:color="auto" w:fill="FFFFFF"/>
      </w:tcPr>
    </w:tblStylePr>
    <w:tblStylePr w:type="lastRow">
      <w:tblPr/>
      <w:tcPr>
        <w:tcBorders>
          <w:top w:val="single" w:sz="8" w:space="0" w:color="8CADAE"/>
          <w:left w:val="nil"/>
          <w:bottom w:val="nil"/>
          <w:right w:val="nil"/>
          <w:insideH w:val="nil"/>
          <w:insideV w:val="nil"/>
        </w:tcBorders>
        <w:shd w:val="clear" w:color="auto" w:fill="FFFFFF"/>
      </w:tcPr>
    </w:tblStylePr>
    <w:tblStylePr w:type="firstCol">
      <w:tblPr/>
      <w:tcPr>
        <w:tcBorders>
          <w:top w:val="nil"/>
          <w:left w:val="nil"/>
          <w:bottom w:val="nil"/>
          <w:right w:val="single" w:sz="8" w:space="0" w:color="8CADAE"/>
          <w:insideH w:val="nil"/>
          <w:insideV w:val="nil"/>
        </w:tcBorders>
        <w:shd w:val="clear" w:color="auto" w:fill="FFFFFF"/>
      </w:tcPr>
    </w:tblStylePr>
    <w:tblStylePr w:type="lastCol">
      <w:tblPr/>
      <w:tcPr>
        <w:tcBorders>
          <w:top w:val="nil"/>
          <w:left w:val="single" w:sz="8" w:space="0" w:color="8CADAE"/>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2EAEB"/>
      </w:tcPr>
    </w:tblStylePr>
    <w:tblStylePr w:type="band1Horz">
      <w:tblPr/>
      <w:tcPr>
        <w:tcBorders>
          <w:top w:val="nil"/>
          <w:bottom w:val="nil"/>
          <w:insideH w:val="nil"/>
          <w:insideV w:val="nil"/>
        </w:tcBorders>
        <w:shd w:val="clear" w:color="auto" w:fill="E2EAEB"/>
      </w:tcPr>
    </w:tblStylePr>
    <w:tblStylePr w:type="nwCell">
      <w:tblPr/>
      <w:tcPr>
        <w:shd w:val="clear" w:color="auto" w:fill="FFFFFF"/>
      </w:tcPr>
    </w:tblStylePr>
    <w:tblStylePr w:type="swCell">
      <w:tblPr/>
      <w:tcPr>
        <w:tcBorders>
          <w:top w:val="nil"/>
        </w:tcBorders>
      </w:tcPr>
    </w:tblStylePr>
  </w:style>
  <w:style w:type="table" w:customStyle="1" w:styleId="ColorfulList-Accent1121">
    <w:name w:val="Colorful List - Accent 1121"/>
    <w:basedOn w:val="TableNormal"/>
    <w:next w:val="ColorfulList-Accent1"/>
    <w:uiPriority w:val="72"/>
    <w:rsid w:val="006D0778"/>
    <w:pPr>
      <w:spacing w:after="0" w:line="240" w:lineRule="auto"/>
    </w:pPr>
    <w:rPr>
      <w:rFonts w:ascii="Calibri" w:eastAsia="Calibri" w:hAnsi="Calibri" w:cs="Times New Roman"/>
      <w:color w:val="000000"/>
      <w:sz w:val="20"/>
      <w:szCs w:val="20"/>
      <w:lang w:val="en-GB" w:eastAsia="en-GB"/>
    </w:rPr>
    <w:tblPr>
      <w:tblStyleRowBandSize w:val="1"/>
      <w:tblStyleColBandSize w:val="1"/>
    </w:tblPr>
    <w:tcPr>
      <w:shd w:val="clear" w:color="auto" w:fill="FAEFEC"/>
    </w:tcPr>
    <w:tblStylePr w:type="firstRow">
      <w:rPr>
        <w:b/>
        <w:bCs/>
        <w:color w:val="FFFFFF"/>
      </w:rPr>
      <w:tblPr/>
      <w:tcPr>
        <w:tcBorders>
          <w:bottom w:val="single" w:sz="12" w:space="0" w:color="FFFFFF"/>
        </w:tcBorders>
        <w:shd w:val="clear" w:color="auto" w:fill="A38F00"/>
      </w:tcPr>
    </w:tblStylePr>
    <w:tblStylePr w:type="lastRow">
      <w:rPr>
        <w:b/>
        <w:bCs/>
        <w:color w:val="A38F00"/>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3D8D2"/>
      </w:tcPr>
    </w:tblStylePr>
    <w:tblStylePr w:type="band1Horz">
      <w:tblPr/>
      <w:tcPr>
        <w:shd w:val="clear" w:color="auto" w:fill="F5DFDA"/>
      </w:tcPr>
    </w:tblStylePr>
  </w:style>
  <w:style w:type="numbering" w:customStyle="1" w:styleId="NoList2121">
    <w:name w:val="No List2121"/>
    <w:next w:val="NoList"/>
    <w:uiPriority w:val="99"/>
    <w:semiHidden/>
    <w:unhideWhenUsed/>
    <w:rsid w:val="006D0778"/>
  </w:style>
  <w:style w:type="table" w:customStyle="1" w:styleId="LightList-Accent32421">
    <w:name w:val="Light List - Accent 32421"/>
    <w:basedOn w:val="TableNormal"/>
    <w:next w:val="LightList-Accent3"/>
    <w:uiPriority w:val="61"/>
    <w:rsid w:val="006D0778"/>
    <w:pPr>
      <w:spacing w:after="0" w:line="240" w:lineRule="auto"/>
    </w:pPr>
    <w:rPr>
      <w:rFonts w:ascii="Calibri" w:eastAsia="Calibri" w:hAnsi="Calibri" w:cs="Times New Roman"/>
      <w:sz w:val="20"/>
      <w:szCs w:val="20"/>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311421">
    <w:name w:val="Light List - Accent 311421"/>
    <w:basedOn w:val="TableNormal"/>
    <w:next w:val="LightList-Accent3"/>
    <w:uiPriority w:val="61"/>
    <w:rsid w:val="006D0778"/>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Shading-Accent131721">
    <w:name w:val="Light Shading - Accent 13172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821">
    <w:name w:val="Light Shading - Accent 13182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2421">
    <w:name w:val="Light Shading - Accent 13242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tabele31121">
    <w:name w:val="tabele 31121"/>
    <w:basedOn w:val="TableNormal"/>
    <w:next w:val="LightList-Accent3"/>
    <w:uiPriority w:val="61"/>
    <w:rsid w:val="006D0778"/>
    <w:pPr>
      <w:spacing w:after="0" w:line="240" w:lineRule="auto"/>
    </w:pPr>
    <w:rPr>
      <w:rFonts w:ascii="Cambria Math" w:eastAsia="Calibri" w:hAnsi="Cambria Math" w:cs="Times New Roman"/>
      <w:sz w:val="18"/>
      <w:lang w:val="sr-Cyrl-CS"/>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LightShading-Accent111121">
    <w:name w:val="Light Shading - Accent 111121"/>
    <w:basedOn w:val="TableNormal"/>
    <w:uiPriority w:val="60"/>
    <w:rsid w:val="006D0778"/>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32121">
    <w:name w:val="Light Shading - Accent 32121"/>
    <w:basedOn w:val="TableNormal"/>
    <w:next w:val="LightShading-Accent3"/>
    <w:uiPriority w:val="60"/>
    <w:rsid w:val="006D0778"/>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List-Accent52121">
    <w:name w:val="Light List - Accent 52121"/>
    <w:basedOn w:val="TableNormal"/>
    <w:next w:val="LightList-Accent5"/>
    <w:uiPriority w:val="61"/>
    <w:rsid w:val="006D0778"/>
    <w:pPr>
      <w:spacing w:after="0" w:line="240" w:lineRule="auto"/>
    </w:pPr>
    <w:rPr>
      <w:rFonts w:ascii="Calibri" w:eastAsia="Calibri" w:hAnsi="Calibri" w:cs="Times New Roman"/>
      <w:sz w:val="20"/>
      <w:szCs w:val="20"/>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Shading-Accent311121">
    <w:name w:val="Light Shading - Accent 311121"/>
    <w:basedOn w:val="TableNormal"/>
    <w:next w:val="LightShading-Accent3"/>
    <w:uiPriority w:val="60"/>
    <w:rsid w:val="006D0778"/>
    <w:pPr>
      <w:spacing w:after="0" w:line="240" w:lineRule="auto"/>
    </w:pPr>
    <w:rPr>
      <w:rFonts w:ascii="Constantia" w:eastAsia="Constantia" w:hAnsi="Constantia" w:cs="Times New Roman"/>
      <w:color w:val="8CADAE"/>
      <w:lang w:val="sr-Cyrl-CS"/>
    </w:rPr>
    <w:tblPr>
      <w:tblStyleRowBandSize w:val="1"/>
      <w:tblStyleColBandSize w:val="1"/>
      <w:tblBorders>
        <w:top w:val="single" w:sz="8" w:space="0" w:color="8CADAE"/>
        <w:bottom w:val="single" w:sz="8" w:space="0" w:color="8CADAE"/>
      </w:tblBorders>
    </w:tblPr>
    <w:tblStylePr w:type="fir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la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2EAEB"/>
      </w:tcPr>
    </w:tblStylePr>
    <w:tblStylePr w:type="band1Horz">
      <w:tblPr/>
      <w:tcPr>
        <w:tcBorders>
          <w:left w:val="nil"/>
          <w:right w:val="nil"/>
          <w:insideH w:val="nil"/>
          <w:insideV w:val="nil"/>
        </w:tcBorders>
        <w:shd w:val="clear" w:color="auto" w:fill="E2EAEB"/>
      </w:tcPr>
    </w:tblStylePr>
  </w:style>
  <w:style w:type="table" w:customStyle="1" w:styleId="LightList-Accent312121">
    <w:name w:val="Light List - Accent 312121"/>
    <w:basedOn w:val="TableNormal"/>
    <w:next w:val="LightList-Accent3"/>
    <w:uiPriority w:val="61"/>
    <w:rsid w:val="006D0778"/>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511121">
    <w:name w:val="Light List - Accent 511121"/>
    <w:basedOn w:val="TableNormal"/>
    <w:next w:val="LightList-Accent5"/>
    <w:uiPriority w:val="61"/>
    <w:rsid w:val="006D0778"/>
    <w:pPr>
      <w:spacing w:after="0" w:line="240" w:lineRule="auto"/>
    </w:pPr>
    <w:rPr>
      <w:rFonts w:ascii="Times New Roman" w:eastAsia="Constantia" w:hAnsi="Times New Roman" w:cs="Times New Roman"/>
      <w:lang w:val="sr-Cyrl-CS"/>
    </w:rPr>
    <w:tblPr>
      <w:tblStyleRowBandSize w:val="1"/>
      <w:tblStyleColBandSize w:val="1"/>
      <w:tblBorders>
        <w:top w:val="single" w:sz="8" w:space="0" w:color="8FB08C"/>
        <w:left w:val="single" w:sz="8" w:space="0" w:color="8FB08C"/>
        <w:bottom w:val="single" w:sz="8" w:space="0" w:color="8FB08C"/>
        <w:right w:val="single" w:sz="8" w:space="0" w:color="8FB08C"/>
      </w:tblBorders>
    </w:tblPr>
    <w:tblStylePr w:type="firstRow">
      <w:pPr>
        <w:spacing w:before="0" w:after="0" w:line="240" w:lineRule="auto"/>
      </w:pPr>
      <w:rPr>
        <w:b/>
        <w:bCs/>
        <w:color w:val="FFFFFF"/>
      </w:rPr>
      <w:tblPr/>
      <w:tcPr>
        <w:shd w:val="clear" w:color="auto" w:fill="8FB08C"/>
      </w:tcPr>
    </w:tblStylePr>
    <w:tblStylePr w:type="lastRow">
      <w:pPr>
        <w:spacing w:before="0" w:after="0" w:line="240" w:lineRule="auto"/>
      </w:pPr>
      <w:rPr>
        <w:b/>
        <w:bCs/>
      </w:rPr>
      <w:tblPr/>
      <w:tcPr>
        <w:tcBorders>
          <w:top w:val="double" w:sz="6" w:space="0" w:color="8FB08C"/>
          <w:left w:val="single" w:sz="8" w:space="0" w:color="8FB08C"/>
          <w:bottom w:val="single" w:sz="8" w:space="0" w:color="8FB08C"/>
          <w:right w:val="single" w:sz="8" w:space="0" w:color="8FB08C"/>
        </w:tcBorders>
      </w:tcPr>
    </w:tblStylePr>
    <w:tblStylePr w:type="firstCol">
      <w:rPr>
        <w:b/>
        <w:bCs/>
      </w:rPr>
    </w:tblStylePr>
    <w:tblStylePr w:type="lastCol">
      <w:rPr>
        <w:b/>
        <w:bCs/>
      </w:rPr>
    </w:tblStylePr>
    <w:tblStylePr w:type="band1Vert">
      <w:tblPr/>
      <w:tcPr>
        <w:tcBorders>
          <w:top w:val="single" w:sz="8" w:space="0" w:color="8FB08C"/>
          <w:left w:val="single" w:sz="8" w:space="0" w:color="8FB08C"/>
          <w:bottom w:val="single" w:sz="8" w:space="0" w:color="8FB08C"/>
          <w:right w:val="single" w:sz="8" w:space="0" w:color="8FB08C"/>
        </w:tcBorders>
      </w:tcPr>
    </w:tblStylePr>
    <w:tblStylePr w:type="band1Horz">
      <w:tblPr/>
      <w:tcPr>
        <w:tcBorders>
          <w:top w:val="single" w:sz="8" w:space="0" w:color="8FB08C"/>
          <w:left w:val="single" w:sz="8" w:space="0" w:color="8FB08C"/>
          <w:bottom w:val="single" w:sz="8" w:space="0" w:color="8FB08C"/>
          <w:right w:val="single" w:sz="8" w:space="0" w:color="8FB08C"/>
        </w:tcBorders>
      </w:tcPr>
    </w:tblStylePr>
  </w:style>
  <w:style w:type="table" w:customStyle="1" w:styleId="LightGrid-Accent511221">
    <w:name w:val="Light Grid - Accent 511221"/>
    <w:basedOn w:val="TableNormal"/>
    <w:next w:val="LightGrid-Accent5"/>
    <w:uiPriority w:val="62"/>
    <w:rsid w:val="006D0778"/>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omic Sans MS" w:eastAsia="Times New Roman" w:hAnsi="Comic Sans MS"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omic Sans MS" w:eastAsia="Times New Roman" w:hAnsi="Comic Sans MS"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omic Sans MS" w:eastAsia="Times New Roman" w:hAnsi="Comic Sans MS" w:cs="Times New Roman"/>
        <w:b/>
        <w:bCs/>
      </w:rPr>
    </w:tblStylePr>
    <w:tblStylePr w:type="lastCol">
      <w:rPr>
        <w:rFonts w:ascii="Comic Sans MS" w:eastAsia="Times New Roman" w:hAnsi="Comic Sans MS"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111121">
    <w:name w:val="Светло сенчење – наглашавање 111121"/>
    <w:basedOn w:val="TableNormal"/>
    <w:uiPriority w:val="60"/>
    <w:rsid w:val="006D0778"/>
    <w:pPr>
      <w:spacing w:after="0" w:line="240" w:lineRule="auto"/>
    </w:pPr>
    <w:rPr>
      <w:rFonts w:ascii="Calibri" w:eastAsia="Calibri" w:hAnsi="Calibri" w:cs="Times New Roman"/>
      <w:color w:val="365F91"/>
      <w:sz w:val="20"/>
      <w:szCs w:val="20"/>
      <w:lang w:val="sr-Latn-CS" w:eastAsia="en-GB"/>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Grid-Accent52221">
    <w:name w:val="Light Grid - Accent 52221"/>
    <w:basedOn w:val="TableNormal"/>
    <w:next w:val="LightGrid-Accent5"/>
    <w:uiPriority w:val="62"/>
    <w:rsid w:val="006D0778"/>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Comic Sans MS" w:eastAsia="Times New Roman" w:hAnsi="Comic Sans MS"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Comic Sans MS" w:eastAsia="Times New Roman" w:hAnsi="Comic Sans MS"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Comic Sans MS" w:eastAsia="Times New Roman" w:hAnsi="Comic Sans MS" w:cs="Times New Roman"/>
        <w:b/>
        <w:bCs/>
      </w:rPr>
    </w:tblStylePr>
    <w:tblStylePr w:type="lastCol">
      <w:rPr>
        <w:rFonts w:ascii="Comic Sans MS" w:eastAsia="Times New Roman" w:hAnsi="Comic Sans MS"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List-Accent321121">
    <w:name w:val="Light List - Accent 321121"/>
    <w:basedOn w:val="TableNormal"/>
    <w:next w:val="LightList-Accent3"/>
    <w:uiPriority w:val="61"/>
    <w:rsid w:val="006D0778"/>
    <w:pPr>
      <w:spacing w:after="0" w:line="240" w:lineRule="auto"/>
    </w:pPr>
    <w:rPr>
      <w:rFonts w:ascii="Calibri" w:eastAsia="Calibri" w:hAnsi="Calibri" w:cs="Times New Roman"/>
      <w:sz w:val="20"/>
      <w:szCs w:val="20"/>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3111121">
    <w:name w:val="Light List - Accent 3111121"/>
    <w:basedOn w:val="TableNormal"/>
    <w:next w:val="LightList-Accent3"/>
    <w:uiPriority w:val="61"/>
    <w:rsid w:val="006D0778"/>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Shading-Accent133121">
    <w:name w:val="Light Shading - Accent 13312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1121">
    <w:name w:val="Light Shading - Accent 131112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21121">
    <w:name w:val="Light Shading - Accent 132112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2121">
    <w:name w:val="Light Shading - Accent 112121"/>
    <w:basedOn w:val="TableNormal"/>
    <w:uiPriority w:val="60"/>
    <w:rsid w:val="006D0778"/>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4121">
    <w:name w:val="Light Shading - Accent 13412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3121">
    <w:name w:val="Light Shading - Accent 113121"/>
    <w:basedOn w:val="TableNormal"/>
    <w:uiPriority w:val="60"/>
    <w:rsid w:val="006D0778"/>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5121">
    <w:name w:val="Light Shading - Accent 13512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6221">
    <w:name w:val="Light Shading - Accent 13622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7121">
    <w:name w:val="Light Shading - Accent 13712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tabele32121">
    <w:name w:val="tabele 32121"/>
    <w:basedOn w:val="TableNormal"/>
    <w:next w:val="LightList-Accent3"/>
    <w:uiPriority w:val="61"/>
    <w:rsid w:val="006D0778"/>
    <w:pPr>
      <w:spacing w:after="0" w:line="240" w:lineRule="auto"/>
    </w:pPr>
    <w:rPr>
      <w:rFonts w:ascii="Cambria Math" w:eastAsia="Calibri" w:hAnsi="Cambria Math" w:cs="Times New Roman"/>
      <w:sz w:val="18"/>
      <w:lang w:val="sr-Cyrl-CS"/>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LightShading-Accent114121">
    <w:name w:val="Light Shading - Accent 114121"/>
    <w:basedOn w:val="TableNormal"/>
    <w:uiPriority w:val="60"/>
    <w:rsid w:val="006D0778"/>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33421">
    <w:name w:val="Light Shading - Accent 33421"/>
    <w:basedOn w:val="TableNormal"/>
    <w:next w:val="LightShading-Accent3"/>
    <w:uiPriority w:val="60"/>
    <w:rsid w:val="006D0778"/>
    <w:pPr>
      <w:spacing w:after="0" w:line="240" w:lineRule="auto"/>
    </w:pPr>
    <w:rPr>
      <w:rFonts w:ascii="Arial" w:eastAsia="Calibri" w:hAnsi="Arial" w:cs="Times New Roman"/>
      <w:color w:val="474747"/>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List-Accent53121">
    <w:name w:val="Light List - Accent 53121"/>
    <w:basedOn w:val="TableNormal"/>
    <w:next w:val="LightList-Accent5"/>
    <w:uiPriority w:val="61"/>
    <w:rsid w:val="006D0778"/>
    <w:pPr>
      <w:spacing w:after="0" w:line="240" w:lineRule="auto"/>
    </w:pPr>
    <w:rPr>
      <w:rFonts w:ascii="Calibri" w:eastAsia="Calibri" w:hAnsi="Calibri" w:cs="Times New Roman"/>
      <w:sz w:val="20"/>
      <w:szCs w:val="20"/>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Shading-Accent312121">
    <w:name w:val="Light Shading - Accent 312121"/>
    <w:basedOn w:val="TableNormal"/>
    <w:next w:val="LightShading-Accent3"/>
    <w:uiPriority w:val="60"/>
    <w:rsid w:val="006D0778"/>
    <w:pPr>
      <w:spacing w:after="0" w:line="240" w:lineRule="auto"/>
    </w:pPr>
    <w:rPr>
      <w:rFonts w:ascii="Constantia" w:eastAsia="Constantia" w:hAnsi="Constantia" w:cs="Times New Roman"/>
      <w:color w:val="8CADAE"/>
      <w:lang w:val="sr-Cyrl-CS"/>
    </w:rPr>
    <w:tblPr>
      <w:tblStyleRowBandSize w:val="1"/>
      <w:tblStyleColBandSize w:val="1"/>
      <w:tblBorders>
        <w:top w:val="single" w:sz="8" w:space="0" w:color="8CADAE"/>
        <w:bottom w:val="single" w:sz="8" w:space="0" w:color="8CADAE"/>
      </w:tblBorders>
    </w:tblPr>
    <w:tblStylePr w:type="fir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la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2EAEB"/>
      </w:tcPr>
    </w:tblStylePr>
    <w:tblStylePr w:type="band1Horz">
      <w:tblPr/>
      <w:tcPr>
        <w:tcBorders>
          <w:left w:val="nil"/>
          <w:right w:val="nil"/>
          <w:insideH w:val="nil"/>
          <w:insideV w:val="nil"/>
        </w:tcBorders>
        <w:shd w:val="clear" w:color="auto" w:fill="E2EAEB"/>
      </w:tcPr>
    </w:tblStylePr>
  </w:style>
  <w:style w:type="table" w:customStyle="1" w:styleId="LightList-Accent313121">
    <w:name w:val="Light List - Accent 313121"/>
    <w:basedOn w:val="TableNormal"/>
    <w:next w:val="LightList-Accent3"/>
    <w:uiPriority w:val="61"/>
    <w:rsid w:val="006D0778"/>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512121">
    <w:name w:val="Light List - Accent 512121"/>
    <w:basedOn w:val="TableNormal"/>
    <w:next w:val="LightList-Accent5"/>
    <w:uiPriority w:val="61"/>
    <w:rsid w:val="006D0778"/>
    <w:pPr>
      <w:spacing w:after="0" w:line="240" w:lineRule="auto"/>
    </w:pPr>
    <w:rPr>
      <w:rFonts w:ascii="Times New Roman" w:eastAsia="Constantia" w:hAnsi="Times New Roman" w:cs="Times New Roman"/>
      <w:lang w:val="sr-Cyrl-CS"/>
    </w:rPr>
    <w:tblPr>
      <w:tblStyleRowBandSize w:val="1"/>
      <w:tblStyleColBandSize w:val="1"/>
      <w:tblBorders>
        <w:top w:val="single" w:sz="8" w:space="0" w:color="8FB08C"/>
        <w:left w:val="single" w:sz="8" w:space="0" w:color="8FB08C"/>
        <w:bottom w:val="single" w:sz="8" w:space="0" w:color="8FB08C"/>
        <w:right w:val="single" w:sz="8" w:space="0" w:color="8FB08C"/>
      </w:tblBorders>
    </w:tblPr>
    <w:tblStylePr w:type="firstRow">
      <w:pPr>
        <w:spacing w:before="0" w:after="0" w:line="240" w:lineRule="auto"/>
      </w:pPr>
      <w:rPr>
        <w:b/>
        <w:bCs/>
        <w:color w:val="FFFFFF"/>
      </w:rPr>
      <w:tblPr/>
      <w:tcPr>
        <w:shd w:val="clear" w:color="auto" w:fill="8FB08C"/>
      </w:tcPr>
    </w:tblStylePr>
    <w:tblStylePr w:type="lastRow">
      <w:pPr>
        <w:spacing w:before="0" w:after="0" w:line="240" w:lineRule="auto"/>
      </w:pPr>
      <w:rPr>
        <w:b/>
        <w:bCs/>
      </w:rPr>
      <w:tblPr/>
      <w:tcPr>
        <w:tcBorders>
          <w:top w:val="double" w:sz="6" w:space="0" w:color="8FB08C"/>
          <w:left w:val="single" w:sz="8" w:space="0" w:color="8FB08C"/>
          <w:bottom w:val="single" w:sz="8" w:space="0" w:color="8FB08C"/>
          <w:right w:val="single" w:sz="8" w:space="0" w:color="8FB08C"/>
        </w:tcBorders>
      </w:tcPr>
    </w:tblStylePr>
    <w:tblStylePr w:type="firstCol">
      <w:rPr>
        <w:b/>
        <w:bCs/>
      </w:rPr>
    </w:tblStylePr>
    <w:tblStylePr w:type="lastCol">
      <w:rPr>
        <w:b/>
        <w:bCs/>
      </w:rPr>
    </w:tblStylePr>
    <w:tblStylePr w:type="band1Vert">
      <w:tblPr/>
      <w:tcPr>
        <w:tcBorders>
          <w:top w:val="single" w:sz="8" w:space="0" w:color="8FB08C"/>
          <w:left w:val="single" w:sz="8" w:space="0" w:color="8FB08C"/>
          <w:bottom w:val="single" w:sz="8" w:space="0" w:color="8FB08C"/>
          <w:right w:val="single" w:sz="8" w:space="0" w:color="8FB08C"/>
        </w:tcBorders>
      </w:tcPr>
    </w:tblStylePr>
    <w:tblStylePr w:type="band1Horz">
      <w:tblPr/>
      <w:tcPr>
        <w:tcBorders>
          <w:top w:val="single" w:sz="8" w:space="0" w:color="8FB08C"/>
          <w:left w:val="single" w:sz="8" w:space="0" w:color="8FB08C"/>
          <w:bottom w:val="single" w:sz="8" w:space="0" w:color="8FB08C"/>
          <w:right w:val="single" w:sz="8" w:space="0" w:color="8FB08C"/>
        </w:tcBorders>
      </w:tcPr>
    </w:tblStylePr>
  </w:style>
  <w:style w:type="table" w:customStyle="1" w:styleId="LightGrid-Accent512221">
    <w:name w:val="Light Grid - Accent 512221"/>
    <w:basedOn w:val="TableNormal"/>
    <w:next w:val="LightGrid-Accent5"/>
    <w:uiPriority w:val="62"/>
    <w:rsid w:val="006D0778"/>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omic Sans MS" w:eastAsia="Times New Roman" w:hAnsi="Comic Sans MS"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omic Sans MS" w:eastAsia="Times New Roman" w:hAnsi="Comic Sans MS"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omic Sans MS" w:eastAsia="Times New Roman" w:hAnsi="Comic Sans MS" w:cs="Times New Roman"/>
        <w:b/>
        <w:bCs/>
      </w:rPr>
    </w:tblStylePr>
    <w:tblStylePr w:type="lastCol">
      <w:rPr>
        <w:rFonts w:ascii="Comic Sans MS" w:eastAsia="Times New Roman" w:hAnsi="Comic Sans MS"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112121">
    <w:name w:val="Светло сенчење – наглашавање 112121"/>
    <w:basedOn w:val="TableNormal"/>
    <w:uiPriority w:val="60"/>
    <w:rsid w:val="006D0778"/>
    <w:pPr>
      <w:spacing w:after="0" w:line="240" w:lineRule="auto"/>
    </w:pPr>
    <w:rPr>
      <w:rFonts w:ascii="Calibri" w:eastAsia="Calibri" w:hAnsi="Calibri" w:cs="Times New Roman"/>
      <w:color w:val="365F91"/>
      <w:sz w:val="20"/>
      <w:szCs w:val="20"/>
      <w:lang w:val="sr-Latn-CS" w:eastAsia="en-GB"/>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Grid-Accent53221">
    <w:name w:val="Light Grid - Accent 53221"/>
    <w:basedOn w:val="TableNormal"/>
    <w:next w:val="LightGrid-Accent5"/>
    <w:uiPriority w:val="62"/>
    <w:rsid w:val="006D0778"/>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Comic Sans MS" w:eastAsia="Times New Roman" w:hAnsi="Comic Sans MS"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Comic Sans MS" w:eastAsia="Times New Roman" w:hAnsi="Comic Sans MS"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Comic Sans MS" w:eastAsia="Times New Roman" w:hAnsi="Comic Sans MS" w:cs="Times New Roman"/>
        <w:b/>
        <w:bCs/>
      </w:rPr>
    </w:tblStylePr>
    <w:tblStylePr w:type="lastCol">
      <w:rPr>
        <w:rFonts w:ascii="Comic Sans MS" w:eastAsia="Times New Roman" w:hAnsi="Comic Sans MS"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List-Accent322121">
    <w:name w:val="Light List - Accent 322121"/>
    <w:basedOn w:val="TableNormal"/>
    <w:next w:val="LightList-Accent3"/>
    <w:uiPriority w:val="61"/>
    <w:rsid w:val="006D0778"/>
    <w:pPr>
      <w:spacing w:after="0" w:line="240" w:lineRule="auto"/>
    </w:pPr>
    <w:rPr>
      <w:rFonts w:ascii="Calibri" w:eastAsia="Calibri" w:hAnsi="Calibri" w:cs="Times New Roman"/>
      <w:sz w:val="20"/>
      <w:szCs w:val="20"/>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3112121">
    <w:name w:val="Light List - Accent 3112121"/>
    <w:basedOn w:val="TableNormal"/>
    <w:next w:val="LightList-Accent3"/>
    <w:uiPriority w:val="61"/>
    <w:rsid w:val="006D0778"/>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Shading-Accent138221">
    <w:name w:val="Light Shading - Accent 13822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2121">
    <w:name w:val="Light Shading - Accent 131212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22121">
    <w:name w:val="Light Shading - Accent 132212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5121">
    <w:name w:val="Light Shading - Accent 115121"/>
    <w:basedOn w:val="TableNormal"/>
    <w:uiPriority w:val="60"/>
    <w:rsid w:val="006D0778"/>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9221">
    <w:name w:val="Light Shading - Accent 13922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6221">
    <w:name w:val="Light Shading - Accent 116221"/>
    <w:basedOn w:val="TableNormal"/>
    <w:uiPriority w:val="60"/>
    <w:rsid w:val="006D0778"/>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0221">
    <w:name w:val="Light Shading - Accent 131022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3121">
    <w:name w:val="Light Shading - Accent 131312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tabele33121">
    <w:name w:val="tabele 33121"/>
    <w:basedOn w:val="TableNormal"/>
    <w:next w:val="LightList-Accent3"/>
    <w:uiPriority w:val="61"/>
    <w:rsid w:val="006D0778"/>
    <w:pPr>
      <w:spacing w:after="0" w:line="240" w:lineRule="auto"/>
    </w:pPr>
    <w:rPr>
      <w:rFonts w:ascii="Cambria Math" w:eastAsia="Calibri" w:hAnsi="Cambria Math" w:cs="Times New Roman"/>
      <w:sz w:val="18"/>
      <w:lang w:val="sr-Cyrl-CS"/>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LightShading-Accent117121">
    <w:name w:val="Light Shading - Accent 117121"/>
    <w:basedOn w:val="TableNormal"/>
    <w:uiPriority w:val="60"/>
    <w:rsid w:val="006D0778"/>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34321">
    <w:name w:val="Light Shading - Accent 34321"/>
    <w:basedOn w:val="TableNormal"/>
    <w:next w:val="LightShading-Accent3"/>
    <w:uiPriority w:val="60"/>
    <w:rsid w:val="006D0778"/>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List-Accent54121">
    <w:name w:val="Light List - Accent 54121"/>
    <w:basedOn w:val="TableNormal"/>
    <w:next w:val="LightList-Accent5"/>
    <w:uiPriority w:val="61"/>
    <w:rsid w:val="006D0778"/>
    <w:pPr>
      <w:spacing w:after="0" w:line="240" w:lineRule="auto"/>
    </w:pPr>
    <w:rPr>
      <w:rFonts w:ascii="Calibri" w:eastAsia="Calibri" w:hAnsi="Calibri" w:cs="Times New Roman"/>
      <w:sz w:val="20"/>
      <w:szCs w:val="20"/>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Shading-Accent313121">
    <w:name w:val="Light Shading - Accent 313121"/>
    <w:basedOn w:val="TableNormal"/>
    <w:next w:val="LightShading-Accent3"/>
    <w:uiPriority w:val="60"/>
    <w:rsid w:val="006D0778"/>
    <w:pPr>
      <w:spacing w:after="0" w:line="240" w:lineRule="auto"/>
    </w:pPr>
    <w:rPr>
      <w:rFonts w:ascii="Constantia" w:eastAsia="Constantia" w:hAnsi="Constantia" w:cs="Times New Roman"/>
      <w:color w:val="8CADAE"/>
      <w:lang w:val="sr-Cyrl-CS"/>
    </w:rPr>
    <w:tblPr>
      <w:tblStyleRowBandSize w:val="1"/>
      <w:tblStyleColBandSize w:val="1"/>
      <w:tblBorders>
        <w:top w:val="single" w:sz="8" w:space="0" w:color="8CADAE"/>
        <w:bottom w:val="single" w:sz="8" w:space="0" w:color="8CADAE"/>
      </w:tblBorders>
    </w:tblPr>
    <w:tblStylePr w:type="fir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la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2EAEB"/>
      </w:tcPr>
    </w:tblStylePr>
    <w:tblStylePr w:type="band1Horz">
      <w:tblPr/>
      <w:tcPr>
        <w:tcBorders>
          <w:left w:val="nil"/>
          <w:right w:val="nil"/>
          <w:insideH w:val="nil"/>
          <w:insideV w:val="nil"/>
        </w:tcBorders>
        <w:shd w:val="clear" w:color="auto" w:fill="E2EAEB"/>
      </w:tcPr>
    </w:tblStylePr>
  </w:style>
  <w:style w:type="table" w:customStyle="1" w:styleId="LightList-Accent314121">
    <w:name w:val="Light List - Accent 314121"/>
    <w:basedOn w:val="TableNormal"/>
    <w:next w:val="LightList-Accent3"/>
    <w:uiPriority w:val="61"/>
    <w:rsid w:val="006D0778"/>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513121">
    <w:name w:val="Light List - Accent 513121"/>
    <w:basedOn w:val="TableNormal"/>
    <w:next w:val="LightList-Accent5"/>
    <w:uiPriority w:val="61"/>
    <w:rsid w:val="006D0778"/>
    <w:pPr>
      <w:spacing w:after="0" w:line="240" w:lineRule="auto"/>
    </w:pPr>
    <w:rPr>
      <w:rFonts w:ascii="Times New Roman" w:eastAsia="Constantia" w:hAnsi="Times New Roman" w:cs="Times New Roman"/>
      <w:lang w:val="sr-Cyrl-CS"/>
    </w:rPr>
    <w:tblPr>
      <w:tblStyleRowBandSize w:val="1"/>
      <w:tblStyleColBandSize w:val="1"/>
      <w:tblBorders>
        <w:top w:val="single" w:sz="8" w:space="0" w:color="8FB08C"/>
        <w:left w:val="single" w:sz="8" w:space="0" w:color="8FB08C"/>
        <w:bottom w:val="single" w:sz="8" w:space="0" w:color="8FB08C"/>
        <w:right w:val="single" w:sz="8" w:space="0" w:color="8FB08C"/>
      </w:tblBorders>
    </w:tblPr>
    <w:tblStylePr w:type="firstRow">
      <w:pPr>
        <w:spacing w:before="0" w:after="0" w:line="240" w:lineRule="auto"/>
      </w:pPr>
      <w:rPr>
        <w:b/>
        <w:bCs/>
        <w:color w:val="FFFFFF"/>
      </w:rPr>
      <w:tblPr/>
      <w:tcPr>
        <w:shd w:val="clear" w:color="auto" w:fill="8FB08C"/>
      </w:tcPr>
    </w:tblStylePr>
    <w:tblStylePr w:type="lastRow">
      <w:pPr>
        <w:spacing w:before="0" w:after="0" w:line="240" w:lineRule="auto"/>
      </w:pPr>
      <w:rPr>
        <w:b/>
        <w:bCs/>
      </w:rPr>
      <w:tblPr/>
      <w:tcPr>
        <w:tcBorders>
          <w:top w:val="double" w:sz="6" w:space="0" w:color="8FB08C"/>
          <w:left w:val="single" w:sz="8" w:space="0" w:color="8FB08C"/>
          <w:bottom w:val="single" w:sz="8" w:space="0" w:color="8FB08C"/>
          <w:right w:val="single" w:sz="8" w:space="0" w:color="8FB08C"/>
        </w:tcBorders>
      </w:tcPr>
    </w:tblStylePr>
    <w:tblStylePr w:type="firstCol">
      <w:rPr>
        <w:b/>
        <w:bCs/>
      </w:rPr>
    </w:tblStylePr>
    <w:tblStylePr w:type="lastCol">
      <w:rPr>
        <w:b/>
        <w:bCs/>
      </w:rPr>
    </w:tblStylePr>
    <w:tblStylePr w:type="band1Vert">
      <w:tblPr/>
      <w:tcPr>
        <w:tcBorders>
          <w:top w:val="single" w:sz="8" w:space="0" w:color="8FB08C"/>
          <w:left w:val="single" w:sz="8" w:space="0" w:color="8FB08C"/>
          <w:bottom w:val="single" w:sz="8" w:space="0" w:color="8FB08C"/>
          <w:right w:val="single" w:sz="8" w:space="0" w:color="8FB08C"/>
        </w:tcBorders>
      </w:tcPr>
    </w:tblStylePr>
    <w:tblStylePr w:type="band1Horz">
      <w:tblPr/>
      <w:tcPr>
        <w:tcBorders>
          <w:top w:val="single" w:sz="8" w:space="0" w:color="8FB08C"/>
          <w:left w:val="single" w:sz="8" w:space="0" w:color="8FB08C"/>
          <w:bottom w:val="single" w:sz="8" w:space="0" w:color="8FB08C"/>
          <w:right w:val="single" w:sz="8" w:space="0" w:color="8FB08C"/>
        </w:tcBorders>
      </w:tcPr>
    </w:tblStylePr>
  </w:style>
  <w:style w:type="table" w:customStyle="1" w:styleId="LightGrid-Accent513221">
    <w:name w:val="Light Grid - Accent 513221"/>
    <w:basedOn w:val="TableNormal"/>
    <w:next w:val="LightGrid-Accent5"/>
    <w:uiPriority w:val="62"/>
    <w:rsid w:val="006D0778"/>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omic Sans MS" w:eastAsia="Times New Roman" w:hAnsi="Comic Sans MS"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omic Sans MS" w:eastAsia="Times New Roman" w:hAnsi="Comic Sans MS"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omic Sans MS" w:eastAsia="Times New Roman" w:hAnsi="Comic Sans MS" w:cs="Times New Roman"/>
        <w:b/>
        <w:bCs/>
      </w:rPr>
    </w:tblStylePr>
    <w:tblStylePr w:type="lastCol">
      <w:rPr>
        <w:rFonts w:ascii="Comic Sans MS" w:eastAsia="Times New Roman" w:hAnsi="Comic Sans MS"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113121">
    <w:name w:val="Светло сенчење – наглашавање 113121"/>
    <w:basedOn w:val="TableNormal"/>
    <w:uiPriority w:val="60"/>
    <w:rsid w:val="006D0778"/>
    <w:pPr>
      <w:spacing w:after="0" w:line="240" w:lineRule="auto"/>
    </w:pPr>
    <w:rPr>
      <w:rFonts w:ascii="Calibri" w:eastAsia="Calibri" w:hAnsi="Calibri" w:cs="Times New Roman"/>
      <w:color w:val="365F91"/>
      <w:sz w:val="20"/>
      <w:szCs w:val="20"/>
      <w:lang w:val="sr-Latn-CS" w:eastAsia="en-GB"/>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Grid-Accent54221">
    <w:name w:val="Light Grid - Accent 54221"/>
    <w:basedOn w:val="TableNormal"/>
    <w:next w:val="LightGrid-Accent5"/>
    <w:uiPriority w:val="62"/>
    <w:rsid w:val="006D0778"/>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Comic Sans MS" w:eastAsia="Times New Roman" w:hAnsi="Comic Sans MS"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Comic Sans MS" w:eastAsia="Times New Roman" w:hAnsi="Comic Sans MS"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Comic Sans MS" w:eastAsia="Times New Roman" w:hAnsi="Comic Sans MS" w:cs="Times New Roman"/>
        <w:b/>
        <w:bCs/>
      </w:rPr>
    </w:tblStylePr>
    <w:tblStylePr w:type="lastCol">
      <w:rPr>
        <w:rFonts w:ascii="Comic Sans MS" w:eastAsia="Times New Roman" w:hAnsi="Comic Sans MS"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Shading-Accent123121">
    <w:name w:val="Light Shading - Accent 123121"/>
    <w:basedOn w:val="TableNormal"/>
    <w:uiPriority w:val="60"/>
    <w:rsid w:val="006D0778"/>
    <w:pPr>
      <w:spacing w:after="0" w:line="240" w:lineRule="auto"/>
    </w:pPr>
    <w:rPr>
      <w:rFonts w:ascii="Cambria" w:eastAsia="Calibri" w:hAnsi="Cambria" w:cs="Times New Roman"/>
      <w:color w:val="A8422A"/>
      <w:sz w:val="20"/>
      <w:szCs w:val="20"/>
      <w:lang w:val="en-GB" w:eastAsia="sr-Cyrl-CS"/>
    </w:rPr>
    <w:tblPr>
      <w:tblStyleRowBandSize w:val="1"/>
      <w:tblStyleColBandSize w:val="1"/>
      <w:tblBorders>
        <w:top w:val="single" w:sz="8" w:space="0" w:color="D16349"/>
        <w:bottom w:val="single" w:sz="8" w:space="0" w:color="D16349"/>
      </w:tblBorders>
    </w:tblPr>
    <w:tblStylePr w:type="fir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la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D8D2"/>
      </w:tcPr>
    </w:tblStylePr>
    <w:tblStylePr w:type="band1Horz">
      <w:tblPr/>
      <w:tcPr>
        <w:tcBorders>
          <w:left w:val="nil"/>
          <w:right w:val="nil"/>
          <w:insideH w:val="nil"/>
          <w:insideV w:val="nil"/>
        </w:tcBorders>
        <w:shd w:val="clear" w:color="auto" w:fill="F3D8D2"/>
      </w:tcPr>
    </w:tblStylePr>
  </w:style>
  <w:style w:type="table" w:customStyle="1" w:styleId="LightList-Accent323121">
    <w:name w:val="Light List - Accent 323121"/>
    <w:basedOn w:val="TableNormal"/>
    <w:next w:val="LightList-Accent3"/>
    <w:uiPriority w:val="61"/>
    <w:rsid w:val="006D0778"/>
    <w:pPr>
      <w:spacing w:after="0" w:line="240" w:lineRule="auto"/>
    </w:pPr>
    <w:rPr>
      <w:rFonts w:ascii="Calibri" w:eastAsia="Calibri" w:hAnsi="Calibri" w:cs="Times New Roman"/>
      <w:sz w:val="20"/>
      <w:szCs w:val="20"/>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3113121">
    <w:name w:val="Light List - Accent 3113121"/>
    <w:basedOn w:val="TableNormal"/>
    <w:next w:val="LightList-Accent3"/>
    <w:uiPriority w:val="61"/>
    <w:rsid w:val="006D0778"/>
    <w:pPr>
      <w:spacing w:after="0" w:line="240" w:lineRule="auto"/>
    </w:pPr>
    <w:rPr>
      <w:rFonts w:ascii="Constantia" w:eastAsia="Constantia" w:hAnsi="Constantia" w:cs="Times New Roman"/>
      <w:lang w:val="sr-Cyrl-CS"/>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Shading-Accent1314121">
    <w:name w:val="Light Shading - Accent 131412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5121">
    <w:name w:val="Light Shading - Accent 131512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23121">
    <w:name w:val="Light Shading - Accent 132312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6121">
    <w:name w:val="Light Shading - Accent 131612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81121">
    <w:name w:val="Light Shading - Accent 138112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8121">
    <w:name w:val="Light Shading - Accent 118121"/>
    <w:basedOn w:val="TableNormal"/>
    <w:uiPriority w:val="60"/>
    <w:rsid w:val="006D0778"/>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91121">
    <w:name w:val="Light Shading - Accent 139112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61121">
    <w:name w:val="Light Shading - Accent 1161121"/>
    <w:basedOn w:val="TableNormal"/>
    <w:uiPriority w:val="60"/>
    <w:rsid w:val="006D0778"/>
    <w:pPr>
      <w:spacing w:after="0" w:line="240" w:lineRule="auto"/>
      <w:ind w:left="568" w:hanging="284"/>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101121">
    <w:name w:val="Light Shading - Accent 1310112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361121">
    <w:name w:val="Light Shading - Accent 136112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9121">
    <w:name w:val="Light Shading - Accent 119121"/>
    <w:basedOn w:val="TableNormal"/>
    <w:uiPriority w:val="60"/>
    <w:rsid w:val="006D0778"/>
    <w:pPr>
      <w:spacing w:after="0" w:line="240" w:lineRule="auto"/>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331121">
    <w:name w:val="Light Shading - Accent 331121"/>
    <w:basedOn w:val="TableNormal"/>
    <w:next w:val="LightShading-Accent3"/>
    <w:uiPriority w:val="60"/>
    <w:rsid w:val="006D0778"/>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Shading-Accent332121">
    <w:name w:val="Light Shading - Accent 332121"/>
    <w:basedOn w:val="TableNormal"/>
    <w:next w:val="LightShading-Accent3"/>
    <w:uiPriority w:val="60"/>
    <w:rsid w:val="006D0778"/>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Shading-Accent333121">
    <w:name w:val="Light Shading - Accent 333121"/>
    <w:basedOn w:val="TableNormal"/>
    <w:next w:val="LightShading-Accent3"/>
    <w:uiPriority w:val="60"/>
    <w:rsid w:val="006D0778"/>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Shading-Accent341121">
    <w:name w:val="Light Shading - Accent 341121"/>
    <w:basedOn w:val="TableNormal"/>
    <w:next w:val="LightShading-Accent3"/>
    <w:uiPriority w:val="60"/>
    <w:rsid w:val="006D0778"/>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Shading-Accent342121">
    <w:name w:val="Light Shading - Accent 342121"/>
    <w:basedOn w:val="TableNormal"/>
    <w:next w:val="LightShading-Accent3"/>
    <w:uiPriority w:val="60"/>
    <w:rsid w:val="006D0778"/>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Grid-Accent514121">
    <w:name w:val="Light Grid - Accent 514121"/>
    <w:basedOn w:val="TableNormal"/>
    <w:next w:val="LightGrid-Accent5"/>
    <w:uiPriority w:val="62"/>
    <w:rsid w:val="006D0778"/>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55121">
    <w:name w:val="Light Grid - Accent 55121"/>
    <w:basedOn w:val="TableNormal"/>
    <w:next w:val="LightGrid-Accent5"/>
    <w:uiPriority w:val="62"/>
    <w:rsid w:val="006D0778"/>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Grid-Accent5111121">
    <w:name w:val="Light Grid - Accent 5111121"/>
    <w:basedOn w:val="TableNormal"/>
    <w:next w:val="LightGrid-Accent5"/>
    <w:uiPriority w:val="62"/>
    <w:rsid w:val="006D0778"/>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521121">
    <w:name w:val="Light Grid - Accent 521121"/>
    <w:basedOn w:val="TableNormal"/>
    <w:next w:val="LightGrid-Accent5"/>
    <w:uiPriority w:val="62"/>
    <w:rsid w:val="006D0778"/>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Grid-Accent5121121">
    <w:name w:val="Light Grid - Accent 5121121"/>
    <w:basedOn w:val="TableNormal"/>
    <w:next w:val="LightGrid-Accent5"/>
    <w:uiPriority w:val="62"/>
    <w:rsid w:val="006D0778"/>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531121">
    <w:name w:val="Light Grid - Accent 531121"/>
    <w:basedOn w:val="TableNormal"/>
    <w:next w:val="LightGrid-Accent5"/>
    <w:uiPriority w:val="62"/>
    <w:rsid w:val="006D0778"/>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Grid-Accent5131121">
    <w:name w:val="Light Grid - Accent 5131121"/>
    <w:basedOn w:val="TableNormal"/>
    <w:next w:val="LightGrid-Accent5"/>
    <w:uiPriority w:val="62"/>
    <w:rsid w:val="006D0778"/>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541121">
    <w:name w:val="Light Grid - Accent 541121"/>
    <w:basedOn w:val="TableNormal"/>
    <w:next w:val="LightGrid-Accent5"/>
    <w:uiPriority w:val="62"/>
    <w:rsid w:val="006D0778"/>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Franklin Gothic Medium" w:eastAsia="Times New Roman" w:hAnsi="Franklin Gothic Medium"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Franklin Gothic Medium" w:eastAsia="Times New Roman" w:hAnsi="Franklin Gothic Medium"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Franklin Gothic Medium" w:eastAsia="Times New Roman" w:hAnsi="Franklin Gothic Medium" w:cs="Times New Roman"/>
        <w:b/>
        <w:bCs/>
      </w:rPr>
    </w:tblStylePr>
    <w:tblStylePr w:type="lastCol">
      <w:rPr>
        <w:rFonts w:ascii="Franklin Gothic Medium" w:eastAsia="Times New Roman" w:hAnsi="Franklin Gothic Medium"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Shading-Accent6221">
    <w:name w:val="Light Shading - Accent 6221"/>
    <w:basedOn w:val="TableNormal"/>
    <w:next w:val="LightShading-Accent6"/>
    <w:uiPriority w:val="60"/>
    <w:rsid w:val="006D0778"/>
    <w:pPr>
      <w:spacing w:after="0" w:line="240" w:lineRule="auto"/>
    </w:pPr>
    <w:rPr>
      <w:rFonts w:ascii="Calibri" w:eastAsia="Calibri" w:hAnsi="Calibri" w:cs="Times New Roman"/>
      <w:color w:val="393939"/>
      <w:sz w:val="20"/>
      <w:szCs w:val="20"/>
    </w:rPr>
    <w:tblPr>
      <w:tblStyleRowBandSize w:val="1"/>
      <w:tblStyleColBandSize w:val="1"/>
      <w:tblBorders>
        <w:top w:val="single" w:sz="8" w:space="0" w:color="4D4D4D"/>
        <w:bottom w:val="single" w:sz="8" w:space="0" w:color="4D4D4D"/>
      </w:tblBorders>
    </w:tblPr>
    <w:tblStylePr w:type="firstRow">
      <w:pPr>
        <w:spacing w:beforeLines="0" w:before="0" w:beforeAutospacing="0" w:afterLines="0" w:after="0" w:afterAutospacing="0" w:line="240" w:lineRule="auto"/>
      </w:pPr>
      <w:rPr>
        <w:b/>
        <w:bCs/>
      </w:rPr>
      <w:tblPr/>
      <w:tcPr>
        <w:tcBorders>
          <w:top w:val="single" w:sz="8" w:space="0" w:color="4D4D4D"/>
          <w:left w:val="nil"/>
          <w:bottom w:val="single" w:sz="8" w:space="0" w:color="4D4D4D"/>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4D4D4D"/>
          <w:left w:val="nil"/>
          <w:bottom w:val="single" w:sz="8" w:space="0" w:color="4D4D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3D3"/>
      </w:tcPr>
    </w:tblStylePr>
    <w:tblStylePr w:type="band1Horz">
      <w:tblPr/>
      <w:tcPr>
        <w:tcBorders>
          <w:left w:val="nil"/>
          <w:right w:val="nil"/>
          <w:insideH w:val="nil"/>
          <w:insideV w:val="nil"/>
        </w:tcBorders>
        <w:shd w:val="clear" w:color="auto" w:fill="D3D3D3"/>
      </w:tcPr>
    </w:tblStylePr>
  </w:style>
  <w:style w:type="table" w:customStyle="1" w:styleId="GridTable6Colorful-Accent4221">
    <w:name w:val="Grid Table 6 Colorful - Accent 4221"/>
    <w:basedOn w:val="TableNormal"/>
    <w:next w:val="GridTable6Colorful-Accent430"/>
    <w:uiPriority w:val="51"/>
    <w:rsid w:val="006D0778"/>
    <w:pPr>
      <w:spacing w:after="0" w:line="240" w:lineRule="auto"/>
    </w:pPr>
    <w:rPr>
      <w:color w:val="5F5F5F"/>
    </w:rPr>
    <w:tblPr>
      <w:tblStyleRowBandSize w:val="1"/>
      <w:tblStyleColBandSize w:val="1"/>
      <w:tblBorders>
        <w:top w:val="single" w:sz="4" w:space="0" w:color="B2B2B2"/>
        <w:left w:val="single" w:sz="4" w:space="0" w:color="B2B2B2"/>
        <w:bottom w:val="single" w:sz="4" w:space="0" w:color="B2B2B2"/>
        <w:right w:val="single" w:sz="4" w:space="0" w:color="B2B2B2"/>
        <w:insideH w:val="single" w:sz="4" w:space="0" w:color="B2B2B2"/>
        <w:insideV w:val="single" w:sz="4" w:space="0" w:color="B2B2B2"/>
      </w:tblBorders>
    </w:tblPr>
    <w:tblStylePr w:type="firstRow">
      <w:rPr>
        <w:b/>
        <w:bCs/>
      </w:rPr>
      <w:tblPr/>
      <w:tcPr>
        <w:tcBorders>
          <w:bottom w:val="single" w:sz="12" w:space="0" w:color="B2B2B2"/>
        </w:tcBorders>
      </w:tcPr>
    </w:tblStylePr>
    <w:tblStylePr w:type="lastRow">
      <w:rPr>
        <w:b/>
        <w:bCs/>
      </w:rPr>
      <w:tblPr/>
      <w:tcPr>
        <w:tcBorders>
          <w:top w:val="double" w:sz="4" w:space="0" w:color="B2B2B2"/>
        </w:tcBorders>
      </w:tcPr>
    </w:tblStylePr>
    <w:tblStylePr w:type="firstCol">
      <w:rPr>
        <w:b/>
        <w:bCs/>
      </w:rPr>
    </w:tblStylePr>
    <w:tblStylePr w:type="lastCol">
      <w:rPr>
        <w:b/>
        <w:bCs/>
      </w:rPr>
    </w:tblStylePr>
    <w:tblStylePr w:type="band1Vert">
      <w:tblPr/>
      <w:tcPr>
        <w:shd w:val="clear" w:color="auto" w:fill="E5E5E5"/>
      </w:tcPr>
    </w:tblStylePr>
    <w:tblStylePr w:type="band1Horz">
      <w:tblPr/>
      <w:tcPr>
        <w:shd w:val="clear" w:color="auto" w:fill="E5E5E5"/>
      </w:tcPr>
    </w:tblStylePr>
  </w:style>
  <w:style w:type="table" w:customStyle="1" w:styleId="GridTable6Colorful-Accent3221">
    <w:name w:val="Grid Table 6 Colorful - Accent 3221"/>
    <w:basedOn w:val="TableNormal"/>
    <w:next w:val="GridTable6Colorful-Accent330"/>
    <w:uiPriority w:val="51"/>
    <w:rsid w:val="006D0778"/>
    <w:pPr>
      <w:spacing w:after="0" w:line="240" w:lineRule="auto"/>
    </w:pPr>
    <w:rPr>
      <w:rFonts w:ascii="Calibri" w:eastAsia="Calibri" w:hAnsi="Calibri" w:cs="Times New Roman"/>
      <w:color w:val="707070"/>
      <w:sz w:val="20"/>
      <w:szCs w:val="20"/>
    </w:rPr>
    <w:tblPr>
      <w:tblStyleRowBandSize w:val="1"/>
      <w:tblStyleColBandSize w:val="1"/>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Pr>
    <w:tblStylePr w:type="firstRow">
      <w:rPr>
        <w:b/>
        <w:bCs/>
      </w:rPr>
      <w:tblPr/>
      <w:tcPr>
        <w:tcBorders>
          <w:bottom w:val="single" w:sz="12" w:space="0" w:color="C0C0C0"/>
        </w:tcBorders>
      </w:tcPr>
    </w:tblStylePr>
    <w:tblStylePr w:type="lastRow">
      <w:rPr>
        <w:b/>
        <w:bCs/>
      </w:rPr>
      <w:tblPr/>
      <w:tcPr>
        <w:tcBorders>
          <w:top w:val="double" w:sz="4" w:space="0" w:color="C0C0C0"/>
        </w:tcBorders>
      </w:tcPr>
    </w:tblStylePr>
    <w:tblStylePr w:type="firstCol">
      <w:rPr>
        <w:b/>
        <w:bCs/>
      </w:rPr>
    </w:tblStylePr>
    <w:tblStylePr w:type="lastCol">
      <w:rPr>
        <w:b/>
        <w:bCs/>
      </w:rPr>
    </w:tblStylePr>
    <w:tblStylePr w:type="band1Vert">
      <w:tblPr/>
      <w:tcPr>
        <w:shd w:val="clear" w:color="auto" w:fill="EAEAEA"/>
      </w:tcPr>
    </w:tblStylePr>
    <w:tblStylePr w:type="band1Horz">
      <w:tblPr/>
      <w:tcPr>
        <w:shd w:val="clear" w:color="auto" w:fill="EAEAEA"/>
      </w:tcPr>
    </w:tblStylePr>
  </w:style>
  <w:style w:type="table" w:customStyle="1" w:styleId="GridTable4-Accent5221">
    <w:name w:val="Grid Table 4 - Accent 5221"/>
    <w:basedOn w:val="TableNormal"/>
    <w:next w:val="GridTable4-Accent530"/>
    <w:uiPriority w:val="49"/>
    <w:rsid w:val="006D0778"/>
    <w:pPr>
      <w:spacing w:after="0" w:line="240" w:lineRule="auto"/>
    </w:pPr>
    <w:rPr>
      <w:rFonts w:ascii="Calibri" w:eastAsia="Calibri" w:hAnsi="Calibri" w:cs="Times New Roman"/>
      <w:sz w:val="20"/>
      <w:szCs w:val="20"/>
    </w:rPr>
    <w:tblPr>
      <w:tblStyleRowBandSize w:val="1"/>
      <w:tblStyleColBandSize w:val="1"/>
      <w:tblBorders>
        <w:top w:val="single" w:sz="4" w:space="0" w:color="9F9F9F"/>
        <w:left w:val="single" w:sz="4" w:space="0" w:color="9F9F9F"/>
        <w:bottom w:val="single" w:sz="4" w:space="0" w:color="9F9F9F"/>
        <w:right w:val="single" w:sz="4" w:space="0" w:color="9F9F9F"/>
        <w:insideH w:val="single" w:sz="4" w:space="0" w:color="9F9F9F"/>
        <w:insideV w:val="single" w:sz="4" w:space="0" w:color="9F9F9F"/>
      </w:tblBorders>
    </w:tblPr>
    <w:tblStylePr w:type="firstRow">
      <w:rPr>
        <w:b/>
        <w:bCs/>
        <w:color w:val="FFFFFF"/>
      </w:rPr>
      <w:tblPr/>
      <w:tcPr>
        <w:tcBorders>
          <w:top w:val="single" w:sz="4" w:space="0" w:color="5F5F5F"/>
          <w:left w:val="single" w:sz="4" w:space="0" w:color="5F5F5F"/>
          <w:bottom w:val="single" w:sz="4" w:space="0" w:color="5F5F5F"/>
          <w:right w:val="single" w:sz="4" w:space="0" w:color="5F5F5F"/>
          <w:insideH w:val="nil"/>
          <w:insideV w:val="nil"/>
        </w:tcBorders>
        <w:shd w:val="clear" w:color="auto" w:fill="5F5F5F"/>
      </w:tcPr>
    </w:tblStylePr>
    <w:tblStylePr w:type="lastRow">
      <w:rPr>
        <w:b/>
        <w:bCs/>
      </w:rPr>
      <w:tblPr/>
      <w:tcPr>
        <w:tcBorders>
          <w:top w:val="double" w:sz="4" w:space="0" w:color="5F5F5F"/>
        </w:tcBorders>
      </w:tcPr>
    </w:tblStylePr>
    <w:tblStylePr w:type="firstCol">
      <w:rPr>
        <w:b/>
        <w:bCs/>
      </w:rPr>
    </w:tblStylePr>
    <w:tblStylePr w:type="lastCol">
      <w:rPr>
        <w:b/>
        <w:bCs/>
      </w:rPr>
    </w:tblStylePr>
    <w:tblStylePr w:type="band1Vert">
      <w:tblPr/>
      <w:tcPr>
        <w:shd w:val="clear" w:color="auto" w:fill="DFDFDF"/>
      </w:tcPr>
    </w:tblStylePr>
    <w:tblStylePr w:type="band1Horz">
      <w:tblPr/>
      <w:tcPr>
        <w:shd w:val="clear" w:color="auto" w:fill="DFDFDF"/>
      </w:tcPr>
    </w:tblStylePr>
  </w:style>
  <w:style w:type="table" w:customStyle="1" w:styleId="GridTable5Dark-Accent5221">
    <w:name w:val="Grid Table 5 Dark - Accent 5221"/>
    <w:basedOn w:val="TableNormal"/>
    <w:next w:val="GridTable5Dark-Accent530"/>
    <w:uiPriority w:val="50"/>
    <w:rsid w:val="006D0778"/>
    <w:pPr>
      <w:spacing w:after="0" w:line="240" w:lineRule="auto"/>
    </w:pPr>
    <w:rPr>
      <w:rFonts w:ascii="Calibri" w:eastAsia="Calibri" w:hAnsi="Calibri" w:cs="Times New Roman"/>
      <w:sz w:val="20"/>
      <w:szCs w:val="20"/>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DFDFDF"/>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5F5F5F"/>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5F5F5F"/>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5F5F5F"/>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5F5F5F"/>
      </w:tcPr>
    </w:tblStylePr>
    <w:tblStylePr w:type="band1Vert">
      <w:tblPr/>
      <w:tcPr>
        <w:shd w:val="clear" w:color="auto" w:fill="BFBFBF"/>
      </w:tcPr>
    </w:tblStylePr>
    <w:tblStylePr w:type="band1Horz">
      <w:tblPr/>
      <w:tcPr>
        <w:shd w:val="clear" w:color="auto" w:fill="BFBFBF"/>
      </w:tcPr>
    </w:tblStylePr>
  </w:style>
  <w:style w:type="table" w:customStyle="1" w:styleId="121">
    <w:name w:val="ФС121"/>
    <w:basedOn w:val="TableNormal"/>
    <w:uiPriority w:val="99"/>
    <w:rsid w:val="006D0778"/>
    <w:pPr>
      <w:spacing w:after="0" w:line="240" w:lineRule="auto"/>
    </w:pPr>
    <w:rPr>
      <w:rFonts w:ascii="Calibri" w:eastAsia="Calibri" w:hAnsi="Calibri" w:cs="Times New Roman"/>
      <w:sz w:val="20"/>
      <w:szCs w:val="20"/>
    </w:rPr>
    <w:tblPr/>
  </w:style>
  <w:style w:type="table" w:customStyle="1" w:styleId="ListTable6Colorful-Accent3221">
    <w:name w:val="List Table 6 Colorful - Accent 3221"/>
    <w:basedOn w:val="TableNormal"/>
    <w:next w:val="ListTable6Colorful-Accent330"/>
    <w:uiPriority w:val="51"/>
    <w:rsid w:val="006D0778"/>
    <w:pPr>
      <w:spacing w:after="0" w:line="240" w:lineRule="auto"/>
    </w:pPr>
    <w:rPr>
      <w:rFonts w:ascii="Calibri" w:eastAsia="Calibri" w:hAnsi="Calibri" w:cs="Times New Roman"/>
      <w:color w:val="707070"/>
      <w:sz w:val="20"/>
      <w:szCs w:val="20"/>
    </w:rPr>
    <w:tblPr>
      <w:tblStyleRowBandSize w:val="1"/>
      <w:tblStyleColBandSize w:val="1"/>
      <w:tblBorders>
        <w:top w:val="single" w:sz="4" w:space="0" w:color="969696"/>
        <w:bottom w:val="single" w:sz="4" w:space="0" w:color="969696"/>
      </w:tblBorders>
    </w:tblPr>
    <w:tblStylePr w:type="firstRow">
      <w:rPr>
        <w:b/>
        <w:bCs/>
      </w:rPr>
      <w:tblPr/>
      <w:tcPr>
        <w:tcBorders>
          <w:bottom w:val="single" w:sz="4" w:space="0" w:color="969696"/>
        </w:tcBorders>
      </w:tcPr>
    </w:tblStylePr>
    <w:tblStylePr w:type="lastRow">
      <w:rPr>
        <w:b/>
        <w:bCs/>
      </w:rPr>
      <w:tblPr/>
      <w:tcPr>
        <w:tcBorders>
          <w:top w:val="double" w:sz="4" w:space="0" w:color="969696"/>
        </w:tcBorders>
      </w:tcPr>
    </w:tblStylePr>
    <w:tblStylePr w:type="firstCol">
      <w:rPr>
        <w:b/>
        <w:bCs/>
      </w:rPr>
    </w:tblStylePr>
    <w:tblStylePr w:type="lastCol">
      <w:rPr>
        <w:b/>
        <w:bCs/>
      </w:rPr>
    </w:tblStylePr>
    <w:tblStylePr w:type="band1Vert">
      <w:tblPr/>
      <w:tcPr>
        <w:shd w:val="clear" w:color="auto" w:fill="EAEAEA"/>
      </w:tcPr>
    </w:tblStylePr>
    <w:tblStylePr w:type="band1Horz">
      <w:tblPr/>
      <w:tcPr>
        <w:shd w:val="clear" w:color="auto" w:fill="EAEAEA"/>
      </w:tcPr>
    </w:tblStylePr>
  </w:style>
  <w:style w:type="table" w:customStyle="1" w:styleId="GridTable1Light-Accent1221">
    <w:name w:val="Grid Table 1 Light - Accent 1221"/>
    <w:basedOn w:val="TableNormal"/>
    <w:next w:val="GridTable1Light-Accent130"/>
    <w:uiPriority w:val="46"/>
    <w:rsid w:val="006D0778"/>
    <w:pPr>
      <w:spacing w:after="0" w:line="240" w:lineRule="auto"/>
    </w:pPr>
    <w:tblPr>
      <w:tblStyleRowBandSize w:val="1"/>
      <w:tblStyleColBandSize w:val="1"/>
      <w:tblBorders>
        <w:top w:val="single" w:sz="4" w:space="0" w:color="F8B4A6"/>
        <w:left w:val="single" w:sz="4" w:space="0" w:color="F8B4A6"/>
        <w:bottom w:val="single" w:sz="4" w:space="0" w:color="F8B4A6"/>
        <w:right w:val="single" w:sz="4" w:space="0" w:color="F8B4A6"/>
        <w:insideH w:val="single" w:sz="4" w:space="0" w:color="F8B4A6"/>
        <w:insideV w:val="single" w:sz="4" w:space="0" w:color="F8B4A6"/>
      </w:tblBorders>
    </w:tblPr>
    <w:tblStylePr w:type="firstRow">
      <w:rPr>
        <w:b/>
        <w:bCs/>
      </w:rPr>
      <w:tblPr/>
      <w:tcPr>
        <w:tcBorders>
          <w:bottom w:val="single" w:sz="12" w:space="0" w:color="F58F7A"/>
        </w:tcBorders>
      </w:tcPr>
    </w:tblStylePr>
    <w:tblStylePr w:type="lastRow">
      <w:rPr>
        <w:b/>
        <w:bCs/>
      </w:rPr>
      <w:tblPr/>
      <w:tcPr>
        <w:tcBorders>
          <w:top w:val="double" w:sz="2" w:space="0" w:color="F58F7A"/>
        </w:tcBorders>
      </w:tcPr>
    </w:tblStylePr>
    <w:tblStylePr w:type="firstCol">
      <w:rPr>
        <w:b/>
        <w:bCs/>
      </w:rPr>
    </w:tblStylePr>
    <w:tblStylePr w:type="lastCol">
      <w:rPr>
        <w:b/>
        <w:bCs/>
      </w:rPr>
    </w:tblStylePr>
  </w:style>
  <w:style w:type="table" w:customStyle="1" w:styleId="ListTable1Light-Accent1221">
    <w:name w:val="List Table 1 Light - Accent 1221"/>
    <w:basedOn w:val="TableNormal"/>
    <w:next w:val="ListTable1Light-Accent130"/>
    <w:uiPriority w:val="46"/>
    <w:rsid w:val="006D0778"/>
    <w:pPr>
      <w:spacing w:after="0" w:line="240" w:lineRule="auto"/>
    </w:pPr>
    <w:tblPr>
      <w:tblStyleRowBandSize w:val="1"/>
      <w:tblStyleColBandSize w:val="1"/>
    </w:tblPr>
    <w:tblStylePr w:type="firstRow">
      <w:rPr>
        <w:b/>
        <w:bCs/>
      </w:rPr>
      <w:tblPr/>
      <w:tcPr>
        <w:tcBorders>
          <w:bottom w:val="single" w:sz="4" w:space="0" w:color="F58F7A"/>
        </w:tcBorders>
      </w:tcPr>
    </w:tblStylePr>
    <w:tblStylePr w:type="lastRow">
      <w:rPr>
        <w:b/>
        <w:bCs/>
      </w:rPr>
      <w:tblPr/>
      <w:tcPr>
        <w:tcBorders>
          <w:top w:val="single" w:sz="4" w:space="0" w:color="F58F7A"/>
        </w:tcBorders>
      </w:tcPr>
    </w:tblStylePr>
    <w:tblStylePr w:type="firstCol">
      <w:rPr>
        <w:b/>
        <w:bCs/>
      </w:rPr>
    </w:tblStylePr>
    <w:tblStylePr w:type="lastCol">
      <w:rPr>
        <w:b/>
        <w:bCs/>
      </w:rPr>
    </w:tblStylePr>
    <w:tblStylePr w:type="band1Vert">
      <w:tblPr/>
      <w:tcPr>
        <w:shd w:val="clear" w:color="auto" w:fill="FBD9D2"/>
      </w:tcPr>
    </w:tblStylePr>
    <w:tblStylePr w:type="band1Horz">
      <w:tblPr/>
      <w:tcPr>
        <w:shd w:val="clear" w:color="auto" w:fill="FBD9D2"/>
      </w:tcPr>
    </w:tblStylePr>
  </w:style>
  <w:style w:type="table" w:customStyle="1" w:styleId="ListTable2-Accent1221">
    <w:name w:val="List Table 2 - Accent 1221"/>
    <w:basedOn w:val="TableNormal"/>
    <w:next w:val="ListTable2-Accent130"/>
    <w:uiPriority w:val="47"/>
    <w:rsid w:val="006D0778"/>
    <w:pPr>
      <w:spacing w:after="0" w:line="240" w:lineRule="auto"/>
    </w:pPr>
    <w:tblPr>
      <w:tblStyleRowBandSize w:val="1"/>
      <w:tblStyleColBandSize w:val="1"/>
      <w:tblBorders>
        <w:top w:val="single" w:sz="4" w:space="0" w:color="F58F7A"/>
        <w:bottom w:val="single" w:sz="4" w:space="0" w:color="F58F7A"/>
        <w:insideH w:val="single" w:sz="4" w:space="0" w:color="F58F7A"/>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BD9D2"/>
      </w:tcPr>
    </w:tblStylePr>
    <w:tblStylePr w:type="band1Horz">
      <w:tblPr/>
      <w:tcPr>
        <w:shd w:val="clear" w:color="auto" w:fill="FBD9D2"/>
      </w:tcPr>
    </w:tblStylePr>
  </w:style>
  <w:style w:type="table" w:customStyle="1" w:styleId="ListTable2-Accent5221">
    <w:name w:val="List Table 2 - Accent 5221"/>
    <w:basedOn w:val="TableNormal"/>
    <w:next w:val="ListTable2-Accent530"/>
    <w:uiPriority w:val="47"/>
    <w:rsid w:val="006D0778"/>
    <w:pPr>
      <w:spacing w:after="0" w:line="240" w:lineRule="auto"/>
    </w:pPr>
    <w:tblPr>
      <w:tblStyleRowBandSize w:val="1"/>
      <w:tblStyleColBandSize w:val="1"/>
      <w:tblBorders>
        <w:top w:val="single" w:sz="4" w:space="0" w:color="9F9F9F"/>
        <w:bottom w:val="single" w:sz="4" w:space="0" w:color="9F9F9F"/>
        <w:insideH w:val="single" w:sz="4" w:space="0" w:color="9F9F9F"/>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FDFDF"/>
      </w:tcPr>
    </w:tblStylePr>
    <w:tblStylePr w:type="band1Horz">
      <w:tblPr/>
      <w:tcPr>
        <w:shd w:val="clear" w:color="auto" w:fill="DFDFDF"/>
      </w:tcPr>
    </w:tblStylePr>
  </w:style>
  <w:style w:type="table" w:customStyle="1" w:styleId="GridTable2-Accent5221">
    <w:name w:val="Grid Table 2 - Accent 5221"/>
    <w:basedOn w:val="TableNormal"/>
    <w:next w:val="GridTable2-Accent530"/>
    <w:uiPriority w:val="47"/>
    <w:rsid w:val="006D0778"/>
    <w:pPr>
      <w:spacing w:after="0" w:line="240" w:lineRule="auto"/>
    </w:pPr>
    <w:tblPr>
      <w:tblStyleRowBandSize w:val="1"/>
      <w:tblStyleColBandSize w:val="1"/>
      <w:tblBorders>
        <w:top w:val="single" w:sz="2" w:space="0" w:color="9F9F9F"/>
        <w:bottom w:val="single" w:sz="2" w:space="0" w:color="9F9F9F"/>
        <w:insideH w:val="single" w:sz="2" w:space="0" w:color="9F9F9F"/>
        <w:insideV w:val="single" w:sz="2" w:space="0" w:color="9F9F9F"/>
      </w:tblBorders>
    </w:tblPr>
    <w:tblStylePr w:type="firstRow">
      <w:rPr>
        <w:b/>
        <w:bCs/>
      </w:rPr>
      <w:tblPr/>
      <w:tcPr>
        <w:tcBorders>
          <w:top w:val="nil"/>
          <w:bottom w:val="single" w:sz="12" w:space="0" w:color="9F9F9F"/>
          <w:insideH w:val="nil"/>
          <w:insideV w:val="nil"/>
        </w:tcBorders>
        <w:shd w:val="clear" w:color="auto" w:fill="FFFFFF"/>
      </w:tcPr>
    </w:tblStylePr>
    <w:tblStylePr w:type="lastRow">
      <w:rPr>
        <w:b/>
        <w:bCs/>
      </w:rPr>
      <w:tblPr/>
      <w:tcPr>
        <w:tcBorders>
          <w:top w:val="double" w:sz="2" w:space="0" w:color="9F9F9F"/>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FDFDF"/>
      </w:tcPr>
    </w:tblStylePr>
    <w:tblStylePr w:type="band1Horz">
      <w:tblPr/>
      <w:tcPr>
        <w:shd w:val="clear" w:color="auto" w:fill="DFDFDF"/>
      </w:tcPr>
    </w:tblStylePr>
  </w:style>
  <w:style w:type="table" w:customStyle="1" w:styleId="GridTable6Colorful-Accent41121">
    <w:name w:val="Grid Table 6 Colorful - Accent 41121"/>
    <w:basedOn w:val="TableNormal"/>
    <w:uiPriority w:val="51"/>
    <w:rsid w:val="006D0778"/>
    <w:pPr>
      <w:spacing w:after="0" w:line="240" w:lineRule="auto"/>
    </w:pPr>
    <w:rPr>
      <w:color w:val="5F5F5F"/>
    </w:rPr>
    <w:tblPr>
      <w:tblStyleRowBandSize w:val="1"/>
      <w:tblStyleColBandSize w:val="1"/>
      <w:tblBorders>
        <w:top w:val="single" w:sz="4" w:space="0" w:color="B2B2B2"/>
        <w:left w:val="single" w:sz="4" w:space="0" w:color="B2B2B2"/>
        <w:bottom w:val="single" w:sz="4" w:space="0" w:color="B2B2B2"/>
        <w:right w:val="single" w:sz="4" w:space="0" w:color="B2B2B2"/>
        <w:insideH w:val="single" w:sz="4" w:space="0" w:color="B2B2B2"/>
        <w:insideV w:val="single" w:sz="4" w:space="0" w:color="B2B2B2"/>
      </w:tblBorders>
    </w:tblPr>
    <w:tblStylePr w:type="firstRow">
      <w:rPr>
        <w:b/>
        <w:bCs/>
      </w:rPr>
      <w:tblPr/>
      <w:tcPr>
        <w:tcBorders>
          <w:bottom w:val="single" w:sz="12" w:space="0" w:color="B2B2B2"/>
        </w:tcBorders>
      </w:tcPr>
    </w:tblStylePr>
    <w:tblStylePr w:type="lastRow">
      <w:rPr>
        <w:b/>
        <w:bCs/>
      </w:rPr>
      <w:tblPr/>
      <w:tcPr>
        <w:tcBorders>
          <w:top w:val="double" w:sz="4" w:space="0" w:color="B2B2B2"/>
        </w:tcBorders>
      </w:tcPr>
    </w:tblStylePr>
    <w:tblStylePr w:type="firstCol">
      <w:rPr>
        <w:b/>
        <w:bCs/>
      </w:rPr>
    </w:tblStylePr>
    <w:tblStylePr w:type="lastCol">
      <w:rPr>
        <w:b/>
        <w:bCs/>
      </w:rPr>
    </w:tblStylePr>
    <w:tblStylePr w:type="band1Vert">
      <w:tblPr/>
      <w:tcPr>
        <w:shd w:val="clear" w:color="auto" w:fill="E5E5E5"/>
      </w:tcPr>
    </w:tblStylePr>
    <w:tblStylePr w:type="band1Horz">
      <w:tblPr/>
      <w:tcPr>
        <w:shd w:val="clear" w:color="auto" w:fill="E5E5E5"/>
      </w:tcPr>
    </w:tblStylePr>
  </w:style>
  <w:style w:type="table" w:customStyle="1" w:styleId="GridTable6Colorful-Accent31121">
    <w:name w:val="Grid Table 6 Colorful - Accent 31121"/>
    <w:basedOn w:val="TableNormal"/>
    <w:uiPriority w:val="51"/>
    <w:rsid w:val="006D0778"/>
    <w:pPr>
      <w:spacing w:after="0" w:line="240" w:lineRule="auto"/>
    </w:pPr>
    <w:rPr>
      <w:rFonts w:ascii="Calibri" w:eastAsia="Calibri" w:hAnsi="Calibri" w:cs="Times New Roman"/>
      <w:color w:val="707070"/>
      <w:sz w:val="20"/>
      <w:szCs w:val="20"/>
    </w:rPr>
    <w:tblPr>
      <w:tblStyleRowBandSize w:val="1"/>
      <w:tblStyleColBandSize w:val="1"/>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Pr>
    <w:tblStylePr w:type="firstRow">
      <w:rPr>
        <w:b/>
        <w:bCs/>
      </w:rPr>
      <w:tblPr/>
      <w:tcPr>
        <w:tcBorders>
          <w:bottom w:val="single" w:sz="12" w:space="0" w:color="C0C0C0"/>
        </w:tcBorders>
      </w:tcPr>
    </w:tblStylePr>
    <w:tblStylePr w:type="lastRow">
      <w:rPr>
        <w:b/>
        <w:bCs/>
      </w:rPr>
      <w:tblPr/>
      <w:tcPr>
        <w:tcBorders>
          <w:top w:val="double" w:sz="4" w:space="0" w:color="C0C0C0"/>
        </w:tcBorders>
      </w:tcPr>
    </w:tblStylePr>
    <w:tblStylePr w:type="firstCol">
      <w:rPr>
        <w:b/>
        <w:bCs/>
      </w:rPr>
    </w:tblStylePr>
    <w:tblStylePr w:type="lastCol">
      <w:rPr>
        <w:b/>
        <w:bCs/>
      </w:rPr>
    </w:tblStylePr>
    <w:tblStylePr w:type="band1Vert">
      <w:tblPr/>
      <w:tcPr>
        <w:shd w:val="clear" w:color="auto" w:fill="EAEAEA"/>
      </w:tcPr>
    </w:tblStylePr>
    <w:tblStylePr w:type="band1Horz">
      <w:tblPr/>
      <w:tcPr>
        <w:shd w:val="clear" w:color="auto" w:fill="EAEAEA"/>
      </w:tcPr>
    </w:tblStylePr>
  </w:style>
  <w:style w:type="table" w:customStyle="1" w:styleId="TableGrid2121">
    <w:name w:val="Table Grid2121"/>
    <w:basedOn w:val="TableNormal"/>
    <w:next w:val="TableGrid"/>
    <w:uiPriority w:val="39"/>
    <w:rsid w:val="006D0778"/>
    <w:pPr>
      <w:spacing w:before="120" w:after="120" w:line="264" w:lineRule="auto"/>
      <w:ind w:left="115" w:right="115"/>
    </w:pPr>
    <w:rPr>
      <w:rFonts w:eastAsia="MS PGothic"/>
      <w:sz w:val="20"/>
      <w:szCs w:val="20"/>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
    <w:tcPr>
      <w:vAlign w:val="center"/>
    </w:tcPr>
    <w:tblStylePr w:type="firstRow">
      <w:pPr>
        <w:wordWrap/>
        <w:jc w:val="center"/>
      </w:pPr>
      <w:rPr>
        <w:b/>
        <w:i w:val="0"/>
        <w:sz w:val="22"/>
      </w:rPr>
    </w:tblStylePr>
    <w:tblStylePr w:type="lastRow">
      <w:rPr>
        <w:b/>
        <w:i w:val="0"/>
        <w:sz w:val="22"/>
      </w:rPr>
      <w:tblPr/>
      <w:tcPr>
        <w:tcBorders>
          <w:top w:val="double" w:sz="4" w:space="0" w:color="auto"/>
          <w:left w:val="single" w:sz="4" w:space="0" w:color="auto"/>
          <w:bottom w:val="single" w:sz="18" w:space="0" w:color="auto"/>
          <w:right w:val="single" w:sz="4" w:space="0" w:color="auto"/>
          <w:insideH w:val="nil"/>
          <w:insideV w:val="single" w:sz="4" w:space="0" w:color="auto"/>
          <w:tl2br w:val="nil"/>
          <w:tr2bl w:val="nil"/>
        </w:tcBorders>
      </w:tcPr>
    </w:tblStylePr>
  </w:style>
  <w:style w:type="table" w:customStyle="1" w:styleId="LightShading-Accent124121">
    <w:name w:val="Light Shading - Accent 124121"/>
    <w:basedOn w:val="TableNormal"/>
    <w:uiPriority w:val="60"/>
    <w:rsid w:val="006D0778"/>
    <w:pPr>
      <w:spacing w:after="0" w:line="264" w:lineRule="auto"/>
    </w:pPr>
    <w:rPr>
      <w:rFonts w:ascii="Cambria" w:eastAsia="Calibri" w:hAnsi="Cambria" w:cs="Times New Roman"/>
      <w:color w:val="A8422A"/>
      <w:sz w:val="20"/>
      <w:szCs w:val="20"/>
      <w:lang w:val="en-GB" w:eastAsia="sr-Cyrl-CS"/>
    </w:rPr>
    <w:tblPr>
      <w:tblStyleRowBandSize w:val="1"/>
      <w:tblStyleColBandSize w:val="1"/>
      <w:tblBorders>
        <w:top w:val="single" w:sz="8" w:space="0" w:color="D16349"/>
        <w:bottom w:val="single" w:sz="8" w:space="0" w:color="D16349"/>
      </w:tblBorders>
    </w:tblPr>
    <w:tblStylePr w:type="fir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la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D8D2"/>
      </w:tcPr>
    </w:tblStylePr>
    <w:tblStylePr w:type="band1Horz">
      <w:tblPr/>
      <w:tcPr>
        <w:tcBorders>
          <w:left w:val="nil"/>
          <w:right w:val="nil"/>
          <w:insideH w:val="nil"/>
          <w:insideV w:val="nil"/>
        </w:tcBorders>
        <w:shd w:val="clear" w:color="auto" w:fill="F3D8D2"/>
      </w:tcPr>
    </w:tblStylePr>
  </w:style>
  <w:style w:type="table" w:customStyle="1" w:styleId="LightShading-Accent125121">
    <w:name w:val="Light Shading - Accent 125121"/>
    <w:basedOn w:val="TableNormal"/>
    <w:uiPriority w:val="60"/>
    <w:rsid w:val="006D0778"/>
    <w:pPr>
      <w:spacing w:after="0" w:line="240" w:lineRule="auto"/>
    </w:pPr>
    <w:rPr>
      <w:rFonts w:ascii="Cambria" w:eastAsia="Calibri" w:hAnsi="Cambria" w:cs="Times New Roman"/>
      <w:color w:val="A8422A"/>
      <w:sz w:val="20"/>
      <w:szCs w:val="20"/>
      <w:lang w:val="en-GB" w:eastAsia="sr-Cyrl-CS"/>
    </w:rPr>
    <w:tblPr>
      <w:tblStyleRowBandSize w:val="1"/>
      <w:tblStyleColBandSize w:val="1"/>
      <w:tblBorders>
        <w:top w:val="single" w:sz="8" w:space="0" w:color="D16349"/>
        <w:bottom w:val="single" w:sz="8" w:space="0" w:color="D16349"/>
      </w:tblBorders>
    </w:tblPr>
    <w:tblStylePr w:type="fir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la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D8D2"/>
      </w:tcPr>
    </w:tblStylePr>
    <w:tblStylePr w:type="band1Horz">
      <w:tblPr/>
      <w:tcPr>
        <w:tcBorders>
          <w:left w:val="nil"/>
          <w:right w:val="nil"/>
          <w:insideH w:val="nil"/>
          <w:insideV w:val="nil"/>
        </w:tcBorders>
        <w:shd w:val="clear" w:color="auto" w:fill="F3D8D2"/>
      </w:tcPr>
    </w:tblStylePr>
  </w:style>
  <w:style w:type="table" w:customStyle="1" w:styleId="LightShading31">
    <w:name w:val="Light Shading31"/>
    <w:basedOn w:val="TableNormal"/>
    <w:next w:val="LightShading"/>
    <w:uiPriority w:val="60"/>
    <w:semiHidden/>
    <w:unhideWhenUsed/>
    <w:rsid w:val="006D0778"/>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GridTable6Colorful-Accent551">
    <w:name w:val="Grid Table 6 Colorful - Accent 551"/>
    <w:basedOn w:val="TableNormal"/>
    <w:next w:val="GridTable6Colorful-Accent540"/>
    <w:uiPriority w:val="51"/>
    <w:rsid w:val="006D0778"/>
    <w:pPr>
      <w:spacing w:after="0" w:line="240" w:lineRule="auto"/>
    </w:pPr>
    <w:rPr>
      <w:color w:val="2F5496" w:themeColor="accent5" w:themeShade="BF"/>
    </w:r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4" w:space="0" w:color="8EAADB" w:themeColor="accent5" w:themeTint="99"/>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customStyle="1" w:styleId="GridTable6Colorful-Accent141">
    <w:name w:val="Grid Table 6 Colorful - Accent 141"/>
    <w:basedOn w:val="TableNormal"/>
    <w:next w:val="GridTable6Colorful-Accent130"/>
    <w:uiPriority w:val="51"/>
    <w:rsid w:val="006D0778"/>
    <w:pPr>
      <w:spacing w:after="0" w:line="240" w:lineRule="auto"/>
    </w:pPr>
    <w:rPr>
      <w:color w:val="2E74B5" w:themeColor="accent1" w:themeShade="BF"/>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customStyle="1" w:styleId="LightShading-Accent161">
    <w:name w:val="Light Shading - Accent 161"/>
    <w:basedOn w:val="TableNormal"/>
    <w:next w:val="LightShading-Accent1"/>
    <w:uiPriority w:val="60"/>
    <w:semiHidden/>
    <w:unhideWhenUsed/>
    <w:rsid w:val="006D0778"/>
    <w:pPr>
      <w:spacing w:after="0" w:line="240" w:lineRule="auto"/>
    </w:pPr>
    <w:rPr>
      <w:color w:val="2E74B5" w:themeColor="accent1" w:themeShade="BF"/>
    </w:rPr>
    <w:tblPr>
      <w:tblStyleRowBandSize w:val="1"/>
      <w:tblStyleColBandSize w:val="1"/>
      <w:tblBorders>
        <w:top w:val="single" w:sz="8" w:space="0" w:color="5B9BD5" w:themeColor="accent1"/>
        <w:bottom w:val="single" w:sz="8" w:space="0" w:color="5B9BD5" w:themeColor="accent1"/>
      </w:tblBorders>
    </w:tblPr>
    <w:tblStylePr w:type="firstRow">
      <w:pPr>
        <w:spacing w:before="0" w:after="0" w:line="240" w:lineRule="auto"/>
      </w:pPr>
      <w:rPr>
        <w:b/>
        <w:bCs/>
      </w:rPr>
      <w:tblPr/>
      <w:tcPr>
        <w:tcBorders>
          <w:top w:val="single" w:sz="8" w:space="0" w:color="5B9BD5" w:themeColor="accent1"/>
          <w:left w:val="nil"/>
          <w:bottom w:val="single" w:sz="8" w:space="0" w:color="5B9BD5" w:themeColor="accent1"/>
          <w:right w:val="nil"/>
          <w:insideH w:val="nil"/>
          <w:insideV w:val="nil"/>
        </w:tcBorders>
      </w:tcPr>
    </w:tblStylePr>
    <w:tblStylePr w:type="lastRow">
      <w:pPr>
        <w:spacing w:before="0" w:after="0" w:line="240" w:lineRule="auto"/>
      </w:pPr>
      <w:rPr>
        <w:b/>
        <w:bCs/>
      </w:rPr>
      <w:tblPr/>
      <w:tcPr>
        <w:tcBorders>
          <w:top w:val="single" w:sz="8" w:space="0" w:color="5B9BD5" w:themeColor="accent1"/>
          <w:left w:val="nil"/>
          <w:bottom w:val="single" w:sz="8" w:space="0" w:color="5B9BD5"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6F4" w:themeFill="accent1" w:themeFillTint="3F"/>
      </w:tcPr>
    </w:tblStylePr>
    <w:tblStylePr w:type="band1Horz">
      <w:tblPr/>
      <w:tcPr>
        <w:tcBorders>
          <w:left w:val="nil"/>
          <w:right w:val="nil"/>
          <w:insideH w:val="nil"/>
          <w:insideV w:val="nil"/>
        </w:tcBorders>
        <w:shd w:val="clear" w:color="auto" w:fill="D6E6F4" w:themeFill="accent1" w:themeFillTint="3F"/>
      </w:tcPr>
    </w:tblStylePr>
  </w:style>
  <w:style w:type="table" w:customStyle="1" w:styleId="LightShading-Accent641">
    <w:name w:val="Light Shading - Accent 641"/>
    <w:basedOn w:val="TableNormal"/>
    <w:next w:val="LightShading-Accent6"/>
    <w:uiPriority w:val="60"/>
    <w:semiHidden/>
    <w:unhideWhenUsed/>
    <w:rsid w:val="006D0778"/>
    <w:pPr>
      <w:spacing w:after="0" w:line="240" w:lineRule="auto"/>
    </w:pPr>
    <w:rPr>
      <w:color w:val="538135" w:themeColor="accent6" w:themeShade="BF"/>
    </w:rPr>
    <w:tblPr>
      <w:tblStyleRowBandSize w:val="1"/>
      <w:tblStyleColBandSize w:val="1"/>
      <w:tblBorders>
        <w:top w:val="single" w:sz="8" w:space="0" w:color="70AD47" w:themeColor="accent6"/>
        <w:bottom w:val="single" w:sz="8" w:space="0" w:color="70AD47" w:themeColor="accent6"/>
      </w:tblBorders>
    </w:tblPr>
    <w:tblStylePr w:type="firstRow">
      <w:pPr>
        <w:spacing w:before="0" w:after="0" w:line="240" w:lineRule="auto"/>
      </w:pPr>
      <w:rPr>
        <w:b/>
        <w:bCs/>
      </w:rPr>
      <w:tblPr/>
      <w:tcPr>
        <w:tcBorders>
          <w:top w:val="single" w:sz="8" w:space="0" w:color="70AD47" w:themeColor="accent6"/>
          <w:left w:val="nil"/>
          <w:bottom w:val="single" w:sz="8" w:space="0" w:color="70AD47" w:themeColor="accent6"/>
          <w:right w:val="nil"/>
          <w:insideH w:val="nil"/>
          <w:insideV w:val="nil"/>
        </w:tcBorders>
      </w:tcPr>
    </w:tblStylePr>
    <w:tblStylePr w:type="lastRow">
      <w:pPr>
        <w:spacing w:before="0" w:after="0" w:line="240" w:lineRule="auto"/>
      </w:pPr>
      <w:rPr>
        <w:b/>
        <w:bCs/>
      </w:rPr>
      <w:tblPr/>
      <w:tcPr>
        <w:tcBorders>
          <w:top w:val="single" w:sz="8" w:space="0" w:color="70AD47" w:themeColor="accent6"/>
          <w:left w:val="nil"/>
          <w:bottom w:val="single" w:sz="8" w:space="0" w:color="70AD47"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BEBD0" w:themeFill="accent6" w:themeFillTint="3F"/>
      </w:tcPr>
    </w:tblStylePr>
    <w:tblStylePr w:type="band1Horz">
      <w:tblPr/>
      <w:tcPr>
        <w:tcBorders>
          <w:left w:val="nil"/>
          <w:right w:val="nil"/>
          <w:insideH w:val="nil"/>
          <w:insideV w:val="nil"/>
        </w:tcBorders>
        <w:shd w:val="clear" w:color="auto" w:fill="DBEBD0" w:themeFill="accent6" w:themeFillTint="3F"/>
      </w:tcPr>
    </w:tblStylePr>
  </w:style>
  <w:style w:type="table" w:customStyle="1" w:styleId="GridTable6Colorful-Accent441">
    <w:name w:val="Grid Table 6 Colorful - Accent 441"/>
    <w:basedOn w:val="TableNormal"/>
    <w:next w:val="GridTable6Colorful-Accent430"/>
    <w:uiPriority w:val="51"/>
    <w:rsid w:val="006D0778"/>
    <w:pPr>
      <w:spacing w:after="0" w:line="240" w:lineRule="auto"/>
    </w:pPr>
    <w:rPr>
      <w:color w:val="BF8F00" w:themeColor="accent4" w:themeShade="BF"/>
    </w:rPr>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insideV w:val="single" w:sz="4" w:space="0" w:color="FFD966" w:themeColor="accent4" w:themeTint="99"/>
      </w:tblBorders>
    </w:tblPr>
    <w:tblStylePr w:type="firstRow">
      <w:rPr>
        <w:b/>
        <w:bCs/>
      </w:rPr>
      <w:tblPr/>
      <w:tcPr>
        <w:tcBorders>
          <w:bottom w:val="single" w:sz="12" w:space="0" w:color="FFD966" w:themeColor="accent4" w:themeTint="99"/>
        </w:tcBorders>
      </w:tcPr>
    </w:tblStylePr>
    <w:tblStylePr w:type="lastRow">
      <w:rPr>
        <w:b/>
        <w:bCs/>
      </w:rPr>
      <w:tblPr/>
      <w:tcPr>
        <w:tcBorders>
          <w:top w:val="double" w:sz="4" w:space="0" w:color="FFD966" w:themeColor="accent4" w:themeTint="99"/>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customStyle="1" w:styleId="GridTable6Colorful-Accent341">
    <w:name w:val="Grid Table 6 Colorful - Accent 341"/>
    <w:basedOn w:val="TableNormal"/>
    <w:next w:val="GridTable6Colorful-Accent330"/>
    <w:uiPriority w:val="51"/>
    <w:rsid w:val="006D0778"/>
    <w:pPr>
      <w:spacing w:after="0" w:line="240" w:lineRule="auto"/>
    </w:pPr>
    <w:rPr>
      <w:color w:val="7B7B7B" w:themeColor="accent3" w:themeShade="BF"/>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customStyle="1" w:styleId="GridTable4-Accent541">
    <w:name w:val="Grid Table 4 - Accent 541"/>
    <w:basedOn w:val="TableNormal"/>
    <w:next w:val="GridTable4-Accent530"/>
    <w:uiPriority w:val="49"/>
    <w:rsid w:val="006D0778"/>
    <w:pPr>
      <w:spacing w:after="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customStyle="1" w:styleId="GridTable5Dark-Accent541">
    <w:name w:val="Grid Table 5 Dark - Accent 541"/>
    <w:basedOn w:val="TableNormal"/>
    <w:next w:val="GridTable5Dark-Accent530"/>
    <w:uiPriority w:val="50"/>
    <w:rsid w:val="006D0778"/>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9E2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472C4"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472C4"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472C4"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472C4" w:themeFill="accent5"/>
      </w:tcPr>
    </w:tblStylePr>
    <w:tblStylePr w:type="band1Vert">
      <w:tblPr/>
      <w:tcPr>
        <w:shd w:val="clear" w:color="auto" w:fill="B4C6E7" w:themeFill="accent5" w:themeFillTint="66"/>
      </w:tcPr>
    </w:tblStylePr>
    <w:tblStylePr w:type="band1Horz">
      <w:tblPr/>
      <w:tcPr>
        <w:shd w:val="clear" w:color="auto" w:fill="B4C6E7" w:themeFill="accent5" w:themeFillTint="66"/>
      </w:tcPr>
    </w:tblStylePr>
  </w:style>
  <w:style w:type="table" w:customStyle="1" w:styleId="ListTable6Colorful-Accent341">
    <w:name w:val="List Table 6 Colorful - Accent 341"/>
    <w:basedOn w:val="TableNormal"/>
    <w:next w:val="ListTable6Colorful-Accent330"/>
    <w:uiPriority w:val="51"/>
    <w:rsid w:val="006D0778"/>
    <w:pPr>
      <w:spacing w:after="0" w:line="240" w:lineRule="auto"/>
    </w:pPr>
    <w:rPr>
      <w:color w:val="7B7B7B" w:themeColor="accent3" w:themeShade="BF"/>
    </w:rPr>
    <w:tblPr>
      <w:tblStyleRowBandSize w:val="1"/>
      <w:tblStyleColBandSize w:val="1"/>
      <w:tblBorders>
        <w:top w:val="single" w:sz="4" w:space="0" w:color="A5A5A5" w:themeColor="accent3"/>
        <w:bottom w:val="single" w:sz="4" w:space="0" w:color="A5A5A5" w:themeColor="accent3"/>
      </w:tblBorders>
    </w:tblPr>
    <w:tblStylePr w:type="firstRow">
      <w:rPr>
        <w:b/>
        <w:bCs/>
      </w:rPr>
      <w:tblPr/>
      <w:tcPr>
        <w:tcBorders>
          <w:bottom w:val="single" w:sz="4" w:space="0" w:color="A5A5A5" w:themeColor="accent3"/>
        </w:tcBorders>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customStyle="1" w:styleId="GridTable1Light-Accent141">
    <w:name w:val="Grid Table 1 Light - Accent 141"/>
    <w:basedOn w:val="TableNormal"/>
    <w:next w:val="GridTable1Light-Accent130"/>
    <w:uiPriority w:val="46"/>
    <w:rsid w:val="006D0778"/>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customStyle="1" w:styleId="ListTable1Light-Accent141">
    <w:name w:val="List Table 1 Light - Accent 141"/>
    <w:basedOn w:val="TableNormal"/>
    <w:next w:val="ListTable1Light-Accent130"/>
    <w:uiPriority w:val="46"/>
    <w:rsid w:val="006D0778"/>
    <w:pPr>
      <w:spacing w:after="0" w:line="240" w:lineRule="auto"/>
    </w:pPr>
    <w:tblPr>
      <w:tblStyleRowBandSize w:val="1"/>
      <w:tblStyleColBandSize w:val="1"/>
    </w:tblPr>
    <w:tblStylePr w:type="firstRow">
      <w:rPr>
        <w:b/>
        <w:bCs/>
      </w:rPr>
      <w:tblPr/>
      <w:tcPr>
        <w:tcBorders>
          <w:bottom w:val="single" w:sz="4" w:space="0" w:color="9CC2E5" w:themeColor="accent1" w:themeTint="99"/>
        </w:tcBorders>
      </w:tcPr>
    </w:tblStylePr>
    <w:tblStylePr w:type="lastRow">
      <w:rPr>
        <w:b/>
        <w:bCs/>
      </w:rPr>
      <w:tblPr/>
      <w:tcPr>
        <w:tcBorders>
          <w:top w:val="sing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customStyle="1" w:styleId="ListTable2-Accent141">
    <w:name w:val="List Table 2 - Accent 141"/>
    <w:basedOn w:val="TableNormal"/>
    <w:next w:val="ListTable2-Accent130"/>
    <w:uiPriority w:val="47"/>
    <w:rsid w:val="006D0778"/>
    <w:pPr>
      <w:spacing w:after="0" w:line="240" w:lineRule="auto"/>
    </w:pPr>
    <w:tblPr>
      <w:tblStyleRowBandSize w:val="1"/>
      <w:tblStyleColBandSize w:val="1"/>
      <w:tblBorders>
        <w:top w:val="single" w:sz="4" w:space="0" w:color="9CC2E5" w:themeColor="accent1" w:themeTint="99"/>
        <w:bottom w:val="single" w:sz="4" w:space="0" w:color="9CC2E5" w:themeColor="accent1" w:themeTint="99"/>
        <w:insideH w:val="single" w:sz="4" w:space="0" w:color="9CC2E5"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customStyle="1" w:styleId="ListTable2-Accent541">
    <w:name w:val="List Table 2 - Accent 541"/>
    <w:basedOn w:val="TableNormal"/>
    <w:next w:val="ListTable2-Accent530"/>
    <w:uiPriority w:val="47"/>
    <w:rsid w:val="006D0778"/>
    <w:pPr>
      <w:spacing w:after="0" w:line="240" w:lineRule="auto"/>
    </w:pPr>
    <w:tblPr>
      <w:tblStyleRowBandSize w:val="1"/>
      <w:tblStyleColBandSize w:val="1"/>
      <w:tblBorders>
        <w:top w:val="single" w:sz="4" w:space="0" w:color="8EAADB" w:themeColor="accent5" w:themeTint="99"/>
        <w:bottom w:val="single" w:sz="4" w:space="0" w:color="8EAADB" w:themeColor="accent5" w:themeTint="99"/>
        <w:insideH w:val="single" w:sz="4" w:space="0" w:color="8EAADB"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customStyle="1" w:styleId="GridTable2-Accent541">
    <w:name w:val="Grid Table 2 - Accent 541"/>
    <w:basedOn w:val="TableNormal"/>
    <w:next w:val="GridTable2-Accent530"/>
    <w:uiPriority w:val="47"/>
    <w:rsid w:val="006D0778"/>
    <w:pPr>
      <w:spacing w:after="0" w:line="240" w:lineRule="auto"/>
    </w:pPr>
    <w:tblPr>
      <w:tblStyleRowBandSize w:val="1"/>
      <w:tblStyleColBandSize w:val="1"/>
      <w:tblBorders>
        <w:top w:val="single" w:sz="2" w:space="0" w:color="8EAADB" w:themeColor="accent5" w:themeTint="99"/>
        <w:bottom w:val="single" w:sz="2" w:space="0" w:color="8EAADB" w:themeColor="accent5" w:themeTint="99"/>
        <w:insideH w:val="single" w:sz="2" w:space="0" w:color="8EAADB" w:themeColor="accent5" w:themeTint="99"/>
        <w:insideV w:val="single" w:sz="2" w:space="0" w:color="8EAADB" w:themeColor="accent5" w:themeTint="99"/>
      </w:tblBorders>
    </w:tblPr>
    <w:tblStylePr w:type="firstRow">
      <w:rPr>
        <w:b/>
        <w:bCs/>
      </w:rPr>
      <w:tblPr/>
      <w:tcPr>
        <w:tcBorders>
          <w:top w:val="nil"/>
          <w:bottom w:val="single" w:sz="12" w:space="0" w:color="8EAADB" w:themeColor="accent5" w:themeTint="99"/>
          <w:insideH w:val="nil"/>
          <w:insideV w:val="nil"/>
        </w:tcBorders>
        <w:shd w:val="clear" w:color="auto" w:fill="FFFFFF" w:themeFill="background1"/>
      </w:tcPr>
    </w:tblStylePr>
    <w:tblStylePr w:type="lastRow">
      <w:rPr>
        <w:b/>
        <w:bCs/>
      </w:rPr>
      <w:tblPr/>
      <w:tcPr>
        <w:tcBorders>
          <w:top w:val="double" w:sz="2" w:space="0" w:color="8EAADB"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customStyle="1" w:styleId="LightShading-Accent3371">
    <w:name w:val="Light Shading - Accent 3371"/>
    <w:basedOn w:val="TableNormal"/>
    <w:next w:val="LightShading-Accent3"/>
    <w:uiPriority w:val="60"/>
    <w:rsid w:val="006D0778"/>
    <w:pPr>
      <w:spacing w:after="0" w:line="240" w:lineRule="auto"/>
    </w:pPr>
    <w:rPr>
      <w:rFonts w:ascii="Arial" w:eastAsia="Calibri" w:hAnsi="Arial" w:cs="Times New Roman"/>
      <w:color w:val="474747"/>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Shading-Accent3381">
    <w:name w:val="Light Shading - Accent 3381"/>
    <w:basedOn w:val="TableNormal"/>
    <w:next w:val="LightShading-Accent3"/>
    <w:uiPriority w:val="60"/>
    <w:rsid w:val="006D0778"/>
    <w:pPr>
      <w:spacing w:after="0" w:line="240" w:lineRule="auto"/>
    </w:pPr>
    <w:rPr>
      <w:rFonts w:ascii="Arial" w:eastAsia="Calibri" w:hAnsi="Arial" w:cs="Times New Roman"/>
      <w:color w:val="474747"/>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stTable6Colorful-Accent611">
    <w:name w:val="List Table 6 Colorful - Accent 611"/>
    <w:basedOn w:val="TableNormal"/>
    <w:uiPriority w:val="51"/>
    <w:rsid w:val="006D0778"/>
    <w:pPr>
      <w:spacing w:after="0" w:line="240" w:lineRule="auto"/>
    </w:pPr>
    <w:rPr>
      <w:color w:val="538135" w:themeColor="accent6" w:themeShade="BF"/>
    </w:rPr>
    <w:tblPr>
      <w:tblStyleRowBandSize w:val="1"/>
      <w:tblStyleColBandSize w:val="1"/>
      <w:tblBorders>
        <w:top w:val="single" w:sz="4" w:space="0" w:color="70AD47" w:themeColor="accent6"/>
        <w:bottom w:val="single" w:sz="4" w:space="0" w:color="70AD47" w:themeColor="accent6"/>
      </w:tblBorders>
    </w:tblPr>
    <w:tblStylePr w:type="firstRow">
      <w:rPr>
        <w:b/>
        <w:bCs/>
      </w:rPr>
      <w:tblPr/>
      <w:tcPr>
        <w:tcBorders>
          <w:bottom w:val="single" w:sz="4" w:space="0" w:color="70AD47" w:themeColor="accent6"/>
        </w:tcBorders>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customStyle="1" w:styleId="TableGrid61">
    <w:name w:val="Table Grid61"/>
    <w:basedOn w:val="TableNormal"/>
    <w:next w:val="TableGrid"/>
    <w:uiPriority w:val="39"/>
    <w:rsid w:val="006D0778"/>
    <w:pPr>
      <w:spacing w:after="0" w:line="240" w:lineRule="auto"/>
    </w:pPr>
    <w:rPr>
      <w:rFonts w:ascii="Constantia" w:eastAsia="Constantia" w:hAnsi="Constantia"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e371">
    <w:name w:val="tabele 371"/>
    <w:basedOn w:val="TableNormal"/>
    <w:next w:val="LightList-Accent3"/>
    <w:uiPriority w:val="61"/>
    <w:rsid w:val="006D0778"/>
    <w:pPr>
      <w:spacing w:after="0" w:line="240" w:lineRule="auto"/>
    </w:pPr>
    <w:rPr>
      <w:rFonts w:ascii="Cambria Math" w:eastAsia="Calibri" w:hAnsi="Cambria Math" w:cs="Times New Roman"/>
      <w:sz w:val="18"/>
      <w:szCs w:val="20"/>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LightShading-Accent11161">
    <w:name w:val="Light Shading - Accent 11161"/>
    <w:basedOn w:val="TableNormal"/>
    <w:uiPriority w:val="60"/>
    <w:rsid w:val="006D0778"/>
    <w:pPr>
      <w:spacing w:after="0" w:line="240" w:lineRule="auto"/>
      <w:ind w:left="568" w:hanging="284"/>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3171">
    <w:name w:val="Light Shading - Accent 3171"/>
    <w:basedOn w:val="TableNormal"/>
    <w:next w:val="LightShading-Accent3"/>
    <w:uiPriority w:val="60"/>
    <w:rsid w:val="006D0778"/>
    <w:pPr>
      <w:spacing w:after="0" w:line="240" w:lineRule="auto"/>
    </w:pPr>
    <w:rPr>
      <w:rFonts w:ascii="Constantia" w:eastAsia="Constantia" w:hAnsi="Constantia" w:cs="Times New Roman"/>
      <w:color w:val="8CADAE"/>
      <w:sz w:val="20"/>
      <w:szCs w:val="20"/>
    </w:rPr>
    <w:tblPr>
      <w:tblStyleRowBandSize w:val="1"/>
      <w:tblStyleColBandSize w:val="1"/>
      <w:tblBorders>
        <w:top w:val="single" w:sz="8" w:space="0" w:color="8CADAE"/>
        <w:bottom w:val="single" w:sz="8" w:space="0" w:color="8CADAE"/>
      </w:tblBorders>
    </w:tblPr>
    <w:tblStylePr w:type="fir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la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2EAEB"/>
      </w:tcPr>
    </w:tblStylePr>
    <w:tblStylePr w:type="band1Horz">
      <w:tblPr/>
      <w:tcPr>
        <w:tcBorders>
          <w:left w:val="nil"/>
          <w:right w:val="nil"/>
          <w:insideH w:val="nil"/>
          <w:insideV w:val="nil"/>
        </w:tcBorders>
        <w:shd w:val="clear" w:color="auto" w:fill="E2EAEB"/>
      </w:tcPr>
    </w:tblStylePr>
  </w:style>
  <w:style w:type="table" w:customStyle="1" w:styleId="LightList-Accent3181">
    <w:name w:val="Light List - Accent 3181"/>
    <w:basedOn w:val="TableNormal"/>
    <w:next w:val="LightList-Accent3"/>
    <w:uiPriority w:val="61"/>
    <w:rsid w:val="006D0778"/>
    <w:pPr>
      <w:spacing w:after="0" w:line="240" w:lineRule="auto"/>
    </w:pPr>
    <w:rPr>
      <w:rFonts w:ascii="Constantia" w:eastAsia="Constantia" w:hAnsi="Constantia" w:cs="Times New Roman"/>
      <w:sz w:val="20"/>
      <w:szCs w:val="20"/>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TableGrid141">
    <w:name w:val="Table Grid141"/>
    <w:basedOn w:val="TableNormal"/>
    <w:next w:val="TableGrid"/>
    <w:uiPriority w:val="39"/>
    <w:rsid w:val="006D0778"/>
    <w:pPr>
      <w:spacing w:after="0" w:line="240" w:lineRule="auto"/>
    </w:pPr>
    <w:rPr>
      <w:rFonts w:ascii="Constantia" w:eastAsia="Constantia" w:hAnsi="Constantia"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ghtList-Accent5171">
    <w:name w:val="Light List - Accent 5171"/>
    <w:basedOn w:val="TableNormal"/>
    <w:next w:val="LightList-Accent5"/>
    <w:uiPriority w:val="61"/>
    <w:rsid w:val="006D0778"/>
    <w:pPr>
      <w:spacing w:after="0" w:line="240" w:lineRule="auto"/>
    </w:pPr>
    <w:rPr>
      <w:rFonts w:ascii="Times New Roman" w:eastAsia="Constantia" w:hAnsi="Times New Roman" w:cs="Times New Roman"/>
      <w:sz w:val="20"/>
      <w:szCs w:val="20"/>
    </w:rPr>
    <w:tblPr>
      <w:tblStyleRowBandSize w:val="1"/>
      <w:tblStyleColBandSize w:val="1"/>
      <w:tblBorders>
        <w:top w:val="single" w:sz="8" w:space="0" w:color="8FB08C"/>
        <w:left w:val="single" w:sz="8" w:space="0" w:color="8FB08C"/>
        <w:bottom w:val="single" w:sz="8" w:space="0" w:color="8FB08C"/>
        <w:right w:val="single" w:sz="8" w:space="0" w:color="8FB08C"/>
      </w:tblBorders>
    </w:tblPr>
    <w:tblStylePr w:type="firstRow">
      <w:pPr>
        <w:spacing w:before="0" w:after="0" w:line="240" w:lineRule="auto"/>
      </w:pPr>
      <w:rPr>
        <w:b/>
        <w:bCs/>
        <w:color w:val="FFFFFF"/>
      </w:rPr>
      <w:tblPr/>
      <w:tcPr>
        <w:shd w:val="clear" w:color="auto" w:fill="8FB08C"/>
      </w:tcPr>
    </w:tblStylePr>
    <w:tblStylePr w:type="lastRow">
      <w:pPr>
        <w:spacing w:before="0" w:after="0" w:line="240" w:lineRule="auto"/>
      </w:pPr>
      <w:rPr>
        <w:b/>
        <w:bCs/>
      </w:rPr>
      <w:tblPr/>
      <w:tcPr>
        <w:tcBorders>
          <w:top w:val="double" w:sz="6" w:space="0" w:color="8FB08C"/>
          <w:left w:val="single" w:sz="8" w:space="0" w:color="8FB08C"/>
          <w:bottom w:val="single" w:sz="8" w:space="0" w:color="8FB08C"/>
          <w:right w:val="single" w:sz="8" w:space="0" w:color="8FB08C"/>
        </w:tcBorders>
      </w:tcPr>
    </w:tblStylePr>
    <w:tblStylePr w:type="firstCol">
      <w:rPr>
        <w:b/>
        <w:bCs/>
      </w:rPr>
    </w:tblStylePr>
    <w:tblStylePr w:type="lastCol">
      <w:rPr>
        <w:b/>
        <w:bCs/>
      </w:rPr>
    </w:tblStylePr>
    <w:tblStylePr w:type="band1Vert">
      <w:tblPr/>
      <w:tcPr>
        <w:tcBorders>
          <w:top w:val="single" w:sz="8" w:space="0" w:color="8FB08C"/>
          <w:left w:val="single" w:sz="8" w:space="0" w:color="8FB08C"/>
          <w:bottom w:val="single" w:sz="8" w:space="0" w:color="8FB08C"/>
          <w:right w:val="single" w:sz="8" w:space="0" w:color="8FB08C"/>
        </w:tcBorders>
      </w:tcPr>
    </w:tblStylePr>
    <w:tblStylePr w:type="band1Horz">
      <w:tblPr/>
      <w:tcPr>
        <w:tcBorders>
          <w:top w:val="single" w:sz="8" w:space="0" w:color="8FB08C"/>
          <w:left w:val="single" w:sz="8" w:space="0" w:color="8FB08C"/>
          <w:bottom w:val="single" w:sz="8" w:space="0" w:color="8FB08C"/>
          <w:right w:val="single" w:sz="8" w:space="0" w:color="8FB08C"/>
        </w:tcBorders>
      </w:tcPr>
    </w:tblStylePr>
  </w:style>
  <w:style w:type="table" w:customStyle="1" w:styleId="MediumList1-Accent5141">
    <w:name w:val="Medium List 1 - Accent 5141"/>
    <w:basedOn w:val="TableNormal"/>
    <w:next w:val="MediumList1-Accent5"/>
    <w:uiPriority w:val="65"/>
    <w:rsid w:val="006D0778"/>
    <w:pPr>
      <w:spacing w:after="0" w:line="240" w:lineRule="auto"/>
    </w:pPr>
    <w:rPr>
      <w:rFonts w:ascii="Constantia" w:eastAsia="Constantia" w:hAnsi="Constantia" w:cs="Times New Roman"/>
      <w:color w:val="000000"/>
      <w:sz w:val="20"/>
      <w:szCs w:val="20"/>
    </w:rPr>
    <w:tblPr>
      <w:tblStyleRowBandSize w:val="1"/>
      <w:tblStyleColBandSize w:val="1"/>
      <w:tblBorders>
        <w:top w:val="single" w:sz="8" w:space="0" w:color="8FB08C"/>
        <w:bottom w:val="single" w:sz="8" w:space="0" w:color="8FB08C"/>
      </w:tblBorders>
    </w:tblPr>
    <w:tblStylePr w:type="firstRow">
      <w:rPr>
        <w:rFonts w:ascii="Constantia" w:eastAsia="Times New Roman" w:hAnsi="Constantia" w:cs="Times New Roman"/>
      </w:rPr>
      <w:tblPr/>
      <w:tcPr>
        <w:tcBorders>
          <w:top w:val="nil"/>
          <w:bottom w:val="single" w:sz="8" w:space="0" w:color="8FB08C"/>
        </w:tcBorders>
      </w:tcPr>
    </w:tblStylePr>
    <w:tblStylePr w:type="lastRow">
      <w:rPr>
        <w:b/>
        <w:bCs/>
        <w:color w:val="646B86"/>
      </w:rPr>
      <w:tblPr/>
      <w:tcPr>
        <w:tcBorders>
          <w:top w:val="single" w:sz="8" w:space="0" w:color="8FB08C"/>
          <w:bottom w:val="single" w:sz="8" w:space="0" w:color="8FB08C"/>
        </w:tcBorders>
      </w:tcPr>
    </w:tblStylePr>
    <w:tblStylePr w:type="firstCol">
      <w:rPr>
        <w:b/>
        <w:bCs/>
      </w:rPr>
    </w:tblStylePr>
    <w:tblStylePr w:type="lastCol">
      <w:rPr>
        <w:b/>
        <w:bCs/>
      </w:rPr>
      <w:tblPr/>
      <w:tcPr>
        <w:tcBorders>
          <w:top w:val="single" w:sz="8" w:space="0" w:color="8FB08C"/>
          <w:bottom w:val="single" w:sz="8" w:space="0" w:color="8FB08C"/>
        </w:tcBorders>
      </w:tcPr>
    </w:tblStylePr>
    <w:tblStylePr w:type="band1Vert">
      <w:tblPr/>
      <w:tcPr>
        <w:shd w:val="clear" w:color="auto" w:fill="E3EBE2"/>
      </w:tcPr>
    </w:tblStylePr>
    <w:tblStylePr w:type="band1Horz">
      <w:tblPr/>
      <w:tcPr>
        <w:shd w:val="clear" w:color="auto" w:fill="E3EBE2"/>
      </w:tcPr>
    </w:tblStylePr>
  </w:style>
  <w:style w:type="table" w:customStyle="1" w:styleId="MediumList1-Accent551">
    <w:name w:val="Medium List 1 - Accent 551"/>
    <w:basedOn w:val="TableNormal"/>
    <w:next w:val="MediumList1-Accent5"/>
    <w:uiPriority w:val="65"/>
    <w:rsid w:val="006D0778"/>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4BACC6"/>
        <w:bottom w:val="single" w:sz="8" w:space="0" w:color="4BACC6"/>
      </w:tblBorders>
    </w:tblPr>
    <w:tblStylePr w:type="firstRow">
      <w:rPr>
        <w:rFonts w:ascii="Constantia" w:eastAsia="Times New Roman" w:hAnsi="Constantia" w:cs="Times New Roman"/>
      </w:rPr>
      <w:tblPr/>
      <w:tcPr>
        <w:tcBorders>
          <w:top w:val="nil"/>
          <w:bottom w:val="single" w:sz="8" w:space="0" w:color="4BACC6"/>
        </w:tcBorders>
      </w:tcPr>
    </w:tblStylePr>
    <w:tblStylePr w:type="lastRow">
      <w:rPr>
        <w:b/>
        <w:bCs/>
        <w:color w:val="1F497D"/>
      </w:rPr>
      <w:tblPr/>
      <w:tcPr>
        <w:tcBorders>
          <w:top w:val="single" w:sz="8" w:space="0" w:color="4BACC6"/>
          <w:bottom w:val="single" w:sz="8" w:space="0" w:color="4BACC6"/>
        </w:tcBorders>
      </w:tcPr>
    </w:tblStylePr>
    <w:tblStylePr w:type="firstCol">
      <w:rPr>
        <w:b/>
        <w:bCs/>
      </w:rPr>
    </w:tblStylePr>
    <w:tblStylePr w:type="lastCol">
      <w:rPr>
        <w:b/>
        <w:bCs/>
      </w:rPr>
      <w:tblPr/>
      <w:tcPr>
        <w:tcBorders>
          <w:top w:val="single" w:sz="8" w:space="0" w:color="4BACC6"/>
          <w:bottom w:val="single" w:sz="8" w:space="0" w:color="4BACC6"/>
        </w:tcBorders>
      </w:tcPr>
    </w:tblStylePr>
    <w:tblStylePr w:type="band1Vert">
      <w:tblPr/>
      <w:tcPr>
        <w:shd w:val="clear" w:color="auto" w:fill="D2EAF1"/>
      </w:tcPr>
    </w:tblStylePr>
    <w:tblStylePr w:type="band1Horz">
      <w:tblPr/>
      <w:tcPr>
        <w:shd w:val="clear" w:color="auto" w:fill="D2EAF1"/>
      </w:tcPr>
    </w:tblStylePr>
  </w:style>
  <w:style w:type="table" w:customStyle="1" w:styleId="LightGrid-Accent5181">
    <w:name w:val="Light Grid - Accent 5181"/>
    <w:basedOn w:val="TableNormal"/>
    <w:next w:val="LightGrid-Accent5"/>
    <w:uiPriority w:val="62"/>
    <w:rsid w:val="006D0778"/>
    <w:pPr>
      <w:spacing w:after="0" w:line="240" w:lineRule="auto"/>
      <w:jc w:val="both"/>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Tahoma" w:eastAsia="Times New Roman" w:hAnsi="Tahom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Tahoma" w:eastAsia="Times New Roman" w:hAnsi="Tahom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Tahoma" w:eastAsia="Times New Roman" w:hAnsi="Tahoma" w:cs="Times New Roman"/>
        <w:b/>
        <w:bCs/>
      </w:rPr>
    </w:tblStylePr>
    <w:tblStylePr w:type="lastCol">
      <w:rPr>
        <w:rFonts w:ascii="Tahoma" w:eastAsia="Times New Roman" w:hAnsi="Tahom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1171">
    <w:name w:val="Светло сенчење – наглашавање 1171"/>
    <w:basedOn w:val="TableNormal"/>
    <w:uiPriority w:val="60"/>
    <w:rsid w:val="006D0778"/>
    <w:pPr>
      <w:spacing w:after="0" w:line="240" w:lineRule="auto"/>
      <w:jc w:val="both"/>
    </w:pPr>
    <w:rPr>
      <w:rFonts w:ascii="Calibri" w:eastAsia="Calibri" w:hAnsi="Calibri" w:cs="Times New Roman"/>
      <w:color w:val="365F91"/>
      <w:sz w:val="20"/>
      <w:szCs w:val="20"/>
      <w:lang w:val="sr-Latn-CS" w:eastAsia="en-GB"/>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Grid-Accent591">
    <w:name w:val="Light Grid - Accent 591"/>
    <w:basedOn w:val="TableNormal"/>
    <w:next w:val="LightGrid-Accent5"/>
    <w:uiPriority w:val="62"/>
    <w:rsid w:val="006D0778"/>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Tahoma" w:eastAsia="Times New Roman" w:hAnsi="Tahoma"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Tahoma" w:eastAsia="Times New Roman" w:hAnsi="Tahoma"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Tahoma" w:eastAsia="Times New Roman" w:hAnsi="Tahoma" w:cs="Times New Roman"/>
        <w:b/>
        <w:bCs/>
      </w:rPr>
    </w:tblStylePr>
    <w:tblStylePr w:type="lastCol">
      <w:rPr>
        <w:rFonts w:ascii="Tahoma" w:eastAsia="Times New Roman" w:hAnsi="Tahoma"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Shading-Accent1281">
    <w:name w:val="Light Shading - Accent 1281"/>
    <w:basedOn w:val="TableNormal"/>
    <w:uiPriority w:val="60"/>
    <w:rsid w:val="006D0778"/>
    <w:pPr>
      <w:spacing w:after="0" w:line="240" w:lineRule="auto"/>
    </w:pPr>
    <w:rPr>
      <w:rFonts w:ascii="Calibri" w:eastAsia="Calibri" w:hAnsi="Calibri" w:cs="Times New Roman"/>
      <w:color w:val="A8422A"/>
      <w:sz w:val="20"/>
      <w:szCs w:val="20"/>
      <w:lang w:val="en-GB" w:eastAsia="sr-Cyrl-CS"/>
    </w:rPr>
    <w:tblPr>
      <w:tblStyleRowBandSize w:val="1"/>
      <w:tblStyleColBandSize w:val="1"/>
      <w:tblBorders>
        <w:top w:val="single" w:sz="8" w:space="0" w:color="D16349"/>
        <w:bottom w:val="single" w:sz="8" w:space="0" w:color="D16349"/>
      </w:tblBorders>
    </w:tblPr>
    <w:tblStylePr w:type="fir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la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D8D2"/>
      </w:tcPr>
    </w:tblStylePr>
    <w:tblStylePr w:type="band1Horz">
      <w:tblPr/>
      <w:tcPr>
        <w:tcBorders>
          <w:left w:val="nil"/>
          <w:right w:val="nil"/>
          <w:insideH w:val="nil"/>
          <w:insideV w:val="nil"/>
        </w:tcBorders>
        <w:shd w:val="clear" w:color="auto" w:fill="F3D8D2"/>
      </w:tcPr>
    </w:tblStylePr>
  </w:style>
  <w:style w:type="table" w:customStyle="1" w:styleId="LightList-Accent31171">
    <w:name w:val="Light List - Accent 31171"/>
    <w:basedOn w:val="TableNormal"/>
    <w:next w:val="LightList-Accent3"/>
    <w:uiPriority w:val="61"/>
    <w:rsid w:val="006D0778"/>
    <w:pPr>
      <w:spacing w:after="0" w:line="240" w:lineRule="auto"/>
    </w:pPr>
    <w:rPr>
      <w:rFonts w:ascii="Constantia" w:eastAsia="Constantia" w:hAnsi="Constantia" w:cs="Times New Roman"/>
      <w:sz w:val="20"/>
      <w:szCs w:val="20"/>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311141">
    <w:name w:val="Light List - Accent 311141"/>
    <w:basedOn w:val="TableNormal"/>
    <w:next w:val="LightList-Accent3"/>
    <w:uiPriority w:val="61"/>
    <w:rsid w:val="006D0778"/>
    <w:pPr>
      <w:spacing w:after="0" w:line="240" w:lineRule="auto"/>
    </w:pPr>
    <w:rPr>
      <w:rFonts w:ascii="Constantia" w:eastAsia="Constantia" w:hAnsi="Constantia" w:cs="Times New Roman"/>
      <w:sz w:val="20"/>
      <w:szCs w:val="20"/>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TableGrid241">
    <w:name w:val="Table Grid241"/>
    <w:basedOn w:val="TableNormal"/>
    <w:next w:val="TableGrid"/>
    <w:uiPriority w:val="39"/>
    <w:rsid w:val="006D0778"/>
    <w:pPr>
      <w:spacing w:after="0" w:line="240" w:lineRule="auto"/>
      <w:jc w:val="both"/>
    </w:pPr>
    <w:rPr>
      <w:rFonts w:ascii="Calibri" w:eastAsia="Calibri" w:hAnsi="Calibri" w:cs="Times New Roman"/>
      <w:sz w:val="20"/>
      <w:szCs w:val="20"/>
      <w:lang w:bidi="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e3141">
    <w:name w:val="tabele 3141"/>
    <w:basedOn w:val="TableNormal"/>
    <w:next w:val="LightList-Accent3"/>
    <w:uiPriority w:val="61"/>
    <w:rsid w:val="006D0778"/>
    <w:pPr>
      <w:spacing w:after="0" w:line="240" w:lineRule="auto"/>
    </w:pPr>
    <w:rPr>
      <w:rFonts w:ascii="Cambria Math" w:eastAsia="Calibri" w:hAnsi="Cambria Math" w:cs="Times New Roman"/>
      <w:sz w:val="18"/>
      <w:szCs w:val="20"/>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LightShading-Accent11171">
    <w:name w:val="Light Shading - Accent 11171"/>
    <w:basedOn w:val="TableNormal"/>
    <w:uiPriority w:val="60"/>
    <w:rsid w:val="006D0778"/>
    <w:pPr>
      <w:spacing w:after="0" w:line="240" w:lineRule="auto"/>
      <w:ind w:left="568" w:hanging="284"/>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3241">
    <w:name w:val="Light Shading - Accent 3241"/>
    <w:basedOn w:val="TableNormal"/>
    <w:next w:val="LightShading-Accent3"/>
    <w:uiPriority w:val="60"/>
    <w:rsid w:val="006D0778"/>
    <w:pPr>
      <w:spacing w:after="0" w:line="240" w:lineRule="auto"/>
    </w:pPr>
    <w:rPr>
      <w:rFonts w:ascii="Calibri" w:eastAsia="Calibri" w:hAnsi="Calibri" w:cs="Times New Roman"/>
      <w:color w:val="618889"/>
      <w:sz w:val="20"/>
      <w:szCs w:val="20"/>
    </w:rPr>
    <w:tblPr>
      <w:tblStyleRowBandSize w:val="1"/>
      <w:tblStyleColBandSize w:val="1"/>
      <w:tblBorders>
        <w:top w:val="single" w:sz="8" w:space="0" w:color="8CADAE"/>
        <w:bottom w:val="single" w:sz="8" w:space="0" w:color="8CADAE"/>
      </w:tblBorders>
    </w:tblPr>
    <w:tblStylePr w:type="fir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la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2EAEB"/>
      </w:tcPr>
    </w:tblStylePr>
    <w:tblStylePr w:type="band1Horz">
      <w:tblPr/>
      <w:tcPr>
        <w:tcBorders>
          <w:left w:val="nil"/>
          <w:right w:val="nil"/>
          <w:insideH w:val="nil"/>
          <w:insideV w:val="nil"/>
        </w:tcBorders>
        <w:shd w:val="clear" w:color="auto" w:fill="E2EAEB"/>
      </w:tcPr>
    </w:tblStylePr>
  </w:style>
  <w:style w:type="table" w:customStyle="1" w:styleId="LightList-Accent5241">
    <w:name w:val="Light List - Accent 5241"/>
    <w:basedOn w:val="TableNormal"/>
    <w:next w:val="LightList-Accent5"/>
    <w:uiPriority w:val="61"/>
    <w:rsid w:val="006D0778"/>
    <w:pPr>
      <w:spacing w:after="0" w:line="240" w:lineRule="auto"/>
    </w:pPr>
    <w:rPr>
      <w:rFonts w:ascii="Calibri" w:eastAsia="Calibri" w:hAnsi="Calibri" w:cs="Times New Roman"/>
      <w:sz w:val="20"/>
      <w:szCs w:val="20"/>
    </w:rPr>
    <w:tblPr>
      <w:tblStyleRowBandSize w:val="1"/>
      <w:tblStyleColBandSize w:val="1"/>
      <w:tblBorders>
        <w:top w:val="single" w:sz="8" w:space="0" w:color="8FB08C"/>
        <w:left w:val="single" w:sz="8" w:space="0" w:color="8FB08C"/>
        <w:bottom w:val="single" w:sz="8" w:space="0" w:color="8FB08C"/>
        <w:right w:val="single" w:sz="8" w:space="0" w:color="8FB08C"/>
      </w:tblBorders>
    </w:tblPr>
    <w:tblStylePr w:type="firstRow">
      <w:pPr>
        <w:spacing w:before="0" w:after="0" w:line="240" w:lineRule="auto"/>
      </w:pPr>
      <w:rPr>
        <w:b/>
        <w:bCs/>
        <w:color w:val="FFFFFF"/>
      </w:rPr>
      <w:tblPr/>
      <w:tcPr>
        <w:shd w:val="clear" w:color="auto" w:fill="8FB08C"/>
      </w:tcPr>
    </w:tblStylePr>
    <w:tblStylePr w:type="lastRow">
      <w:pPr>
        <w:spacing w:before="0" w:after="0" w:line="240" w:lineRule="auto"/>
      </w:pPr>
      <w:rPr>
        <w:b/>
        <w:bCs/>
      </w:rPr>
      <w:tblPr/>
      <w:tcPr>
        <w:tcBorders>
          <w:top w:val="double" w:sz="6" w:space="0" w:color="8FB08C"/>
          <w:left w:val="single" w:sz="8" w:space="0" w:color="8FB08C"/>
          <w:bottom w:val="single" w:sz="8" w:space="0" w:color="8FB08C"/>
          <w:right w:val="single" w:sz="8" w:space="0" w:color="8FB08C"/>
        </w:tcBorders>
      </w:tcPr>
    </w:tblStylePr>
    <w:tblStylePr w:type="firstCol">
      <w:rPr>
        <w:b/>
        <w:bCs/>
      </w:rPr>
    </w:tblStylePr>
    <w:tblStylePr w:type="lastCol">
      <w:rPr>
        <w:b/>
        <w:bCs/>
      </w:rPr>
    </w:tblStylePr>
    <w:tblStylePr w:type="band1Vert">
      <w:tblPr/>
      <w:tcPr>
        <w:tcBorders>
          <w:top w:val="single" w:sz="8" w:space="0" w:color="8FB08C"/>
          <w:left w:val="single" w:sz="8" w:space="0" w:color="8FB08C"/>
          <w:bottom w:val="single" w:sz="8" w:space="0" w:color="8FB08C"/>
          <w:right w:val="single" w:sz="8" w:space="0" w:color="8FB08C"/>
        </w:tcBorders>
      </w:tcPr>
    </w:tblStylePr>
    <w:tblStylePr w:type="band1Horz">
      <w:tblPr/>
      <w:tcPr>
        <w:tcBorders>
          <w:top w:val="single" w:sz="8" w:space="0" w:color="8FB08C"/>
          <w:left w:val="single" w:sz="8" w:space="0" w:color="8FB08C"/>
          <w:bottom w:val="single" w:sz="8" w:space="0" w:color="8FB08C"/>
          <w:right w:val="single" w:sz="8" w:space="0" w:color="8FB08C"/>
        </w:tcBorders>
      </w:tcPr>
    </w:tblStylePr>
  </w:style>
  <w:style w:type="table" w:customStyle="1" w:styleId="LightShading-Accent31141">
    <w:name w:val="Light Shading - Accent 31141"/>
    <w:basedOn w:val="TableNormal"/>
    <w:next w:val="LightShading-Accent3"/>
    <w:uiPriority w:val="60"/>
    <w:rsid w:val="006D0778"/>
    <w:pPr>
      <w:spacing w:after="0" w:line="240" w:lineRule="auto"/>
    </w:pPr>
    <w:rPr>
      <w:rFonts w:ascii="Constantia" w:eastAsia="Constantia" w:hAnsi="Constantia" w:cs="Times New Roman"/>
      <w:color w:val="8CADAE"/>
      <w:sz w:val="20"/>
      <w:szCs w:val="20"/>
    </w:rPr>
    <w:tblPr>
      <w:tblStyleRowBandSize w:val="1"/>
      <w:tblStyleColBandSize w:val="1"/>
      <w:tblBorders>
        <w:top w:val="single" w:sz="8" w:space="0" w:color="8CADAE"/>
        <w:bottom w:val="single" w:sz="8" w:space="0" w:color="8CADAE"/>
      </w:tblBorders>
    </w:tblPr>
    <w:tblStylePr w:type="fir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la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2EAEB"/>
      </w:tcPr>
    </w:tblStylePr>
    <w:tblStylePr w:type="band1Horz">
      <w:tblPr/>
      <w:tcPr>
        <w:tcBorders>
          <w:left w:val="nil"/>
          <w:right w:val="nil"/>
          <w:insideH w:val="nil"/>
          <w:insideV w:val="nil"/>
        </w:tcBorders>
        <w:shd w:val="clear" w:color="auto" w:fill="E2EAEB"/>
      </w:tcPr>
    </w:tblStylePr>
  </w:style>
  <w:style w:type="table" w:customStyle="1" w:styleId="LightList-Accent31241">
    <w:name w:val="Light List - Accent 31241"/>
    <w:basedOn w:val="TableNormal"/>
    <w:next w:val="LightList-Accent3"/>
    <w:uiPriority w:val="61"/>
    <w:rsid w:val="006D0778"/>
    <w:pPr>
      <w:spacing w:after="0" w:line="240" w:lineRule="auto"/>
    </w:pPr>
    <w:rPr>
      <w:rFonts w:ascii="Constantia" w:eastAsia="Constantia" w:hAnsi="Constantia" w:cs="Times New Roman"/>
      <w:sz w:val="20"/>
      <w:szCs w:val="20"/>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51141">
    <w:name w:val="Light List - Accent 51141"/>
    <w:basedOn w:val="TableNormal"/>
    <w:next w:val="LightList-Accent5"/>
    <w:uiPriority w:val="61"/>
    <w:rsid w:val="006D0778"/>
    <w:pPr>
      <w:spacing w:after="0" w:line="240" w:lineRule="auto"/>
    </w:pPr>
    <w:rPr>
      <w:rFonts w:ascii="Times New Roman" w:eastAsia="Constantia" w:hAnsi="Times New Roman" w:cs="Times New Roman"/>
      <w:sz w:val="20"/>
      <w:szCs w:val="20"/>
    </w:rPr>
    <w:tblPr>
      <w:tblStyleRowBandSize w:val="1"/>
      <w:tblStyleColBandSize w:val="1"/>
      <w:tblBorders>
        <w:top w:val="single" w:sz="8" w:space="0" w:color="8FB08C"/>
        <w:left w:val="single" w:sz="8" w:space="0" w:color="8FB08C"/>
        <w:bottom w:val="single" w:sz="8" w:space="0" w:color="8FB08C"/>
        <w:right w:val="single" w:sz="8" w:space="0" w:color="8FB08C"/>
      </w:tblBorders>
    </w:tblPr>
    <w:tblStylePr w:type="firstRow">
      <w:pPr>
        <w:spacing w:before="0" w:after="0" w:line="240" w:lineRule="auto"/>
      </w:pPr>
      <w:rPr>
        <w:b/>
        <w:bCs/>
        <w:color w:val="FFFFFF"/>
      </w:rPr>
      <w:tblPr/>
      <w:tcPr>
        <w:shd w:val="clear" w:color="auto" w:fill="8FB08C"/>
      </w:tcPr>
    </w:tblStylePr>
    <w:tblStylePr w:type="lastRow">
      <w:pPr>
        <w:spacing w:before="0" w:after="0" w:line="240" w:lineRule="auto"/>
      </w:pPr>
      <w:rPr>
        <w:b/>
        <w:bCs/>
      </w:rPr>
      <w:tblPr/>
      <w:tcPr>
        <w:tcBorders>
          <w:top w:val="double" w:sz="6" w:space="0" w:color="8FB08C"/>
          <w:left w:val="single" w:sz="8" w:space="0" w:color="8FB08C"/>
          <w:bottom w:val="single" w:sz="8" w:space="0" w:color="8FB08C"/>
          <w:right w:val="single" w:sz="8" w:space="0" w:color="8FB08C"/>
        </w:tcBorders>
      </w:tcPr>
    </w:tblStylePr>
    <w:tblStylePr w:type="firstCol">
      <w:rPr>
        <w:b/>
        <w:bCs/>
      </w:rPr>
    </w:tblStylePr>
    <w:tblStylePr w:type="lastCol">
      <w:rPr>
        <w:b/>
        <w:bCs/>
      </w:rPr>
    </w:tblStylePr>
    <w:tblStylePr w:type="band1Vert">
      <w:tblPr/>
      <w:tcPr>
        <w:tcBorders>
          <w:top w:val="single" w:sz="8" w:space="0" w:color="8FB08C"/>
          <w:left w:val="single" w:sz="8" w:space="0" w:color="8FB08C"/>
          <w:bottom w:val="single" w:sz="8" w:space="0" w:color="8FB08C"/>
          <w:right w:val="single" w:sz="8" w:space="0" w:color="8FB08C"/>
        </w:tcBorders>
      </w:tcPr>
    </w:tblStylePr>
    <w:tblStylePr w:type="band1Horz">
      <w:tblPr/>
      <w:tcPr>
        <w:tcBorders>
          <w:top w:val="single" w:sz="8" w:space="0" w:color="8FB08C"/>
          <w:left w:val="single" w:sz="8" w:space="0" w:color="8FB08C"/>
          <w:bottom w:val="single" w:sz="8" w:space="0" w:color="8FB08C"/>
          <w:right w:val="single" w:sz="8" w:space="0" w:color="8FB08C"/>
        </w:tcBorders>
      </w:tcPr>
    </w:tblStylePr>
  </w:style>
  <w:style w:type="table" w:customStyle="1" w:styleId="LightGrid-Accent51151">
    <w:name w:val="Light Grid - Accent 51151"/>
    <w:basedOn w:val="TableNormal"/>
    <w:next w:val="LightGrid-Accent5"/>
    <w:uiPriority w:val="62"/>
    <w:rsid w:val="006D0778"/>
    <w:pPr>
      <w:spacing w:after="0" w:line="240" w:lineRule="auto"/>
      <w:jc w:val="both"/>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Tahoma" w:eastAsia="Times New Roman" w:hAnsi="Tahom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Tahoma" w:eastAsia="Times New Roman" w:hAnsi="Tahom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Tahoma" w:eastAsia="Times New Roman" w:hAnsi="Tahoma" w:cs="Times New Roman"/>
        <w:b/>
        <w:bCs/>
      </w:rPr>
    </w:tblStylePr>
    <w:tblStylePr w:type="lastCol">
      <w:rPr>
        <w:rFonts w:ascii="Tahoma" w:eastAsia="Times New Roman" w:hAnsi="Tahom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11141">
    <w:name w:val="Светло сенчење – наглашавање 11141"/>
    <w:basedOn w:val="TableNormal"/>
    <w:uiPriority w:val="60"/>
    <w:rsid w:val="006D0778"/>
    <w:pPr>
      <w:spacing w:after="0" w:line="240" w:lineRule="auto"/>
      <w:jc w:val="both"/>
    </w:pPr>
    <w:rPr>
      <w:rFonts w:ascii="Calibri" w:eastAsia="Calibri" w:hAnsi="Calibri" w:cs="Times New Roman"/>
      <w:color w:val="365F91"/>
      <w:sz w:val="20"/>
      <w:szCs w:val="20"/>
      <w:lang w:val="sr-Latn-CS" w:eastAsia="en-GB"/>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Grid-Accent5251">
    <w:name w:val="Light Grid - Accent 5251"/>
    <w:basedOn w:val="TableNormal"/>
    <w:next w:val="LightGrid-Accent5"/>
    <w:uiPriority w:val="62"/>
    <w:rsid w:val="006D0778"/>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Tahoma" w:eastAsia="Times New Roman" w:hAnsi="Tahoma"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Tahoma" w:eastAsia="Times New Roman" w:hAnsi="Tahoma"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Tahoma" w:eastAsia="Times New Roman" w:hAnsi="Tahoma" w:cs="Times New Roman"/>
        <w:b/>
        <w:bCs/>
      </w:rPr>
    </w:tblStylePr>
    <w:tblStylePr w:type="lastCol">
      <w:rPr>
        <w:rFonts w:ascii="Tahoma" w:eastAsia="Times New Roman" w:hAnsi="Tahoma"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Shading-Accent12141">
    <w:name w:val="Light Shading - Accent 12141"/>
    <w:basedOn w:val="TableNormal"/>
    <w:uiPriority w:val="60"/>
    <w:rsid w:val="006D0778"/>
    <w:pPr>
      <w:spacing w:after="0" w:line="240" w:lineRule="auto"/>
    </w:pPr>
    <w:rPr>
      <w:rFonts w:ascii="Calibri" w:eastAsia="Calibri" w:hAnsi="Calibri" w:cs="Times New Roman"/>
      <w:color w:val="A8422A"/>
      <w:sz w:val="20"/>
      <w:szCs w:val="20"/>
      <w:lang w:val="en-GB" w:eastAsia="sr-Cyrl-CS"/>
    </w:rPr>
    <w:tblPr>
      <w:tblStyleRowBandSize w:val="1"/>
      <w:tblStyleColBandSize w:val="1"/>
      <w:tblBorders>
        <w:top w:val="single" w:sz="8" w:space="0" w:color="D16349"/>
        <w:bottom w:val="single" w:sz="8" w:space="0" w:color="D16349"/>
      </w:tblBorders>
    </w:tblPr>
    <w:tblStylePr w:type="fir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la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D8D2"/>
      </w:tcPr>
    </w:tblStylePr>
    <w:tblStylePr w:type="band1Horz">
      <w:tblPr/>
      <w:tcPr>
        <w:tcBorders>
          <w:left w:val="nil"/>
          <w:right w:val="nil"/>
          <w:insideH w:val="nil"/>
          <w:insideV w:val="nil"/>
        </w:tcBorders>
        <w:shd w:val="clear" w:color="auto" w:fill="F3D8D2"/>
      </w:tcPr>
    </w:tblStylePr>
  </w:style>
  <w:style w:type="table" w:customStyle="1" w:styleId="LightList-Accent311241">
    <w:name w:val="Light List - Accent 311241"/>
    <w:basedOn w:val="TableNormal"/>
    <w:next w:val="LightList-Accent3"/>
    <w:uiPriority w:val="61"/>
    <w:rsid w:val="006D0778"/>
    <w:pPr>
      <w:spacing w:after="0" w:line="240" w:lineRule="auto"/>
    </w:pPr>
    <w:rPr>
      <w:rFonts w:ascii="Constantia" w:eastAsia="Constantia" w:hAnsi="Constantia" w:cs="Times New Roman"/>
      <w:sz w:val="20"/>
      <w:szCs w:val="20"/>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Shading-Accent11241">
    <w:name w:val="Light Shading - Accent 11241"/>
    <w:basedOn w:val="TableNormal"/>
    <w:uiPriority w:val="60"/>
    <w:rsid w:val="006D0778"/>
    <w:pPr>
      <w:spacing w:after="0" w:line="240" w:lineRule="auto"/>
      <w:ind w:left="568" w:hanging="284"/>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341">
    <w:name w:val="Light Shading - Accent 11341"/>
    <w:basedOn w:val="TableNormal"/>
    <w:uiPriority w:val="60"/>
    <w:rsid w:val="006D0778"/>
    <w:pPr>
      <w:spacing w:after="0" w:line="240" w:lineRule="auto"/>
      <w:ind w:left="568" w:hanging="284"/>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tabele3241">
    <w:name w:val="tabele 3241"/>
    <w:basedOn w:val="TableNormal"/>
    <w:next w:val="LightList-Accent3"/>
    <w:uiPriority w:val="61"/>
    <w:rsid w:val="006D0778"/>
    <w:pPr>
      <w:spacing w:after="0" w:line="240" w:lineRule="auto"/>
    </w:pPr>
    <w:rPr>
      <w:rFonts w:ascii="Cambria Math" w:eastAsia="Calibri" w:hAnsi="Cambria Math" w:cs="Times New Roman"/>
      <w:sz w:val="18"/>
      <w:szCs w:val="20"/>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LightShading-Accent11441">
    <w:name w:val="Light Shading - Accent 11441"/>
    <w:basedOn w:val="TableNormal"/>
    <w:uiPriority w:val="60"/>
    <w:rsid w:val="006D0778"/>
    <w:pPr>
      <w:spacing w:after="0" w:line="240" w:lineRule="auto"/>
      <w:ind w:left="568" w:hanging="284"/>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3391">
    <w:name w:val="Light Shading - Accent 3391"/>
    <w:basedOn w:val="TableNormal"/>
    <w:next w:val="LightShading-Accent3"/>
    <w:uiPriority w:val="60"/>
    <w:rsid w:val="006D0778"/>
    <w:pPr>
      <w:spacing w:after="0" w:line="240" w:lineRule="auto"/>
    </w:pPr>
    <w:rPr>
      <w:rFonts w:ascii="Calibri" w:eastAsia="Calibri" w:hAnsi="Calibri" w:cs="Times New Roman"/>
      <w:color w:val="76923C"/>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Shading-Accent31241">
    <w:name w:val="Light Shading - Accent 31241"/>
    <w:basedOn w:val="TableNormal"/>
    <w:next w:val="LightShading-Accent3"/>
    <w:uiPriority w:val="60"/>
    <w:rsid w:val="006D0778"/>
    <w:pPr>
      <w:spacing w:after="0" w:line="240" w:lineRule="auto"/>
    </w:pPr>
    <w:rPr>
      <w:rFonts w:ascii="Constantia" w:eastAsia="Constantia" w:hAnsi="Constantia" w:cs="Times New Roman"/>
      <w:color w:val="8CADAE"/>
      <w:sz w:val="20"/>
      <w:szCs w:val="20"/>
    </w:rPr>
    <w:tblPr>
      <w:tblStyleRowBandSize w:val="1"/>
      <w:tblStyleColBandSize w:val="1"/>
      <w:tblBorders>
        <w:top w:val="single" w:sz="8" w:space="0" w:color="8CADAE"/>
        <w:bottom w:val="single" w:sz="8" w:space="0" w:color="8CADAE"/>
      </w:tblBorders>
    </w:tblPr>
    <w:tblStylePr w:type="fir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la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2EAEB"/>
      </w:tcPr>
    </w:tblStylePr>
    <w:tblStylePr w:type="band1Horz">
      <w:tblPr/>
      <w:tcPr>
        <w:tcBorders>
          <w:left w:val="nil"/>
          <w:right w:val="nil"/>
          <w:insideH w:val="nil"/>
          <w:insideV w:val="nil"/>
        </w:tcBorders>
        <w:shd w:val="clear" w:color="auto" w:fill="E2EAEB"/>
      </w:tcPr>
    </w:tblStylePr>
  </w:style>
  <w:style w:type="table" w:customStyle="1" w:styleId="LightList-Accent31341">
    <w:name w:val="Light List - Accent 31341"/>
    <w:basedOn w:val="TableNormal"/>
    <w:next w:val="LightList-Accent3"/>
    <w:uiPriority w:val="61"/>
    <w:rsid w:val="006D0778"/>
    <w:pPr>
      <w:spacing w:after="0" w:line="240" w:lineRule="auto"/>
    </w:pPr>
    <w:rPr>
      <w:rFonts w:ascii="Constantia" w:eastAsia="Constantia" w:hAnsi="Constantia" w:cs="Times New Roman"/>
      <w:sz w:val="20"/>
      <w:szCs w:val="20"/>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51241">
    <w:name w:val="Light List - Accent 51241"/>
    <w:basedOn w:val="TableNormal"/>
    <w:next w:val="LightList-Accent5"/>
    <w:uiPriority w:val="61"/>
    <w:rsid w:val="006D0778"/>
    <w:pPr>
      <w:spacing w:after="0" w:line="240" w:lineRule="auto"/>
    </w:pPr>
    <w:rPr>
      <w:rFonts w:ascii="Times New Roman" w:eastAsia="Constantia" w:hAnsi="Times New Roman" w:cs="Times New Roman"/>
      <w:sz w:val="20"/>
      <w:szCs w:val="20"/>
    </w:rPr>
    <w:tblPr>
      <w:tblStyleRowBandSize w:val="1"/>
      <w:tblStyleColBandSize w:val="1"/>
      <w:tblBorders>
        <w:top w:val="single" w:sz="8" w:space="0" w:color="8FB08C"/>
        <w:left w:val="single" w:sz="8" w:space="0" w:color="8FB08C"/>
        <w:bottom w:val="single" w:sz="8" w:space="0" w:color="8FB08C"/>
        <w:right w:val="single" w:sz="8" w:space="0" w:color="8FB08C"/>
      </w:tblBorders>
    </w:tblPr>
    <w:tblStylePr w:type="firstRow">
      <w:pPr>
        <w:spacing w:before="0" w:after="0" w:line="240" w:lineRule="auto"/>
      </w:pPr>
      <w:rPr>
        <w:b/>
        <w:bCs/>
        <w:color w:val="FFFFFF"/>
      </w:rPr>
      <w:tblPr/>
      <w:tcPr>
        <w:shd w:val="clear" w:color="auto" w:fill="8FB08C"/>
      </w:tcPr>
    </w:tblStylePr>
    <w:tblStylePr w:type="lastRow">
      <w:pPr>
        <w:spacing w:before="0" w:after="0" w:line="240" w:lineRule="auto"/>
      </w:pPr>
      <w:rPr>
        <w:b/>
        <w:bCs/>
      </w:rPr>
      <w:tblPr/>
      <w:tcPr>
        <w:tcBorders>
          <w:top w:val="double" w:sz="6" w:space="0" w:color="8FB08C"/>
          <w:left w:val="single" w:sz="8" w:space="0" w:color="8FB08C"/>
          <w:bottom w:val="single" w:sz="8" w:space="0" w:color="8FB08C"/>
          <w:right w:val="single" w:sz="8" w:space="0" w:color="8FB08C"/>
        </w:tcBorders>
      </w:tcPr>
    </w:tblStylePr>
    <w:tblStylePr w:type="firstCol">
      <w:rPr>
        <w:b/>
        <w:bCs/>
      </w:rPr>
    </w:tblStylePr>
    <w:tblStylePr w:type="lastCol">
      <w:rPr>
        <w:b/>
        <w:bCs/>
      </w:rPr>
    </w:tblStylePr>
    <w:tblStylePr w:type="band1Vert">
      <w:tblPr/>
      <w:tcPr>
        <w:tcBorders>
          <w:top w:val="single" w:sz="8" w:space="0" w:color="8FB08C"/>
          <w:left w:val="single" w:sz="8" w:space="0" w:color="8FB08C"/>
          <w:bottom w:val="single" w:sz="8" w:space="0" w:color="8FB08C"/>
          <w:right w:val="single" w:sz="8" w:space="0" w:color="8FB08C"/>
        </w:tcBorders>
      </w:tcPr>
    </w:tblStylePr>
    <w:tblStylePr w:type="band1Horz">
      <w:tblPr/>
      <w:tcPr>
        <w:tcBorders>
          <w:top w:val="single" w:sz="8" w:space="0" w:color="8FB08C"/>
          <w:left w:val="single" w:sz="8" w:space="0" w:color="8FB08C"/>
          <w:bottom w:val="single" w:sz="8" w:space="0" w:color="8FB08C"/>
          <w:right w:val="single" w:sz="8" w:space="0" w:color="8FB08C"/>
        </w:tcBorders>
      </w:tcPr>
    </w:tblStylePr>
  </w:style>
  <w:style w:type="table" w:customStyle="1" w:styleId="LightGrid-Accent51251">
    <w:name w:val="Light Grid - Accent 51251"/>
    <w:basedOn w:val="TableNormal"/>
    <w:next w:val="LightGrid-Accent5"/>
    <w:uiPriority w:val="62"/>
    <w:rsid w:val="006D0778"/>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onstantia" w:eastAsia="Times New Roman" w:hAnsi="Constant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onstantia" w:eastAsia="Times New Roman" w:hAnsi="Constant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onstantia" w:eastAsia="Times New Roman" w:hAnsi="Constantia" w:cs="Times New Roman"/>
        <w:b/>
        <w:bCs/>
      </w:rPr>
    </w:tblStylePr>
    <w:tblStylePr w:type="lastCol">
      <w:rPr>
        <w:rFonts w:ascii="Constantia" w:eastAsia="Times New Roman" w:hAnsi="Constant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5351">
    <w:name w:val="Light Grid - Accent 5351"/>
    <w:basedOn w:val="TableNormal"/>
    <w:next w:val="LightGrid-Accent5"/>
    <w:uiPriority w:val="62"/>
    <w:rsid w:val="006D0778"/>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Constantia" w:eastAsia="Times New Roman" w:hAnsi="Constantia"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Constantia" w:eastAsia="Times New Roman" w:hAnsi="Constantia"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Constantia" w:eastAsia="Times New Roman" w:hAnsi="Constantia" w:cs="Times New Roman"/>
        <w:b/>
        <w:bCs/>
      </w:rPr>
    </w:tblStylePr>
    <w:tblStylePr w:type="lastCol">
      <w:rPr>
        <w:rFonts w:ascii="Constantia" w:eastAsia="Times New Roman" w:hAnsi="Constantia"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Shading-Accent11541">
    <w:name w:val="Light Shading - Accent 11541"/>
    <w:basedOn w:val="TableNormal"/>
    <w:uiPriority w:val="60"/>
    <w:rsid w:val="006D0778"/>
    <w:pPr>
      <w:spacing w:after="0" w:line="240" w:lineRule="auto"/>
      <w:ind w:left="568" w:hanging="284"/>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651">
    <w:name w:val="Light Shading - Accent 11651"/>
    <w:basedOn w:val="TableNormal"/>
    <w:uiPriority w:val="60"/>
    <w:rsid w:val="006D0778"/>
    <w:pPr>
      <w:spacing w:after="0" w:line="240" w:lineRule="auto"/>
      <w:ind w:left="568" w:hanging="284"/>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tabele3341">
    <w:name w:val="tabele 3341"/>
    <w:basedOn w:val="TableNormal"/>
    <w:next w:val="LightList-Accent3"/>
    <w:uiPriority w:val="61"/>
    <w:rsid w:val="006D0778"/>
    <w:pPr>
      <w:spacing w:after="0" w:line="240" w:lineRule="auto"/>
    </w:pPr>
    <w:rPr>
      <w:rFonts w:ascii="Cambria Math" w:eastAsia="Calibri" w:hAnsi="Cambria Math" w:cs="Times New Roman"/>
      <w:sz w:val="18"/>
      <w:szCs w:val="20"/>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LightShading-Accent11741">
    <w:name w:val="Light Shading - Accent 11741"/>
    <w:basedOn w:val="TableNormal"/>
    <w:uiPriority w:val="60"/>
    <w:rsid w:val="006D0778"/>
    <w:pPr>
      <w:spacing w:after="0" w:line="240" w:lineRule="auto"/>
      <w:ind w:left="568" w:hanging="284"/>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31341">
    <w:name w:val="Light Shading - Accent 31341"/>
    <w:basedOn w:val="TableNormal"/>
    <w:next w:val="LightShading-Accent3"/>
    <w:uiPriority w:val="60"/>
    <w:rsid w:val="006D0778"/>
    <w:pPr>
      <w:spacing w:after="0" w:line="240" w:lineRule="auto"/>
    </w:pPr>
    <w:rPr>
      <w:rFonts w:ascii="Constantia" w:eastAsia="Constantia" w:hAnsi="Constantia" w:cs="Times New Roman"/>
      <w:color w:val="8CADAE"/>
      <w:sz w:val="20"/>
      <w:szCs w:val="20"/>
    </w:rPr>
    <w:tblPr>
      <w:tblStyleRowBandSize w:val="1"/>
      <w:tblStyleColBandSize w:val="1"/>
      <w:tblBorders>
        <w:top w:val="single" w:sz="8" w:space="0" w:color="8CADAE"/>
        <w:bottom w:val="single" w:sz="8" w:space="0" w:color="8CADAE"/>
      </w:tblBorders>
    </w:tblPr>
    <w:tblStylePr w:type="fir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lastRow">
      <w:pPr>
        <w:spacing w:before="0" w:after="0" w:line="240" w:lineRule="auto"/>
      </w:pPr>
      <w:rPr>
        <w:b/>
        <w:bCs/>
      </w:rPr>
      <w:tblPr/>
      <w:tcPr>
        <w:tcBorders>
          <w:top w:val="single" w:sz="8" w:space="0" w:color="8CADAE"/>
          <w:left w:val="nil"/>
          <w:bottom w:val="single" w:sz="8" w:space="0" w:color="8CADAE"/>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2EAEB"/>
      </w:tcPr>
    </w:tblStylePr>
    <w:tblStylePr w:type="band1Horz">
      <w:tblPr/>
      <w:tcPr>
        <w:tcBorders>
          <w:left w:val="nil"/>
          <w:right w:val="nil"/>
          <w:insideH w:val="nil"/>
          <w:insideV w:val="nil"/>
        </w:tcBorders>
        <w:shd w:val="clear" w:color="auto" w:fill="E2EAEB"/>
      </w:tcPr>
    </w:tblStylePr>
  </w:style>
  <w:style w:type="table" w:customStyle="1" w:styleId="LightList-Accent31441">
    <w:name w:val="Light List - Accent 31441"/>
    <w:basedOn w:val="TableNormal"/>
    <w:next w:val="LightList-Accent3"/>
    <w:uiPriority w:val="61"/>
    <w:rsid w:val="006D0778"/>
    <w:pPr>
      <w:spacing w:after="0" w:line="240" w:lineRule="auto"/>
    </w:pPr>
    <w:rPr>
      <w:rFonts w:ascii="Constantia" w:eastAsia="Constantia" w:hAnsi="Constantia" w:cs="Times New Roman"/>
      <w:sz w:val="20"/>
      <w:szCs w:val="20"/>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List-Accent51341">
    <w:name w:val="Light List - Accent 51341"/>
    <w:basedOn w:val="TableNormal"/>
    <w:next w:val="LightList-Accent5"/>
    <w:uiPriority w:val="61"/>
    <w:rsid w:val="006D0778"/>
    <w:pPr>
      <w:spacing w:after="0" w:line="240" w:lineRule="auto"/>
    </w:pPr>
    <w:rPr>
      <w:rFonts w:ascii="Times New Roman" w:eastAsia="Constantia" w:hAnsi="Times New Roman" w:cs="Times New Roman"/>
      <w:sz w:val="20"/>
      <w:szCs w:val="20"/>
    </w:rPr>
    <w:tblPr>
      <w:tblStyleRowBandSize w:val="1"/>
      <w:tblStyleColBandSize w:val="1"/>
      <w:tblBorders>
        <w:top w:val="single" w:sz="8" w:space="0" w:color="8FB08C"/>
        <w:left w:val="single" w:sz="8" w:space="0" w:color="8FB08C"/>
        <w:bottom w:val="single" w:sz="8" w:space="0" w:color="8FB08C"/>
        <w:right w:val="single" w:sz="8" w:space="0" w:color="8FB08C"/>
      </w:tblBorders>
    </w:tblPr>
    <w:tblStylePr w:type="firstRow">
      <w:pPr>
        <w:spacing w:before="0" w:after="0" w:line="240" w:lineRule="auto"/>
      </w:pPr>
      <w:rPr>
        <w:b/>
        <w:bCs/>
        <w:color w:val="FFFFFF"/>
      </w:rPr>
      <w:tblPr/>
      <w:tcPr>
        <w:shd w:val="clear" w:color="auto" w:fill="8FB08C"/>
      </w:tcPr>
    </w:tblStylePr>
    <w:tblStylePr w:type="lastRow">
      <w:pPr>
        <w:spacing w:before="0" w:after="0" w:line="240" w:lineRule="auto"/>
      </w:pPr>
      <w:rPr>
        <w:b/>
        <w:bCs/>
      </w:rPr>
      <w:tblPr/>
      <w:tcPr>
        <w:tcBorders>
          <w:top w:val="double" w:sz="6" w:space="0" w:color="8FB08C"/>
          <w:left w:val="single" w:sz="8" w:space="0" w:color="8FB08C"/>
          <w:bottom w:val="single" w:sz="8" w:space="0" w:color="8FB08C"/>
          <w:right w:val="single" w:sz="8" w:space="0" w:color="8FB08C"/>
        </w:tcBorders>
      </w:tcPr>
    </w:tblStylePr>
    <w:tblStylePr w:type="firstCol">
      <w:rPr>
        <w:b/>
        <w:bCs/>
      </w:rPr>
    </w:tblStylePr>
    <w:tblStylePr w:type="lastCol">
      <w:rPr>
        <w:b/>
        <w:bCs/>
      </w:rPr>
    </w:tblStylePr>
    <w:tblStylePr w:type="band1Vert">
      <w:tblPr/>
      <w:tcPr>
        <w:tcBorders>
          <w:top w:val="single" w:sz="8" w:space="0" w:color="8FB08C"/>
          <w:left w:val="single" w:sz="8" w:space="0" w:color="8FB08C"/>
          <w:bottom w:val="single" w:sz="8" w:space="0" w:color="8FB08C"/>
          <w:right w:val="single" w:sz="8" w:space="0" w:color="8FB08C"/>
        </w:tcBorders>
      </w:tcPr>
    </w:tblStylePr>
    <w:tblStylePr w:type="band1Horz">
      <w:tblPr/>
      <w:tcPr>
        <w:tcBorders>
          <w:top w:val="single" w:sz="8" w:space="0" w:color="8FB08C"/>
          <w:left w:val="single" w:sz="8" w:space="0" w:color="8FB08C"/>
          <w:bottom w:val="single" w:sz="8" w:space="0" w:color="8FB08C"/>
          <w:right w:val="single" w:sz="8" w:space="0" w:color="8FB08C"/>
        </w:tcBorders>
      </w:tcPr>
    </w:tblStylePr>
  </w:style>
  <w:style w:type="table" w:customStyle="1" w:styleId="LightGrid-Accent51351">
    <w:name w:val="Light Grid - Accent 51351"/>
    <w:basedOn w:val="TableNormal"/>
    <w:next w:val="LightGrid-Accent5"/>
    <w:uiPriority w:val="62"/>
    <w:rsid w:val="006D0778"/>
    <w:pPr>
      <w:spacing w:after="0" w:line="240" w:lineRule="auto"/>
    </w:pPr>
    <w:rPr>
      <w:rFonts w:ascii="Calibri" w:eastAsia="Calibri" w:hAnsi="Calibri" w:cs="Times New Roman"/>
      <w:sz w:val="20"/>
      <w:szCs w:val="20"/>
      <w:lang w:val="sr-Latn-CS" w:eastAsia="en-GB"/>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onstantia" w:eastAsia="Times New Roman" w:hAnsi="Constant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onstantia" w:eastAsia="Times New Roman" w:hAnsi="Constant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onstantia" w:eastAsia="Times New Roman" w:hAnsi="Constantia" w:cs="Times New Roman"/>
        <w:b/>
        <w:bCs/>
      </w:rPr>
    </w:tblStylePr>
    <w:tblStylePr w:type="lastCol">
      <w:rPr>
        <w:rFonts w:ascii="Constantia" w:eastAsia="Times New Roman" w:hAnsi="Constant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5451">
    <w:name w:val="Light Grid - Accent 5451"/>
    <w:basedOn w:val="TableNormal"/>
    <w:next w:val="LightGrid-Accent5"/>
    <w:uiPriority w:val="62"/>
    <w:rsid w:val="006D0778"/>
    <w:pPr>
      <w:spacing w:after="0" w:line="240" w:lineRule="auto"/>
    </w:pPr>
    <w:rPr>
      <w:rFonts w:ascii="Calibri" w:eastAsia="Calibri" w:hAnsi="Calibri" w:cs="Times New Roman"/>
      <w:sz w:val="20"/>
      <w:szCs w:val="20"/>
      <w:lang w:val="en-GB" w:eastAsia="en-GB"/>
    </w:rPr>
    <w:tblPr>
      <w:tblStyleRowBandSize w:val="1"/>
      <w:tblStyleColBandSize w:val="1"/>
      <w:tblBorders>
        <w:top w:val="single" w:sz="8" w:space="0" w:color="8FB08C"/>
        <w:left w:val="single" w:sz="8" w:space="0" w:color="8FB08C"/>
        <w:bottom w:val="single" w:sz="8" w:space="0" w:color="8FB08C"/>
        <w:right w:val="single" w:sz="8" w:space="0" w:color="8FB08C"/>
        <w:insideH w:val="single" w:sz="8" w:space="0" w:color="8FB08C"/>
        <w:insideV w:val="single" w:sz="8" w:space="0" w:color="8FB08C"/>
      </w:tblBorders>
    </w:tblPr>
    <w:tblStylePr w:type="firstRow">
      <w:pPr>
        <w:spacing w:before="0" w:after="0" w:line="240" w:lineRule="auto"/>
      </w:pPr>
      <w:rPr>
        <w:rFonts w:ascii="Constantia" w:eastAsia="Times New Roman" w:hAnsi="Constantia" w:cs="Times New Roman"/>
        <w:b/>
        <w:bCs/>
      </w:rPr>
      <w:tblPr/>
      <w:tcPr>
        <w:tcBorders>
          <w:top w:val="single" w:sz="8" w:space="0" w:color="8FB08C"/>
          <w:left w:val="single" w:sz="8" w:space="0" w:color="8FB08C"/>
          <w:bottom w:val="single" w:sz="18" w:space="0" w:color="8FB08C"/>
          <w:right w:val="single" w:sz="8" w:space="0" w:color="8FB08C"/>
          <w:insideH w:val="nil"/>
          <w:insideV w:val="single" w:sz="8" w:space="0" w:color="8FB08C"/>
        </w:tcBorders>
      </w:tcPr>
    </w:tblStylePr>
    <w:tblStylePr w:type="lastRow">
      <w:pPr>
        <w:spacing w:before="0" w:after="0" w:line="240" w:lineRule="auto"/>
      </w:pPr>
      <w:rPr>
        <w:rFonts w:ascii="Constantia" w:eastAsia="Times New Roman" w:hAnsi="Constantia" w:cs="Times New Roman"/>
        <w:b/>
        <w:bCs/>
      </w:rPr>
      <w:tblPr/>
      <w:tcPr>
        <w:tcBorders>
          <w:top w:val="double" w:sz="6" w:space="0" w:color="8FB08C"/>
          <w:left w:val="single" w:sz="8" w:space="0" w:color="8FB08C"/>
          <w:bottom w:val="single" w:sz="8" w:space="0" w:color="8FB08C"/>
          <w:right w:val="single" w:sz="8" w:space="0" w:color="8FB08C"/>
          <w:insideH w:val="nil"/>
          <w:insideV w:val="single" w:sz="8" w:space="0" w:color="8FB08C"/>
        </w:tcBorders>
      </w:tcPr>
    </w:tblStylePr>
    <w:tblStylePr w:type="firstCol">
      <w:rPr>
        <w:rFonts w:ascii="Constantia" w:eastAsia="Times New Roman" w:hAnsi="Constantia" w:cs="Times New Roman"/>
        <w:b/>
        <w:bCs/>
      </w:rPr>
    </w:tblStylePr>
    <w:tblStylePr w:type="lastCol">
      <w:rPr>
        <w:rFonts w:ascii="Constantia" w:eastAsia="Times New Roman" w:hAnsi="Constantia" w:cs="Times New Roman"/>
        <w:b/>
        <w:bCs/>
      </w:rPr>
      <w:tblPr/>
      <w:tcPr>
        <w:tcBorders>
          <w:top w:val="single" w:sz="8" w:space="0" w:color="8FB08C"/>
          <w:left w:val="single" w:sz="8" w:space="0" w:color="8FB08C"/>
          <w:bottom w:val="single" w:sz="8" w:space="0" w:color="8FB08C"/>
          <w:right w:val="single" w:sz="8" w:space="0" w:color="8FB08C"/>
        </w:tcBorders>
      </w:tcPr>
    </w:tblStylePr>
    <w:tblStylePr w:type="band1Vert">
      <w:tblPr/>
      <w:tcPr>
        <w:tcBorders>
          <w:top w:val="single" w:sz="8" w:space="0" w:color="8FB08C"/>
          <w:left w:val="single" w:sz="8" w:space="0" w:color="8FB08C"/>
          <w:bottom w:val="single" w:sz="8" w:space="0" w:color="8FB08C"/>
          <w:right w:val="single" w:sz="8" w:space="0" w:color="8FB08C"/>
        </w:tcBorders>
        <w:shd w:val="clear" w:color="auto" w:fill="E3EBE2"/>
      </w:tcPr>
    </w:tblStylePr>
    <w:tblStylePr w:type="band1Horz">
      <w:tblPr/>
      <w:tcPr>
        <w:tcBorders>
          <w:top w:val="single" w:sz="8" w:space="0" w:color="8FB08C"/>
          <w:left w:val="single" w:sz="8" w:space="0" w:color="8FB08C"/>
          <w:bottom w:val="single" w:sz="8" w:space="0" w:color="8FB08C"/>
          <w:right w:val="single" w:sz="8" w:space="0" w:color="8FB08C"/>
          <w:insideV w:val="single" w:sz="8" w:space="0" w:color="8FB08C"/>
        </w:tcBorders>
        <w:shd w:val="clear" w:color="auto" w:fill="E3EBE2"/>
      </w:tcPr>
    </w:tblStylePr>
    <w:tblStylePr w:type="band2Horz">
      <w:tblPr/>
      <w:tcPr>
        <w:tcBorders>
          <w:top w:val="single" w:sz="8" w:space="0" w:color="8FB08C"/>
          <w:left w:val="single" w:sz="8" w:space="0" w:color="8FB08C"/>
          <w:bottom w:val="single" w:sz="8" w:space="0" w:color="8FB08C"/>
          <w:right w:val="single" w:sz="8" w:space="0" w:color="8FB08C"/>
          <w:insideV w:val="single" w:sz="8" w:space="0" w:color="8FB08C"/>
        </w:tcBorders>
      </w:tcPr>
    </w:tblStylePr>
  </w:style>
  <w:style w:type="table" w:customStyle="1" w:styleId="LightList-Accent311341">
    <w:name w:val="Light List - Accent 311341"/>
    <w:basedOn w:val="TableNormal"/>
    <w:next w:val="LightList-Accent3"/>
    <w:uiPriority w:val="61"/>
    <w:rsid w:val="006D0778"/>
    <w:pPr>
      <w:spacing w:after="0" w:line="240" w:lineRule="auto"/>
    </w:pPr>
    <w:rPr>
      <w:rFonts w:ascii="Constantia" w:eastAsia="Constantia" w:hAnsi="Constantia" w:cs="Times New Roman"/>
      <w:sz w:val="20"/>
      <w:szCs w:val="20"/>
    </w:rPr>
    <w:tblPr>
      <w:tblStyleRowBandSize w:val="1"/>
      <w:tblStyleColBandSize w:val="1"/>
      <w:tblBorders>
        <w:top w:val="single" w:sz="8" w:space="0" w:color="8CADAE"/>
        <w:left w:val="single" w:sz="8" w:space="0" w:color="8CADAE"/>
        <w:bottom w:val="single" w:sz="8" w:space="0" w:color="8CADAE"/>
        <w:right w:val="single" w:sz="8" w:space="0" w:color="8CADAE"/>
      </w:tblBorders>
    </w:tblPr>
    <w:tblStylePr w:type="firstRow">
      <w:pPr>
        <w:spacing w:before="0" w:after="0" w:line="240" w:lineRule="auto"/>
      </w:pPr>
      <w:rPr>
        <w:b/>
        <w:bCs/>
        <w:color w:val="FFFFFF"/>
      </w:rPr>
      <w:tblPr/>
      <w:tcPr>
        <w:shd w:val="clear" w:color="auto" w:fill="8CADAE"/>
      </w:tcPr>
    </w:tblStylePr>
    <w:tblStylePr w:type="lastRow">
      <w:pPr>
        <w:spacing w:before="0" w:after="0" w:line="240" w:lineRule="auto"/>
      </w:pPr>
      <w:rPr>
        <w:b/>
        <w:bCs/>
      </w:rPr>
      <w:tblPr/>
      <w:tcPr>
        <w:tcBorders>
          <w:top w:val="double" w:sz="6" w:space="0" w:color="8CADAE"/>
          <w:left w:val="single" w:sz="8" w:space="0" w:color="8CADAE"/>
          <w:bottom w:val="single" w:sz="8" w:space="0" w:color="8CADAE"/>
          <w:right w:val="single" w:sz="8" w:space="0" w:color="8CADAE"/>
        </w:tcBorders>
      </w:tcPr>
    </w:tblStylePr>
    <w:tblStylePr w:type="firstCol">
      <w:rPr>
        <w:b/>
        <w:bCs/>
      </w:rPr>
    </w:tblStylePr>
    <w:tblStylePr w:type="lastCol">
      <w:rPr>
        <w:b/>
        <w:bCs/>
      </w:rPr>
    </w:tblStylePr>
    <w:tblStylePr w:type="band1Vert">
      <w:tblPr/>
      <w:tcPr>
        <w:tcBorders>
          <w:top w:val="single" w:sz="8" w:space="0" w:color="8CADAE"/>
          <w:left w:val="single" w:sz="8" w:space="0" w:color="8CADAE"/>
          <w:bottom w:val="single" w:sz="8" w:space="0" w:color="8CADAE"/>
          <w:right w:val="single" w:sz="8" w:space="0" w:color="8CADAE"/>
        </w:tcBorders>
      </w:tcPr>
    </w:tblStylePr>
    <w:tblStylePr w:type="band1Horz">
      <w:tblPr/>
      <w:tcPr>
        <w:tcBorders>
          <w:top w:val="single" w:sz="8" w:space="0" w:color="8CADAE"/>
          <w:left w:val="single" w:sz="8" w:space="0" w:color="8CADAE"/>
          <w:bottom w:val="single" w:sz="8" w:space="0" w:color="8CADAE"/>
          <w:right w:val="single" w:sz="8" w:space="0" w:color="8CADAE"/>
        </w:tcBorders>
      </w:tcPr>
    </w:tblStylePr>
  </w:style>
  <w:style w:type="table" w:customStyle="1" w:styleId="LightShading-Accent11841">
    <w:name w:val="Light Shading - Accent 11841"/>
    <w:basedOn w:val="TableNormal"/>
    <w:uiPriority w:val="60"/>
    <w:rsid w:val="006D0778"/>
    <w:pPr>
      <w:spacing w:after="0" w:line="240" w:lineRule="auto"/>
      <w:ind w:left="568" w:hanging="284"/>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6141">
    <w:name w:val="Light Shading - Accent 116141"/>
    <w:basedOn w:val="TableNormal"/>
    <w:uiPriority w:val="60"/>
    <w:rsid w:val="006D0778"/>
    <w:pPr>
      <w:spacing w:after="0" w:line="240" w:lineRule="auto"/>
      <w:ind w:left="568" w:hanging="284"/>
    </w:pPr>
    <w:rPr>
      <w:rFonts w:ascii="Calibri" w:eastAsia="Calibri" w:hAnsi="Calibri"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71">
    <w:name w:val="Light Shading - Accent 171"/>
    <w:basedOn w:val="TableNormal"/>
    <w:next w:val="LightShading-Accent1"/>
    <w:uiPriority w:val="60"/>
    <w:rsid w:val="006D0778"/>
    <w:pPr>
      <w:spacing w:after="0" w:line="240" w:lineRule="auto"/>
    </w:pPr>
    <w:rPr>
      <w:rFonts w:ascii="Constantia" w:eastAsia="Constantia" w:hAnsi="Constantia"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numbering" w:customStyle="1" w:styleId="NoList61">
    <w:name w:val="No List61"/>
    <w:next w:val="NoList"/>
    <w:uiPriority w:val="99"/>
    <w:semiHidden/>
    <w:unhideWhenUsed/>
    <w:rsid w:val="006D0778"/>
  </w:style>
  <w:style w:type="table" w:customStyle="1" w:styleId="TableGrid331">
    <w:name w:val="Table Grid331"/>
    <w:basedOn w:val="TableNormal"/>
    <w:next w:val="TableGrid"/>
    <w:uiPriority w:val="39"/>
    <w:rsid w:val="006D0778"/>
    <w:pPr>
      <w:spacing w:after="0" w:line="240" w:lineRule="auto"/>
    </w:pPr>
    <w:rPr>
      <w:rFonts w:ascii="Constantia" w:eastAsia="Constantia" w:hAnsi="Constantia"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6Colorful-Accent5171">
    <w:name w:val="Grid Table 6 Colorful - Accent 5171"/>
    <w:basedOn w:val="TableNormal"/>
    <w:uiPriority w:val="51"/>
    <w:rsid w:val="006D0778"/>
    <w:pPr>
      <w:spacing w:after="0" w:line="240" w:lineRule="auto"/>
    </w:pPr>
    <w:rPr>
      <w:rFonts w:ascii="Constantia" w:eastAsia="Constantia" w:hAnsi="Constantia" w:cs="Times New Roman"/>
      <w:color w:val="2F5496" w:themeColor="accent5" w:themeShade="BF"/>
      <w:sz w:val="20"/>
      <w:szCs w:val="20"/>
    </w:r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4" w:space="0" w:color="8EAADB" w:themeColor="accent5" w:themeTint="99"/>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customStyle="1" w:styleId="GridTable7Colorful11">
    <w:name w:val="Grid Table 7 Colorful11"/>
    <w:basedOn w:val="TableNormal"/>
    <w:uiPriority w:val="52"/>
    <w:rsid w:val="006D0778"/>
    <w:pPr>
      <w:spacing w:after="0" w:line="240" w:lineRule="auto"/>
    </w:pPr>
    <w:rPr>
      <w:rFonts w:ascii="Constantia" w:eastAsia="Constantia" w:hAnsi="Constantia" w:cs="Times New Roman"/>
      <w:color w:val="000000" w:themeColor="text1"/>
      <w:sz w:val="20"/>
      <w:szCs w:val="20"/>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customStyle="1" w:styleId="PlainTable311">
    <w:name w:val="Plain Table 311"/>
    <w:basedOn w:val="TableNormal"/>
    <w:uiPriority w:val="43"/>
    <w:rsid w:val="006D0778"/>
    <w:pPr>
      <w:spacing w:after="0" w:line="240" w:lineRule="auto"/>
    </w:pPr>
    <w:rPr>
      <w:rFonts w:ascii="Constantia" w:eastAsia="Constantia" w:hAnsi="Constantia" w:cs="Times New Roman"/>
      <w:sz w:val="20"/>
      <w:szCs w:val="20"/>
    </w:r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customStyle="1" w:styleId="PlainTable511">
    <w:name w:val="Plain Table 511"/>
    <w:basedOn w:val="TableNormal"/>
    <w:uiPriority w:val="45"/>
    <w:rsid w:val="006D0778"/>
    <w:pPr>
      <w:spacing w:after="0" w:line="240" w:lineRule="auto"/>
    </w:pPr>
    <w:rPr>
      <w:rFonts w:ascii="Constantia" w:eastAsia="Constantia" w:hAnsi="Constantia" w:cs="Times New Roman"/>
      <w:sz w:val="20"/>
      <w:szCs w:val="20"/>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GridTable7Colorful-Accent311">
    <w:name w:val="Grid Table 7 Colorful - Accent 311"/>
    <w:basedOn w:val="TableNormal"/>
    <w:uiPriority w:val="52"/>
    <w:rsid w:val="006D0778"/>
    <w:pPr>
      <w:spacing w:after="0" w:line="240" w:lineRule="auto"/>
    </w:pPr>
    <w:rPr>
      <w:rFonts w:ascii="Constantia" w:eastAsia="Constantia" w:hAnsi="Constantia" w:cs="Times New Roman"/>
      <w:color w:val="7B7B7B" w:themeColor="accent3" w:themeShade="BF"/>
      <w:sz w:val="20"/>
      <w:szCs w:val="20"/>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DEDED" w:themeFill="accent3" w:themeFillTint="33"/>
      </w:tcPr>
    </w:tblStylePr>
    <w:tblStylePr w:type="band1Horz">
      <w:tblPr/>
      <w:tcPr>
        <w:shd w:val="clear" w:color="auto" w:fill="EDEDED" w:themeFill="accent3" w:themeFillTint="33"/>
      </w:tcPr>
    </w:tblStylePr>
    <w:tblStylePr w:type="neCell">
      <w:tblPr/>
      <w:tcPr>
        <w:tcBorders>
          <w:bottom w:val="single" w:sz="4" w:space="0" w:color="C9C9C9" w:themeColor="accent3" w:themeTint="99"/>
        </w:tcBorders>
      </w:tcPr>
    </w:tblStylePr>
    <w:tblStylePr w:type="nwCell">
      <w:tblPr/>
      <w:tcPr>
        <w:tcBorders>
          <w:bottom w:val="single" w:sz="4" w:space="0" w:color="C9C9C9" w:themeColor="accent3" w:themeTint="99"/>
        </w:tcBorders>
      </w:tcPr>
    </w:tblStylePr>
    <w:tblStylePr w:type="seCell">
      <w:tblPr/>
      <w:tcPr>
        <w:tcBorders>
          <w:top w:val="single" w:sz="4" w:space="0" w:color="C9C9C9" w:themeColor="accent3" w:themeTint="99"/>
        </w:tcBorders>
      </w:tcPr>
    </w:tblStylePr>
    <w:tblStylePr w:type="swCell">
      <w:tblPr/>
      <w:tcPr>
        <w:tcBorders>
          <w:top w:val="single" w:sz="4" w:space="0" w:color="C9C9C9" w:themeColor="accent3" w:themeTint="99"/>
        </w:tcBorders>
      </w:tcPr>
    </w:tblStylePr>
  </w:style>
  <w:style w:type="table" w:customStyle="1" w:styleId="GridTable211">
    <w:name w:val="Grid Table 211"/>
    <w:basedOn w:val="TableNormal"/>
    <w:uiPriority w:val="47"/>
    <w:rsid w:val="006D0778"/>
    <w:pPr>
      <w:spacing w:after="0" w:line="240" w:lineRule="auto"/>
    </w:pPr>
    <w:rPr>
      <w:rFonts w:ascii="Constantia" w:eastAsia="Constantia" w:hAnsi="Constantia" w:cs="Times New Roman"/>
      <w:sz w:val="20"/>
      <w:szCs w:val="20"/>
    </w:r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numbering" w:customStyle="1" w:styleId="NoList71">
    <w:name w:val="No List71"/>
    <w:next w:val="NoList"/>
    <w:uiPriority w:val="99"/>
    <w:semiHidden/>
    <w:unhideWhenUsed/>
    <w:rsid w:val="006D0778"/>
  </w:style>
  <w:style w:type="table" w:customStyle="1" w:styleId="LightShading-Accent3531">
    <w:name w:val="Light Shading - Accent 3531"/>
    <w:basedOn w:val="TableNormal"/>
    <w:next w:val="LightShading-Accent3"/>
    <w:uiPriority w:val="60"/>
    <w:rsid w:val="006D0778"/>
    <w:pPr>
      <w:spacing w:after="0" w:line="240" w:lineRule="auto"/>
    </w:pPr>
    <w:rPr>
      <w:rFonts w:ascii="Calibri" w:eastAsia="Calibri" w:hAnsi="Calibri" w:cs="Times New Roman"/>
      <w:color w:val="76923C"/>
      <w:lang w:val="sr-Latn-RS"/>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211">
    <w:name w:val="211"/>
    <w:basedOn w:val="TableNormal"/>
    <w:rsid w:val="006D0778"/>
    <w:pPr>
      <w:contextualSpacing/>
    </w:pPr>
    <w:rPr>
      <w:rFonts w:ascii="Calibri" w:eastAsia="Calibri" w:hAnsi="Calibri" w:cs="Calibri"/>
      <w:color w:val="000000"/>
    </w:rPr>
    <w:tblPr>
      <w:tblStyleRowBandSize w:val="1"/>
      <w:tblStyleColBandSize w:val="1"/>
      <w:tblCellMar>
        <w:left w:w="115" w:type="dxa"/>
        <w:right w:w="115" w:type="dxa"/>
      </w:tblCellMar>
    </w:tblPr>
  </w:style>
  <w:style w:type="table" w:customStyle="1" w:styleId="201">
    <w:name w:val="201"/>
    <w:basedOn w:val="TableNormal"/>
    <w:rsid w:val="006D0778"/>
    <w:pPr>
      <w:spacing w:after="0" w:line="240" w:lineRule="auto"/>
    </w:pPr>
    <w:rPr>
      <w:rFonts w:ascii="Calibri" w:eastAsia="Calibri" w:hAnsi="Calibri" w:cs="Calibri"/>
      <w:color w:val="000000"/>
    </w:rPr>
    <w:tblPr>
      <w:tblStyleRowBandSize w:val="1"/>
      <w:tblStyleColBandSize w:val="1"/>
      <w:tblCellMar>
        <w:left w:w="115" w:type="dxa"/>
        <w:right w:w="115" w:type="dxa"/>
      </w:tblCellMar>
    </w:tblPr>
  </w:style>
  <w:style w:type="table" w:customStyle="1" w:styleId="191">
    <w:name w:val="191"/>
    <w:basedOn w:val="TableNormal"/>
    <w:rsid w:val="006D0778"/>
    <w:pPr>
      <w:contextualSpacing/>
    </w:pPr>
    <w:rPr>
      <w:rFonts w:ascii="Calibri" w:eastAsia="Calibri" w:hAnsi="Calibri" w:cs="Calibri"/>
      <w:color w:val="000000"/>
    </w:rPr>
    <w:tblPr>
      <w:tblStyleRowBandSize w:val="1"/>
      <w:tblStyleColBandSize w:val="1"/>
      <w:tblCellMar>
        <w:left w:w="115" w:type="dxa"/>
        <w:right w:w="115" w:type="dxa"/>
      </w:tblCellMar>
    </w:tblPr>
  </w:style>
  <w:style w:type="table" w:customStyle="1" w:styleId="181">
    <w:name w:val="181"/>
    <w:basedOn w:val="TableNormal"/>
    <w:rsid w:val="006D0778"/>
    <w:pPr>
      <w:contextualSpacing/>
    </w:pPr>
    <w:rPr>
      <w:rFonts w:ascii="Calibri" w:eastAsia="Calibri" w:hAnsi="Calibri" w:cs="Calibri"/>
      <w:color w:val="000000"/>
    </w:rPr>
    <w:tblPr>
      <w:tblStyleRowBandSize w:val="1"/>
      <w:tblStyleColBandSize w:val="1"/>
      <w:tblCellMar>
        <w:left w:w="115" w:type="dxa"/>
        <w:right w:w="115" w:type="dxa"/>
      </w:tblCellMar>
    </w:tblPr>
  </w:style>
  <w:style w:type="table" w:customStyle="1" w:styleId="171">
    <w:name w:val="171"/>
    <w:basedOn w:val="TableNormal"/>
    <w:rsid w:val="006D0778"/>
    <w:pPr>
      <w:contextualSpacing/>
    </w:pPr>
    <w:rPr>
      <w:rFonts w:ascii="Calibri" w:eastAsia="Calibri" w:hAnsi="Calibri" w:cs="Calibri"/>
      <w:color w:val="000000"/>
    </w:rPr>
    <w:tblPr>
      <w:tblStyleRowBandSize w:val="1"/>
      <w:tblStyleColBandSize w:val="1"/>
      <w:tblCellMar>
        <w:left w:w="115" w:type="dxa"/>
        <w:right w:w="115" w:type="dxa"/>
      </w:tblCellMar>
    </w:tblPr>
  </w:style>
  <w:style w:type="table" w:customStyle="1" w:styleId="161">
    <w:name w:val="161"/>
    <w:basedOn w:val="TableNormal"/>
    <w:rsid w:val="006D0778"/>
    <w:pPr>
      <w:contextualSpacing/>
    </w:pPr>
    <w:rPr>
      <w:rFonts w:ascii="Calibri" w:eastAsia="Calibri" w:hAnsi="Calibri" w:cs="Calibri"/>
      <w:color w:val="000000"/>
    </w:rPr>
    <w:tblPr>
      <w:tblStyleRowBandSize w:val="1"/>
      <w:tblStyleColBandSize w:val="1"/>
      <w:tblCellMar>
        <w:left w:w="115" w:type="dxa"/>
        <w:right w:w="115" w:type="dxa"/>
      </w:tblCellMar>
    </w:tblPr>
  </w:style>
  <w:style w:type="table" w:customStyle="1" w:styleId="151">
    <w:name w:val="151"/>
    <w:basedOn w:val="TableNormal"/>
    <w:rsid w:val="006D0778"/>
    <w:pPr>
      <w:contextualSpacing/>
    </w:pPr>
    <w:rPr>
      <w:rFonts w:ascii="Calibri" w:eastAsia="Calibri" w:hAnsi="Calibri" w:cs="Calibri"/>
      <w:color w:val="000000"/>
    </w:rPr>
    <w:tblPr>
      <w:tblStyleRowBandSize w:val="1"/>
      <w:tblStyleColBandSize w:val="1"/>
      <w:tblCellMar>
        <w:left w:w="115" w:type="dxa"/>
        <w:right w:w="115" w:type="dxa"/>
      </w:tblCellMar>
    </w:tblPr>
  </w:style>
  <w:style w:type="table" w:customStyle="1" w:styleId="141">
    <w:name w:val="141"/>
    <w:basedOn w:val="TableNormal"/>
    <w:rsid w:val="006D0778"/>
    <w:pPr>
      <w:contextualSpacing/>
    </w:pPr>
    <w:rPr>
      <w:rFonts w:ascii="Calibri" w:eastAsia="Calibri" w:hAnsi="Calibri" w:cs="Calibri"/>
      <w:color w:val="000000"/>
    </w:rPr>
    <w:tblPr>
      <w:tblStyleRowBandSize w:val="1"/>
      <w:tblStyleColBandSize w:val="1"/>
      <w:tblCellMar>
        <w:left w:w="115" w:type="dxa"/>
        <w:right w:w="115" w:type="dxa"/>
      </w:tblCellMar>
    </w:tblPr>
  </w:style>
  <w:style w:type="table" w:customStyle="1" w:styleId="131">
    <w:name w:val="131"/>
    <w:basedOn w:val="TableNormal"/>
    <w:rsid w:val="006D0778"/>
    <w:pPr>
      <w:contextualSpacing/>
    </w:pPr>
    <w:rPr>
      <w:rFonts w:ascii="Calibri" w:eastAsia="Calibri" w:hAnsi="Calibri" w:cs="Calibri"/>
      <w:color w:val="000000"/>
    </w:rPr>
    <w:tblPr>
      <w:tblStyleRowBandSize w:val="1"/>
      <w:tblStyleColBandSize w:val="1"/>
      <w:tblCellMar>
        <w:left w:w="115" w:type="dxa"/>
        <w:right w:w="115" w:type="dxa"/>
      </w:tblCellMar>
    </w:tblPr>
  </w:style>
  <w:style w:type="table" w:customStyle="1" w:styleId="1210">
    <w:name w:val="121"/>
    <w:basedOn w:val="TableNormal"/>
    <w:rsid w:val="006D0778"/>
    <w:pPr>
      <w:contextualSpacing/>
    </w:pPr>
    <w:rPr>
      <w:rFonts w:ascii="Calibri" w:eastAsia="Calibri" w:hAnsi="Calibri" w:cs="Calibri"/>
      <w:color w:val="000000"/>
    </w:rPr>
    <w:tblPr>
      <w:tblStyleRowBandSize w:val="1"/>
      <w:tblStyleColBandSize w:val="1"/>
      <w:tblCellMar>
        <w:left w:w="115" w:type="dxa"/>
        <w:right w:w="115" w:type="dxa"/>
      </w:tblCellMar>
    </w:tblPr>
  </w:style>
  <w:style w:type="table" w:customStyle="1" w:styleId="1116">
    <w:name w:val="111"/>
    <w:basedOn w:val="TableNormal"/>
    <w:rsid w:val="006D0778"/>
    <w:pPr>
      <w:contextualSpacing/>
    </w:pPr>
    <w:rPr>
      <w:rFonts w:ascii="Calibri" w:eastAsia="Calibri" w:hAnsi="Calibri" w:cs="Calibri"/>
      <w:color w:val="000000"/>
    </w:rPr>
    <w:tblPr>
      <w:tblStyleRowBandSize w:val="1"/>
      <w:tblStyleColBandSize w:val="1"/>
      <w:tblCellMar>
        <w:left w:w="115" w:type="dxa"/>
        <w:right w:w="115" w:type="dxa"/>
      </w:tblCellMar>
    </w:tblPr>
  </w:style>
  <w:style w:type="table" w:customStyle="1" w:styleId="101">
    <w:name w:val="101"/>
    <w:basedOn w:val="TableNormal"/>
    <w:rsid w:val="006D0778"/>
    <w:pPr>
      <w:contextualSpacing/>
    </w:pPr>
    <w:rPr>
      <w:rFonts w:ascii="Calibri" w:eastAsia="Calibri" w:hAnsi="Calibri" w:cs="Calibri"/>
      <w:color w:val="000000"/>
    </w:rPr>
    <w:tblPr>
      <w:tblStyleRowBandSize w:val="1"/>
      <w:tblStyleColBandSize w:val="1"/>
      <w:tblCellMar>
        <w:left w:w="115" w:type="dxa"/>
        <w:right w:w="115" w:type="dxa"/>
      </w:tblCellMar>
    </w:tblPr>
  </w:style>
  <w:style w:type="table" w:customStyle="1" w:styleId="91">
    <w:name w:val="91"/>
    <w:basedOn w:val="TableNormal"/>
    <w:rsid w:val="006D0778"/>
    <w:pPr>
      <w:contextualSpacing/>
    </w:pPr>
    <w:rPr>
      <w:rFonts w:ascii="Calibri" w:eastAsia="Calibri" w:hAnsi="Calibri" w:cs="Calibri"/>
      <w:color w:val="000000"/>
    </w:rPr>
    <w:tblPr>
      <w:tblStyleRowBandSize w:val="1"/>
      <w:tblStyleColBandSize w:val="1"/>
      <w:tblCellMar>
        <w:left w:w="115" w:type="dxa"/>
        <w:right w:w="115" w:type="dxa"/>
      </w:tblCellMar>
    </w:tblPr>
  </w:style>
  <w:style w:type="table" w:customStyle="1" w:styleId="81">
    <w:name w:val="81"/>
    <w:basedOn w:val="TableNormal"/>
    <w:rsid w:val="006D0778"/>
    <w:pPr>
      <w:contextualSpacing/>
    </w:pPr>
    <w:rPr>
      <w:rFonts w:ascii="Calibri" w:eastAsia="Calibri" w:hAnsi="Calibri" w:cs="Calibri"/>
      <w:color w:val="000000"/>
    </w:rPr>
    <w:tblPr>
      <w:tblStyleRowBandSize w:val="1"/>
      <w:tblStyleColBandSize w:val="1"/>
      <w:tblCellMar>
        <w:left w:w="115" w:type="dxa"/>
        <w:right w:w="115" w:type="dxa"/>
      </w:tblCellMar>
    </w:tblPr>
  </w:style>
  <w:style w:type="table" w:customStyle="1" w:styleId="71">
    <w:name w:val="71"/>
    <w:basedOn w:val="TableNormal"/>
    <w:rsid w:val="006D0778"/>
    <w:pPr>
      <w:contextualSpacing/>
    </w:pPr>
    <w:rPr>
      <w:rFonts w:ascii="Calibri" w:eastAsia="Calibri" w:hAnsi="Calibri" w:cs="Calibri"/>
      <w:color w:val="000000"/>
    </w:rPr>
    <w:tblPr>
      <w:tblStyleRowBandSize w:val="1"/>
      <w:tblStyleColBandSize w:val="1"/>
      <w:tblCellMar>
        <w:left w:w="115" w:type="dxa"/>
        <w:right w:w="115" w:type="dxa"/>
      </w:tblCellMar>
    </w:tblPr>
  </w:style>
  <w:style w:type="table" w:customStyle="1" w:styleId="61">
    <w:name w:val="61"/>
    <w:basedOn w:val="TableNormal"/>
    <w:rsid w:val="006D0778"/>
    <w:pPr>
      <w:contextualSpacing/>
    </w:pPr>
    <w:rPr>
      <w:rFonts w:ascii="Calibri" w:eastAsia="Calibri" w:hAnsi="Calibri" w:cs="Calibri"/>
      <w:color w:val="000000"/>
    </w:rPr>
    <w:tblPr>
      <w:tblStyleRowBandSize w:val="1"/>
      <w:tblStyleColBandSize w:val="1"/>
      <w:tblCellMar>
        <w:left w:w="115" w:type="dxa"/>
        <w:right w:w="115" w:type="dxa"/>
      </w:tblCellMar>
    </w:tblPr>
  </w:style>
  <w:style w:type="table" w:customStyle="1" w:styleId="51">
    <w:name w:val="51"/>
    <w:basedOn w:val="TableNormal"/>
    <w:rsid w:val="006D0778"/>
    <w:pPr>
      <w:contextualSpacing/>
    </w:pPr>
    <w:rPr>
      <w:rFonts w:ascii="Calibri" w:eastAsia="Calibri" w:hAnsi="Calibri" w:cs="Calibri"/>
      <w:color w:val="000000"/>
    </w:rPr>
    <w:tblPr>
      <w:tblStyleRowBandSize w:val="1"/>
      <w:tblStyleColBandSize w:val="1"/>
      <w:tblCellMar>
        <w:left w:w="115" w:type="dxa"/>
        <w:right w:w="115" w:type="dxa"/>
      </w:tblCellMar>
    </w:tblPr>
  </w:style>
  <w:style w:type="table" w:customStyle="1" w:styleId="41">
    <w:name w:val="41"/>
    <w:basedOn w:val="TableNormal"/>
    <w:rsid w:val="006D0778"/>
    <w:pPr>
      <w:contextualSpacing/>
    </w:pPr>
    <w:rPr>
      <w:rFonts w:ascii="Calibri" w:eastAsia="Calibri" w:hAnsi="Calibri" w:cs="Calibri"/>
      <w:color w:val="000000"/>
    </w:rPr>
    <w:tblPr>
      <w:tblStyleRowBandSize w:val="1"/>
      <w:tblStyleColBandSize w:val="1"/>
      <w:tblCellMar>
        <w:left w:w="115" w:type="dxa"/>
        <w:right w:w="115" w:type="dxa"/>
      </w:tblCellMar>
    </w:tblPr>
  </w:style>
  <w:style w:type="table" w:customStyle="1" w:styleId="310">
    <w:name w:val="31"/>
    <w:basedOn w:val="TableNormal"/>
    <w:rsid w:val="006D0778"/>
    <w:pPr>
      <w:contextualSpacing/>
    </w:pPr>
    <w:rPr>
      <w:rFonts w:ascii="Calibri" w:eastAsia="Calibri" w:hAnsi="Calibri" w:cs="Calibri"/>
      <w:color w:val="000000"/>
    </w:rPr>
    <w:tblPr>
      <w:tblStyleRowBandSize w:val="1"/>
      <w:tblStyleColBandSize w:val="1"/>
      <w:tblCellMar>
        <w:left w:w="115" w:type="dxa"/>
        <w:right w:w="115" w:type="dxa"/>
      </w:tblCellMar>
    </w:tblPr>
  </w:style>
  <w:style w:type="table" w:customStyle="1" w:styleId="220">
    <w:name w:val="22"/>
    <w:basedOn w:val="TableNormal"/>
    <w:rsid w:val="006D0778"/>
    <w:pPr>
      <w:contextualSpacing/>
    </w:pPr>
    <w:rPr>
      <w:rFonts w:ascii="Calibri" w:eastAsia="Calibri" w:hAnsi="Calibri" w:cs="Calibri"/>
      <w:color w:val="000000"/>
    </w:rPr>
    <w:tblPr>
      <w:tblStyleRowBandSize w:val="1"/>
      <w:tblStyleColBandSize w:val="1"/>
      <w:tblCellMar>
        <w:left w:w="115" w:type="dxa"/>
        <w:right w:w="115" w:type="dxa"/>
      </w:tblCellMar>
    </w:tblPr>
  </w:style>
  <w:style w:type="table" w:customStyle="1" w:styleId="1100">
    <w:name w:val="110"/>
    <w:basedOn w:val="TableNormal"/>
    <w:rsid w:val="006D0778"/>
    <w:pPr>
      <w:contextualSpacing/>
    </w:pPr>
    <w:rPr>
      <w:rFonts w:ascii="Calibri" w:eastAsia="Calibri" w:hAnsi="Calibri" w:cs="Calibri"/>
      <w:color w:val="000000"/>
    </w:rPr>
    <w:tblPr>
      <w:tblStyleRowBandSize w:val="1"/>
      <w:tblStyleColBandSize w:val="1"/>
      <w:tblCellMar>
        <w:left w:w="115" w:type="dxa"/>
        <w:right w:w="115" w:type="dxa"/>
      </w:tblCellMar>
    </w:tblPr>
  </w:style>
  <w:style w:type="table" w:customStyle="1" w:styleId="TableGrid411">
    <w:name w:val="Table Grid411"/>
    <w:basedOn w:val="TableNormal"/>
    <w:next w:val="TableGrid"/>
    <w:uiPriority w:val="39"/>
    <w:rsid w:val="006D0778"/>
    <w:pPr>
      <w:spacing w:after="0" w:line="240" w:lineRule="auto"/>
    </w:pPr>
    <w:rPr>
      <w:lang w:val="sr-Latn-R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11">
    <w:name w:val="Table Grid3111"/>
    <w:basedOn w:val="TableNormal"/>
    <w:next w:val="TableGrid"/>
    <w:uiPriority w:val="39"/>
    <w:rsid w:val="006D0778"/>
    <w:pPr>
      <w:spacing w:after="0" w:line="240" w:lineRule="auto"/>
    </w:pPr>
    <w:rPr>
      <w:rFonts w:ascii="Constantia" w:eastAsia="Constantia" w:hAnsi="Constantia"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5Dark-Accent551">
    <w:name w:val="Grid Table 5 Dark - Accent 551"/>
    <w:basedOn w:val="TableNormal"/>
    <w:uiPriority w:val="50"/>
    <w:rsid w:val="006D0778"/>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9E2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472C4"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472C4"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472C4"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472C4" w:themeFill="accent5"/>
      </w:tcPr>
    </w:tblStylePr>
    <w:tblStylePr w:type="band1Vert">
      <w:tblPr/>
      <w:tcPr>
        <w:shd w:val="clear" w:color="auto" w:fill="B4C6E7" w:themeFill="accent5" w:themeFillTint="66"/>
      </w:tcPr>
    </w:tblStylePr>
    <w:tblStylePr w:type="band1Horz">
      <w:tblPr/>
      <w:tcPr>
        <w:shd w:val="clear" w:color="auto" w:fill="B4C6E7" w:themeFill="accent5" w:themeFillTint="66"/>
      </w:tcPr>
    </w:tblStylePr>
  </w:style>
  <w:style w:type="table" w:customStyle="1" w:styleId="LightShading-Accent33511">
    <w:name w:val="Light Shading - Accent 33511"/>
    <w:basedOn w:val="TableNormal"/>
    <w:next w:val="LightShading-Accent3"/>
    <w:uiPriority w:val="60"/>
    <w:rsid w:val="006D0778"/>
    <w:pPr>
      <w:spacing w:after="0" w:line="240" w:lineRule="auto"/>
    </w:pPr>
    <w:rPr>
      <w:rFonts w:ascii="Arial" w:eastAsia="Calibri" w:hAnsi="Arial" w:cs="Times New Roman"/>
      <w:color w:val="474747"/>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stTable6Colorful-Accent621">
    <w:name w:val="List Table 6 Colorful - Accent 621"/>
    <w:basedOn w:val="TableNormal"/>
    <w:uiPriority w:val="51"/>
    <w:rsid w:val="006D0778"/>
    <w:pPr>
      <w:spacing w:after="0" w:line="240" w:lineRule="auto"/>
    </w:pPr>
    <w:rPr>
      <w:color w:val="538135" w:themeColor="accent6" w:themeShade="BF"/>
    </w:rPr>
    <w:tblPr>
      <w:tblStyleRowBandSize w:val="1"/>
      <w:tblStyleColBandSize w:val="1"/>
      <w:tblBorders>
        <w:top w:val="single" w:sz="4" w:space="0" w:color="70AD47" w:themeColor="accent6"/>
        <w:bottom w:val="single" w:sz="4" w:space="0" w:color="70AD47" w:themeColor="accent6"/>
      </w:tblBorders>
    </w:tblPr>
    <w:tblStylePr w:type="firstRow">
      <w:rPr>
        <w:b/>
        <w:bCs/>
      </w:rPr>
      <w:tblPr/>
      <w:tcPr>
        <w:tcBorders>
          <w:bottom w:val="single" w:sz="4" w:space="0" w:color="70AD47" w:themeColor="accent6"/>
        </w:tcBorders>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customStyle="1" w:styleId="GridTable1Light-Accent151">
    <w:name w:val="Grid Table 1 Light - Accent 151"/>
    <w:basedOn w:val="TableNormal"/>
    <w:uiPriority w:val="46"/>
    <w:rsid w:val="006D0778"/>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customStyle="1" w:styleId="TableGrid71">
    <w:name w:val="Table Grid71"/>
    <w:basedOn w:val="TableNormal"/>
    <w:next w:val="TableGrid"/>
    <w:uiPriority w:val="39"/>
    <w:rsid w:val="006D07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51">
    <w:name w:val="Table Grid151"/>
    <w:basedOn w:val="TableNormal"/>
    <w:next w:val="TableGrid"/>
    <w:uiPriority w:val="59"/>
    <w:rsid w:val="006D0778"/>
    <w:pPr>
      <w:spacing w:after="0" w:line="240" w:lineRule="auto"/>
    </w:pPr>
    <w:rPr>
      <w:rFonts w:ascii="Constantia" w:eastAsia="Constantia" w:hAnsi="Constantia" w:cs="Times New Roman"/>
      <w:lang w:val="sr-Cyrl-C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PlainTable411">
    <w:name w:val="Plain Table 411"/>
    <w:basedOn w:val="TableNormal"/>
    <w:uiPriority w:val="44"/>
    <w:rsid w:val="006D0778"/>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LightShading-Accent33521">
    <w:name w:val="Light Shading - Accent 33521"/>
    <w:basedOn w:val="TableNormal"/>
    <w:next w:val="LightShading-Accent3"/>
    <w:uiPriority w:val="60"/>
    <w:rsid w:val="006D0778"/>
    <w:pPr>
      <w:spacing w:after="0" w:line="240" w:lineRule="auto"/>
    </w:pPr>
    <w:rPr>
      <w:rFonts w:ascii="Arial" w:eastAsia="Calibri" w:hAnsi="Arial" w:cs="Times New Roman"/>
      <w:color w:val="474747"/>
      <w:sz w:val="20"/>
      <w:szCs w:val="20"/>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GridTable6Colorful-Accent151">
    <w:name w:val="Grid Table 6 Colorful - Accent 151"/>
    <w:basedOn w:val="TableNormal"/>
    <w:next w:val="GridTable6Colorful-Accent1"/>
    <w:uiPriority w:val="51"/>
    <w:rsid w:val="006D0778"/>
    <w:pPr>
      <w:spacing w:after="0" w:line="240" w:lineRule="auto"/>
    </w:pPr>
    <w:rPr>
      <w:color w:val="2F5496"/>
    </w:rPr>
    <w:tblPr>
      <w:tblStyleRowBandSize w:val="1"/>
      <w:tblStyleColBandSize w:val="1"/>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Pr>
    <w:tblStylePr w:type="firstRow">
      <w:rPr>
        <w:b/>
        <w:bCs/>
      </w:rPr>
      <w:tblPr/>
      <w:tcPr>
        <w:tcBorders>
          <w:bottom w:val="single" w:sz="12" w:space="0" w:color="8EAADB"/>
        </w:tcBorders>
      </w:tcPr>
    </w:tblStylePr>
    <w:tblStylePr w:type="lastRow">
      <w:rPr>
        <w:b/>
        <w:bCs/>
      </w:rPr>
      <w:tblPr/>
      <w:tcPr>
        <w:tcBorders>
          <w:top w:val="double" w:sz="4" w:space="0" w:color="8EAADB"/>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table" w:customStyle="1" w:styleId="GridTable6Colorful-Accent16">
    <w:name w:val="Grid Table 6 Colorful - Accent 16"/>
    <w:basedOn w:val="TableNormal"/>
    <w:next w:val="GridTable6Colorful-Accent1"/>
    <w:uiPriority w:val="51"/>
    <w:rsid w:val="006D0778"/>
    <w:pPr>
      <w:spacing w:after="0" w:line="240" w:lineRule="auto"/>
    </w:pPr>
    <w:rPr>
      <w:color w:val="2E74B5" w:themeColor="accent1" w:themeShade="BF"/>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customStyle="1" w:styleId="LightShading-Accent12214">
    <w:name w:val="Light Shading - Accent 12214"/>
    <w:basedOn w:val="TableNormal"/>
    <w:uiPriority w:val="60"/>
    <w:rsid w:val="006D0778"/>
    <w:pPr>
      <w:spacing w:after="0" w:line="240" w:lineRule="auto"/>
    </w:pPr>
    <w:rPr>
      <w:rFonts w:ascii="Cambria" w:eastAsia="Calibri" w:hAnsi="Cambria" w:cs="Times New Roman"/>
      <w:color w:val="A8422A"/>
      <w:sz w:val="20"/>
      <w:szCs w:val="20"/>
      <w:lang w:val="en-GB" w:eastAsia="sr-Cyrl-CS"/>
    </w:rPr>
    <w:tblPr>
      <w:tblStyleRowBandSize w:val="1"/>
      <w:tblStyleColBandSize w:val="1"/>
      <w:tblBorders>
        <w:top w:val="single" w:sz="8" w:space="0" w:color="D16349"/>
        <w:bottom w:val="single" w:sz="8" w:space="0" w:color="D16349"/>
      </w:tblBorders>
    </w:tblPr>
    <w:tblStylePr w:type="fir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la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D8D2"/>
      </w:tcPr>
    </w:tblStylePr>
    <w:tblStylePr w:type="band1Horz">
      <w:tblPr/>
      <w:tcPr>
        <w:tcBorders>
          <w:left w:val="nil"/>
          <w:right w:val="nil"/>
          <w:insideH w:val="nil"/>
          <w:insideV w:val="nil"/>
        </w:tcBorders>
        <w:shd w:val="clear" w:color="auto" w:fill="F3D8D2"/>
      </w:tcPr>
    </w:tblStylePr>
  </w:style>
  <w:style w:type="table" w:customStyle="1" w:styleId="LightShading-Accent12114">
    <w:name w:val="Light Shading - Accent 12114"/>
    <w:basedOn w:val="TableNormal"/>
    <w:uiPriority w:val="60"/>
    <w:rsid w:val="006D0778"/>
    <w:pPr>
      <w:spacing w:after="0" w:line="264" w:lineRule="auto"/>
    </w:pPr>
    <w:rPr>
      <w:rFonts w:ascii="Cambria" w:eastAsia="Calibri" w:hAnsi="Cambria" w:cs="Times New Roman"/>
      <w:color w:val="A8422A"/>
      <w:sz w:val="20"/>
      <w:szCs w:val="20"/>
      <w:lang w:val="en-GB" w:eastAsia="sr-Cyrl-CS"/>
    </w:rPr>
    <w:tblPr>
      <w:tblStyleRowBandSize w:val="1"/>
      <w:tblStyleColBandSize w:val="1"/>
      <w:tblBorders>
        <w:top w:val="single" w:sz="8" w:space="0" w:color="D16349"/>
        <w:bottom w:val="single" w:sz="8" w:space="0" w:color="D16349"/>
      </w:tblBorders>
    </w:tblPr>
    <w:tblStylePr w:type="fir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lastRow">
      <w:pPr>
        <w:spacing w:before="0" w:after="0" w:line="240" w:lineRule="auto"/>
      </w:pPr>
      <w:rPr>
        <w:b/>
        <w:bCs/>
      </w:rPr>
      <w:tblPr/>
      <w:tcPr>
        <w:tcBorders>
          <w:top w:val="single" w:sz="8" w:space="0" w:color="D16349"/>
          <w:left w:val="nil"/>
          <w:bottom w:val="single" w:sz="8" w:space="0" w:color="D1634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D8D2"/>
      </w:tcPr>
    </w:tblStylePr>
    <w:tblStylePr w:type="band1Horz">
      <w:tblPr/>
      <w:tcPr>
        <w:tcBorders>
          <w:left w:val="nil"/>
          <w:right w:val="nil"/>
          <w:insideH w:val="nil"/>
          <w:insideV w:val="nil"/>
        </w:tcBorders>
        <w:shd w:val="clear" w:color="auto" w:fill="F3D8D2"/>
      </w:tcPr>
    </w:tblStylePr>
  </w:style>
  <w:style w:type="table" w:styleId="PlainTable2">
    <w:name w:val="Plain Table 2"/>
    <w:basedOn w:val="TableNormal"/>
    <w:uiPriority w:val="42"/>
    <w:rsid w:val="006D0778"/>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702857">
      <w:bodyDiv w:val="1"/>
      <w:marLeft w:val="0"/>
      <w:marRight w:val="0"/>
      <w:marTop w:val="0"/>
      <w:marBottom w:val="0"/>
      <w:divBdr>
        <w:top w:val="none" w:sz="0" w:space="0" w:color="auto"/>
        <w:left w:val="none" w:sz="0" w:space="0" w:color="auto"/>
        <w:bottom w:val="none" w:sz="0" w:space="0" w:color="auto"/>
        <w:right w:val="none" w:sz="0" w:space="0" w:color="auto"/>
      </w:divBdr>
    </w:div>
    <w:div w:id="748312666">
      <w:bodyDiv w:val="1"/>
      <w:marLeft w:val="0"/>
      <w:marRight w:val="0"/>
      <w:marTop w:val="0"/>
      <w:marBottom w:val="0"/>
      <w:divBdr>
        <w:top w:val="none" w:sz="0" w:space="0" w:color="auto"/>
        <w:left w:val="none" w:sz="0" w:space="0" w:color="auto"/>
        <w:bottom w:val="none" w:sz="0" w:space="0" w:color="auto"/>
        <w:right w:val="none" w:sz="0" w:space="0" w:color="auto"/>
      </w:divBdr>
    </w:div>
    <w:div w:id="755639195">
      <w:bodyDiv w:val="1"/>
      <w:marLeft w:val="0"/>
      <w:marRight w:val="0"/>
      <w:marTop w:val="0"/>
      <w:marBottom w:val="0"/>
      <w:divBdr>
        <w:top w:val="none" w:sz="0" w:space="0" w:color="auto"/>
        <w:left w:val="none" w:sz="0" w:space="0" w:color="auto"/>
        <w:bottom w:val="none" w:sz="0" w:space="0" w:color="auto"/>
        <w:right w:val="none" w:sz="0" w:space="0" w:color="auto"/>
      </w:divBdr>
    </w:div>
    <w:div w:id="784886753">
      <w:bodyDiv w:val="1"/>
      <w:marLeft w:val="0"/>
      <w:marRight w:val="0"/>
      <w:marTop w:val="0"/>
      <w:marBottom w:val="0"/>
      <w:divBdr>
        <w:top w:val="none" w:sz="0" w:space="0" w:color="auto"/>
        <w:left w:val="none" w:sz="0" w:space="0" w:color="auto"/>
        <w:bottom w:val="none" w:sz="0" w:space="0" w:color="auto"/>
        <w:right w:val="none" w:sz="0" w:space="0" w:color="auto"/>
      </w:divBdr>
    </w:div>
    <w:div w:id="901065476">
      <w:bodyDiv w:val="1"/>
      <w:marLeft w:val="0"/>
      <w:marRight w:val="0"/>
      <w:marTop w:val="0"/>
      <w:marBottom w:val="0"/>
      <w:divBdr>
        <w:top w:val="none" w:sz="0" w:space="0" w:color="auto"/>
        <w:left w:val="none" w:sz="0" w:space="0" w:color="auto"/>
        <w:bottom w:val="none" w:sz="0" w:space="0" w:color="auto"/>
        <w:right w:val="none" w:sz="0" w:space="0" w:color="auto"/>
      </w:divBdr>
    </w:div>
    <w:div w:id="983240602">
      <w:bodyDiv w:val="1"/>
      <w:marLeft w:val="0"/>
      <w:marRight w:val="0"/>
      <w:marTop w:val="0"/>
      <w:marBottom w:val="0"/>
      <w:divBdr>
        <w:top w:val="none" w:sz="0" w:space="0" w:color="auto"/>
        <w:left w:val="none" w:sz="0" w:space="0" w:color="auto"/>
        <w:bottom w:val="none" w:sz="0" w:space="0" w:color="auto"/>
        <w:right w:val="none" w:sz="0" w:space="0" w:color="auto"/>
      </w:divBdr>
    </w:div>
    <w:div w:id="1100565709">
      <w:bodyDiv w:val="1"/>
      <w:marLeft w:val="0"/>
      <w:marRight w:val="0"/>
      <w:marTop w:val="0"/>
      <w:marBottom w:val="0"/>
      <w:divBdr>
        <w:top w:val="none" w:sz="0" w:space="0" w:color="auto"/>
        <w:left w:val="none" w:sz="0" w:space="0" w:color="auto"/>
        <w:bottom w:val="none" w:sz="0" w:space="0" w:color="auto"/>
        <w:right w:val="none" w:sz="0" w:space="0" w:color="auto"/>
      </w:divBdr>
    </w:div>
    <w:div w:id="1144783239">
      <w:bodyDiv w:val="1"/>
      <w:marLeft w:val="0"/>
      <w:marRight w:val="0"/>
      <w:marTop w:val="0"/>
      <w:marBottom w:val="0"/>
      <w:divBdr>
        <w:top w:val="none" w:sz="0" w:space="0" w:color="auto"/>
        <w:left w:val="none" w:sz="0" w:space="0" w:color="auto"/>
        <w:bottom w:val="none" w:sz="0" w:space="0" w:color="auto"/>
        <w:right w:val="none" w:sz="0" w:space="0" w:color="auto"/>
      </w:divBdr>
    </w:div>
    <w:div w:id="1178470678">
      <w:bodyDiv w:val="1"/>
      <w:marLeft w:val="0"/>
      <w:marRight w:val="0"/>
      <w:marTop w:val="0"/>
      <w:marBottom w:val="0"/>
      <w:divBdr>
        <w:top w:val="none" w:sz="0" w:space="0" w:color="auto"/>
        <w:left w:val="none" w:sz="0" w:space="0" w:color="auto"/>
        <w:bottom w:val="none" w:sz="0" w:space="0" w:color="auto"/>
        <w:right w:val="none" w:sz="0" w:space="0" w:color="auto"/>
      </w:divBdr>
    </w:div>
    <w:div w:id="1223179149">
      <w:bodyDiv w:val="1"/>
      <w:marLeft w:val="0"/>
      <w:marRight w:val="0"/>
      <w:marTop w:val="0"/>
      <w:marBottom w:val="0"/>
      <w:divBdr>
        <w:top w:val="none" w:sz="0" w:space="0" w:color="auto"/>
        <w:left w:val="none" w:sz="0" w:space="0" w:color="auto"/>
        <w:bottom w:val="none" w:sz="0" w:space="0" w:color="auto"/>
        <w:right w:val="none" w:sz="0" w:space="0" w:color="auto"/>
      </w:divBdr>
    </w:div>
    <w:div w:id="1291940089">
      <w:bodyDiv w:val="1"/>
      <w:marLeft w:val="0"/>
      <w:marRight w:val="0"/>
      <w:marTop w:val="0"/>
      <w:marBottom w:val="0"/>
      <w:divBdr>
        <w:top w:val="none" w:sz="0" w:space="0" w:color="auto"/>
        <w:left w:val="none" w:sz="0" w:space="0" w:color="auto"/>
        <w:bottom w:val="none" w:sz="0" w:space="0" w:color="auto"/>
        <w:right w:val="none" w:sz="0" w:space="0" w:color="auto"/>
      </w:divBdr>
      <w:divsChild>
        <w:div w:id="627316389">
          <w:marLeft w:val="173"/>
          <w:marRight w:val="0"/>
          <w:marTop w:val="0"/>
          <w:marBottom w:val="60"/>
          <w:divBdr>
            <w:top w:val="none" w:sz="0" w:space="0" w:color="auto"/>
            <w:left w:val="none" w:sz="0" w:space="0" w:color="auto"/>
            <w:bottom w:val="none" w:sz="0" w:space="0" w:color="auto"/>
            <w:right w:val="none" w:sz="0" w:space="0" w:color="auto"/>
          </w:divBdr>
        </w:div>
      </w:divsChild>
    </w:div>
    <w:div w:id="1415592691">
      <w:bodyDiv w:val="1"/>
      <w:marLeft w:val="0"/>
      <w:marRight w:val="0"/>
      <w:marTop w:val="0"/>
      <w:marBottom w:val="0"/>
      <w:divBdr>
        <w:top w:val="none" w:sz="0" w:space="0" w:color="auto"/>
        <w:left w:val="none" w:sz="0" w:space="0" w:color="auto"/>
        <w:bottom w:val="none" w:sz="0" w:space="0" w:color="auto"/>
        <w:right w:val="none" w:sz="0" w:space="0" w:color="auto"/>
      </w:divBdr>
    </w:div>
    <w:div w:id="1561137472">
      <w:bodyDiv w:val="1"/>
      <w:marLeft w:val="0"/>
      <w:marRight w:val="0"/>
      <w:marTop w:val="0"/>
      <w:marBottom w:val="0"/>
      <w:divBdr>
        <w:top w:val="none" w:sz="0" w:space="0" w:color="auto"/>
        <w:left w:val="none" w:sz="0" w:space="0" w:color="auto"/>
        <w:bottom w:val="none" w:sz="0" w:space="0" w:color="auto"/>
        <w:right w:val="none" w:sz="0" w:space="0" w:color="auto"/>
      </w:divBdr>
    </w:div>
    <w:div w:id="16461585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chart" Target="charts/chart6.xml"/><Relationship Id="rId18" Type="http://schemas.openxmlformats.org/officeDocument/2006/relationships/chart" Target="charts/chart10.xml"/><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chart" Target="charts/chart13.xml"/><Relationship Id="rId7" Type="http://schemas.openxmlformats.org/officeDocument/2006/relationships/endnotes" Target="endnotes.xml"/><Relationship Id="rId12" Type="http://schemas.openxmlformats.org/officeDocument/2006/relationships/chart" Target="charts/chart5.xml"/><Relationship Id="rId17" Type="http://schemas.openxmlformats.org/officeDocument/2006/relationships/chart" Target="charts/chart9.xml"/><Relationship Id="rId25" Type="http://schemas.openxmlformats.org/officeDocument/2006/relationships/chart" Target="charts/chart17.xml"/><Relationship Id="rId33" Type="http://schemas.microsoft.com/office/2016/09/relationships/commentsIds" Target="commentsIds.xml"/><Relationship Id="rId2" Type="http://schemas.openxmlformats.org/officeDocument/2006/relationships/numbering" Target="numbering.xml"/><Relationship Id="rId16" Type="http://schemas.openxmlformats.org/officeDocument/2006/relationships/chart" Target="charts/chart8.xml"/><Relationship Id="rId20" Type="http://schemas.openxmlformats.org/officeDocument/2006/relationships/chart" Target="charts/chart1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4.xml"/><Relationship Id="rId24" Type="http://schemas.openxmlformats.org/officeDocument/2006/relationships/chart" Target="charts/chart16.xml"/><Relationship Id="rId5" Type="http://schemas.openxmlformats.org/officeDocument/2006/relationships/webSettings" Target="webSettings.xml"/><Relationship Id="rId15" Type="http://schemas.openxmlformats.org/officeDocument/2006/relationships/chart" Target="charts/chart7.xml"/><Relationship Id="rId23" Type="http://schemas.openxmlformats.org/officeDocument/2006/relationships/chart" Target="charts/chart15.xml"/><Relationship Id="rId28" Type="http://schemas.openxmlformats.org/officeDocument/2006/relationships/theme" Target="theme/theme1.xml"/><Relationship Id="rId10" Type="http://schemas.openxmlformats.org/officeDocument/2006/relationships/chart" Target="charts/chart3.xml"/><Relationship Id="rId19" Type="http://schemas.openxmlformats.org/officeDocument/2006/relationships/chart" Target="charts/chart11.xml"/><Relationship Id="rId4" Type="http://schemas.openxmlformats.org/officeDocument/2006/relationships/settings" Target="settings.xml"/><Relationship Id="rId9" Type="http://schemas.openxmlformats.org/officeDocument/2006/relationships/chart" Target="charts/chart2.xml"/><Relationship Id="rId14" Type="http://schemas.openxmlformats.org/officeDocument/2006/relationships/image" Target="media/image1.gif"/><Relationship Id="rId22" Type="http://schemas.openxmlformats.org/officeDocument/2006/relationships/chart" Target="charts/chart14.xml"/><Relationship Id="rId27"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s://www.mfin.gov.rs//upload/media/jzsbpL_601ab1585ca02.pdf" TargetMode="External"/></Relationships>
</file>

<file path=word/charts/_rels/chart1.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1.xml"/><Relationship Id="rId1" Type="http://schemas.microsoft.com/office/2011/relationships/chartStyle" Target="style1.xml"/><Relationship Id="rId5" Type="http://schemas.openxmlformats.org/officeDocument/2006/relationships/chartUserShapes" Target="../drawings/drawing1.xml"/><Relationship Id="rId4" Type="http://schemas.openxmlformats.org/officeDocument/2006/relationships/oleObject" Target="file:///C:\Users\rade.ciric\Dropbox\Makro%20sektor\6.2.1%20Fiskalna%202025-2027%20revidirana\Makro%20radni%20fajlovi\GRAFIKONI_MAKRO_maj24.xlsx" TargetMode="External"/></Relationships>
</file>

<file path=word/charts/_rels/chart2.xml.rels><?xml version="1.0" encoding="UTF-8" standalone="yes"?>
<Relationships xmlns="http://schemas.openxmlformats.org/package/2006/relationships"><Relationship Id="rId3" Type="http://schemas.openxmlformats.org/officeDocument/2006/relationships/themeOverride" Target="../theme/themeOverride2.xml"/><Relationship Id="rId2" Type="http://schemas.microsoft.com/office/2011/relationships/chartColorStyle" Target="colors2.xml"/><Relationship Id="rId1" Type="http://schemas.microsoft.com/office/2011/relationships/chartStyle" Target="style2.xml"/><Relationship Id="rId5" Type="http://schemas.openxmlformats.org/officeDocument/2006/relationships/chartUserShapes" Target="../drawings/drawing2.xml"/><Relationship Id="rId4" Type="http://schemas.openxmlformats.org/officeDocument/2006/relationships/oleObject" Target="file:///C:\Users\rade.ciric\Dropbox\Makro%20sektor\6.2.1%20Fiskalna%202025-2027%20revidirana\Makro%20radni%20fajlovi\GRAFIKONI_MAKRO_maj24.xlsx" TargetMode="External"/></Relationships>
</file>

<file path=word/charts/_rels/chart3.xml.rels><?xml version="1.0" encoding="UTF-8" standalone="yes"?>
<Relationships xmlns="http://schemas.openxmlformats.org/package/2006/relationships"><Relationship Id="rId3" Type="http://schemas.openxmlformats.org/officeDocument/2006/relationships/themeOverride" Target="../theme/themeOverride3.xml"/><Relationship Id="rId2" Type="http://schemas.microsoft.com/office/2011/relationships/chartColorStyle" Target="colors3.xml"/><Relationship Id="rId1" Type="http://schemas.microsoft.com/office/2011/relationships/chartStyle" Target="style3.xml"/><Relationship Id="rId5" Type="http://schemas.openxmlformats.org/officeDocument/2006/relationships/chartUserShapes" Target="../drawings/drawing3.xml"/><Relationship Id="rId4" Type="http://schemas.openxmlformats.org/officeDocument/2006/relationships/oleObject" Target="file:///C:\Users\rade.ciric\Dropbox\Makro%20sektor\6.2.1%20Fiskalna%202025-2027%20revidirana\Makro%20radni%20fajlovi\GRAFIKONI_MAKRO_okt24.xlsx" TargetMode="External"/></Relationships>
</file>

<file path=word/charts/_rels/chart4.xml.rels><?xml version="1.0" encoding="UTF-8" standalone="yes"?>
<Relationships xmlns="http://schemas.openxmlformats.org/package/2006/relationships"><Relationship Id="rId3" Type="http://schemas.openxmlformats.org/officeDocument/2006/relationships/themeOverride" Target="../theme/themeOverride4.xml"/><Relationship Id="rId2" Type="http://schemas.microsoft.com/office/2011/relationships/chartColorStyle" Target="colors4.xml"/><Relationship Id="rId1" Type="http://schemas.microsoft.com/office/2011/relationships/chartStyle" Target="style4.xml"/><Relationship Id="rId4" Type="http://schemas.openxmlformats.org/officeDocument/2006/relationships/oleObject" Target="file:///C:\Users\rade.ciric\Dropbox\Makro%20sektor\1.%20Baze%20makro\BDP\Projekcija\6.%20BDP%20(dynamic%20fan%20chart).xlsx" TargetMode="External"/></Relationships>
</file>

<file path=word/charts/_rels/chart5.xml.rels><?xml version="1.0" encoding="UTF-8" standalone="yes"?>
<Relationships xmlns="http://schemas.openxmlformats.org/package/2006/relationships"><Relationship Id="rId3" Type="http://schemas.openxmlformats.org/officeDocument/2006/relationships/themeOverride" Target="../theme/themeOverride5.xml"/><Relationship Id="rId2" Type="http://schemas.microsoft.com/office/2011/relationships/chartColorStyle" Target="colors5.xml"/><Relationship Id="rId1" Type="http://schemas.microsoft.com/office/2011/relationships/chartStyle" Target="style5.xml"/><Relationship Id="rId4" Type="http://schemas.openxmlformats.org/officeDocument/2006/relationships/package" Target="../embeddings/Microsoft_Excel_Worksheet.xlsx"/></Relationships>
</file>

<file path=word/charts/_rels/chart6.xml.rels><?xml version="1.0" encoding="UTF-8" standalone="yes"?>
<Relationships xmlns="http://schemas.openxmlformats.org/package/2006/relationships"><Relationship Id="rId3" Type="http://schemas.openxmlformats.org/officeDocument/2006/relationships/themeOverride" Target="../theme/themeOverride6.xml"/><Relationship Id="rId2" Type="http://schemas.microsoft.com/office/2011/relationships/chartColorStyle" Target="colors6.xml"/><Relationship Id="rId1" Type="http://schemas.microsoft.com/office/2011/relationships/chartStyle" Target="style6.xml"/><Relationship Id="rId5" Type="http://schemas.openxmlformats.org/officeDocument/2006/relationships/chartUserShapes" Target="../drawings/drawing4.xml"/><Relationship Id="rId4" Type="http://schemas.openxmlformats.org/officeDocument/2006/relationships/package" Target="../embeddings/Microsoft_Excel_Worksheet1.xlsx"/></Relationships>
</file>

<file path=word/charts/_rels/chart7.xml.rels><?xml version="1.0" encoding="UTF-8" standalone="yes"?>
<Relationships xmlns="http://schemas.openxmlformats.org/package/2006/relationships"><Relationship Id="rId3" Type="http://schemas.openxmlformats.org/officeDocument/2006/relationships/themeOverride" Target="../theme/themeOverride7.xml"/><Relationship Id="rId2" Type="http://schemas.microsoft.com/office/2011/relationships/chartColorStyle" Target="colors7.xml"/><Relationship Id="rId1" Type="http://schemas.microsoft.com/office/2011/relationships/chartStyle" Target="style7.xml"/><Relationship Id="rId4" Type="http://schemas.openxmlformats.org/officeDocument/2006/relationships/oleObject" Target="../embeddings/oleObject1.bin"/></Relationships>
</file>

<file path=word/charts/_rels/chart8.xml.rels><?xml version="1.0" encoding="UTF-8" standalone="yes"?>
<Relationships xmlns="http://schemas.openxmlformats.org/package/2006/relationships"><Relationship Id="rId3" Type="http://schemas.openxmlformats.org/officeDocument/2006/relationships/themeOverride" Target="../theme/themeOverride8.xml"/><Relationship Id="rId2" Type="http://schemas.microsoft.com/office/2011/relationships/chartColorStyle" Target="colors8.xml"/><Relationship Id="rId1" Type="http://schemas.microsoft.com/office/2011/relationships/chartStyle" Target="style8.xml"/><Relationship Id="rId5" Type="http://schemas.openxmlformats.org/officeDocument/2006/relationships/chartUserShapes" Target="../drawings/drawing5.xml"/><Relationship Id="rId4" Type="http://schemas.openxmlformats.org/officeDocument/2006/relationships/oleObject" Target="../embeddings/oleObject2.bin"/></Relationships>
</file>

<file path=word/charts/_rels/chart9.xml.rels><?xml version="1.0" encoding="UTF-8" standalone="yes"?>
<Relationships xmlns="http://schemas.openxmlformats.org/package/2006/relationships"><Relationship Id="rId3" Type="http://schemas.openxmlformats.org/officeDocument/2006/relationships/themeOverride" Target="../theme/themeOverride9.xml"/><Relationship Id="rId2" Type="http://schemas.microsoft.com/office/2011/relationships/chartColorStyle" Target="colors9.xml"/><Relationship Id="rId1" Type="http://schemas.microsoft.com/office/2011/relationships/chartStyle" Target="style9.xml"/><Relationship Id="rId5" Type="http://schemas.openxmlformats.org/officeDocument/2006/relationships/chartUserShapes" Target="../drawings/drawing6.xml"/><Relationship Id="rId4" Type="http://schemas.openxmlformats.org/officeDocument/2006/relationships/oleObject" Target="../embeddings/oleObject3.bin"/></Relationships>
</file>

<file path=word/charts/_rels/chart10.xml.rels><?xml version="1.0" encoding="UTF-8" standalone="yes"?>
<Relationships xmlns="http://schemas.openxmlformats.org/package/2006/relationships"><Relationship Id="rId3" Type="http://schemas.openxmlformats.org/officeDocument/2006/relationships/chartUserShapes" Target="../drawings/drawing7.xml"/><Relationship Id="rId2" Type="http://schemas.openxmlformats.org/officeDocument/2006/relationships/package" Target="../embeddings/Microsoft_Excel_Worksheet2.xlsx"/><Relationship Id="rId1" Type="http://schemas.openxmlformats.org/officeDocument/2006/relationships/themeOverride" Target="../theme/themeOverride10.xml"/></Relationships>
</file>

<file path=word/charts/_rels/chart11.xml.rels><?xml version="1.0" encoding="UTF-8" standalone="yes"?>
<Relationships xmlns="http://schemas.openxmlformats.org/package/2006/relationships"><Relationship Id="rId3" Type="http://schemas.openxmlformats.org/officeDocument/2006/relationships/themeOverride" Target="../theme/themeOverride11.xml"/><Relationship Id="rId2" Type="http://schemas.microsoft.com/office/2011/relationships/chartColorStyle" Target="colors10.xml"/><Relationship Id="rId1" Type="http://schemas.microsoft.com/office/2011/relationships/chartStyle" Target="style10.xml"/><Relationship Id="rId5" Type="http://schemas.openxmlformats.org/officeDocument/2006/relationships/chartUserShapes" Target="../drawings/drawing8.xml"/><Relationship Id="rId4" Type="http://schemas.openxmlformats.org/officeDocument/2006/relationships/oleObject" Target="../embeddings/oleObject4.bin"/></Relationships>
</file>

<file path=word/charts/_rels/chart12.xml.rels><?xml version="1.0" encoding="UTF-8" standalone="yes"?>
<Relationships xmlns="http://schemas.openxmlformats.org/package/2006/relationships"><Relationship Id="rId3" Type="http://schemas.openxmlformats.org/officeDocument/2006/relationships/themeOverride" Target="../theme/themeOverride12.xml"/><Relationship Id="rId2" Type="http://schemas.microsoft.com/office/2011/relationships/chartColorStyle" Target="colors11.xml"/><Relationship Id="rId1" Type="http://schemas.microsoft.com/office/2011/relationships/chartStyle" Target="style11.xml"/><Relationship Id="rId5" Type="http://schemas.openxmlformats.org/officeDocument/2006/relationships/chartUserShapes" Target="../drawings/drawing9.xml"/><Relationship Id="rId4" Type="http://schemas.openxmlformats.org/officeDocument/2006/relationships/oleObject" Target="../embeddings/oleObject5.bin"/></Relationships>
</file>

<file path=word/charts/_rels/chart13.xml.rels><?xml version="1.0" encoding="UTF-8" standalone="yes"?>
<Relationships xmlns="http://schemas.openxmlformats.org/package/2006/relationships"><Relationship Id="rId3" Type="http://schemas.openxmlformats.org/officeDocument/2006/relationships/chartUserShapes" Target="../drawings/drawing10.xml"/><Relationship Id="rId2" Type="http://schemas.openxmlformats.org/officeDocument/2006/relationships/oleObject" Target="../embeddings/oleObject6.bin"/><Relationship Id="rId1" Type="http://schemas.openxmlformats.org/officeDocument/2006/relationships/themeOverride" Target="../theme/themeOverride13.xml"/></Relationships>
</file>

<file path=word/charts/_rels/chart14.xml.rels><?xml version="1.0" encoding="UTF-8" standalone="yes"?>
<Relationships xmlns="http://schemas.openxmlformats.org/package/2006/relationships"><Relationship Id="rId3" Type="http://schemas.openxmlformats.org/officeDocument/2006/relationships/themeOverride" Target="../theme/themeOverride14.xml"/><Relationship Id="rId2" Type="http://schemas.microsoft.com/office/2011/relationships/chartColorStyle" Target="colors12.xml"/><Relationship Id="rId1" Type="http://schemas.microsoft.com/office/2011/relationships/chartStyle" Target="style12.xml"/><Relationship Id="rId4" Type="http://schemas.openxmlformats.org/officeDocument/2006/relationships/oleObject" Target="file:///C:\Users\Oliver%20Mini&#263;\Desktop\STRATEGIJA%202025-2027\AZURIRANA\STRAT20233-2025.xlsx" TargetMode="External"/></Relationships>
</file>

<file path=word/charts/_rels/chart15.xml.rels><?xml version="1.0" encoding="UTF-8" standalone="yes"?>
<Relationships xmlns="http://schemas.openxmlformats.org/package/2006/relationships"><Relationship Id="rId3" Type="http://schemas.openxmlformats.org/officeDocument/2006/relationships/themeOverride" Target="../theme/themeOverride15.xml"/><Relationship Id="rId2" Type="http://schemas.microsoft.com/office/2011/relationships/chartColorStyle" Target="colors13.xml"/><Relationship Id="rId1" Type="http://schemas.microsoft.com/office/2011/relationships/chartStyle" Target="style13.xml"/><Relationship Id="rId4" Type="http://schemas.openxmlformats.org/officeDocument/2006/relationships/oleObject" Target="file:///C:\Users\ognjen.jancic\AppData\Local\Microsoft\Windows\INetCache\Content.Outlook\0308J1K6\Prilozi.xlsx" TargetMode="External"/></Relationships>
</file>

<file path=word/charts/_rels/chart16.xml.rels><?xml version="1.0" encoding="UTF-8" standalone="yes"?>
<Relationships xmlns="http://schemas.openxmlformats.org/package/2006/relationships"><Relationship Id="rId3" Type="http://schemas.openxmlformats.org/officeDocument/2006/relationships/themeOverride" Target="../theme/themeOverride16.xml"/><Relationship Id="rId2" Type="http://schemas.microsoft.com/office/2011/relationships/chartColorStyle" Target="colors14.xml"/><Relationship Id="rId1" Type="http://schemas.microsoft.com/office/2011/relationships/chartStyle" Target="style14.xml"/><Relationship Id="rId4" Type="http://schemas.openxmlformats.org/officeDocument/2006/relationships/package" Target="../embeddings/Microsoft_Excel_Worksheet3.xlsx"/></Relationships>
</file>

<file path=word/charts/_rels/chart17.xml.rels><?xml version="1.0" encoding="UTF-8" standalone="yes"?>
<Relationships xmlns="http://schemas.openxmlformats.org/package/2006/relationships"><Relationship Id="rId3" Type="http://schemas.openxmlformats.org/officeDocument/2006/relationships/themeOverride" Target="../theme/themeOverride17.xml"/><Relationship Id="rId2" Type="http://schemas.microsoft.com/office/2011/relationships/chartColorStyle" Target="colors15.xml"/><Relationship Id="rId1" Type="http://schemas.microsoft.com/office/2011/relationships/chartStyle" Target="style15.xml"/><Relationship Id="rId5" Type="http://schemas.openxmlformats.org/officeDocument/2006/relationships/chartUserShapes" Target="../drawings/drawing11.xml"/><Relationship Id="rId4" Type="http://schemas.openxmlformats.org/officeDocument/2006/relationships/package" Target="../embeddings/Microsoft_Excel_Worksheet4.xlsx"/></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6.0253935185185188E-2"/>
          <c:y val="7.0236607987885669E-2"/>
          <c:w val="0.90740810185185183"/>
          <c:h val="0.66834989589248528"/>
        </c:manualLayout>
      </c:layout>
      <c:barChart>
        <c:barDir val="col"/>
        <c:grouping val="stacked"/>
        <c:varyColors val="0"/>
        <c:ser>
          <c:idx val="0"/>
          <c:order val="0"/>
          <c:tx>
            <c:strRef>
              <c:f>BDP_doprinosi!$R$34</c:f>
              <c:strCache>
                <c:ptCount val="1"/>
                <c:pt idx="0">
                  <c:v>Пољопривреда</c:v>
                </c:pt>
              </c:strCache>
            </c:strRef>
          </c:tx>
          <c:spPr>
            <a:solidFill>
              <a:srgbClr val="10103C"/>
            </a:solidFill>
            <a:ln>
              <a:noFill/>
            </a:ln>
            <a:effectLst/>
          </c:spPr>
          <c:invertIfNegative val="0"/>
          <c:cat>
            <c:numRef>
              <c:f>BDP_doprinosi!$AF$33:$AL$33</c:f>
              <c:numCache>
                <c:formatCode>General</c:formatCode>
                <c:ptCount val="7"/>
                <c:pt idx="0">
                  <c:v>2021</c:v>
                </c:pt>
                <c:pt idx="1">
                  <c:v>2022</c:v>
                </c:pt>
                <c:pt idx="2">
                  <c:v>2023</c:v>
                </c:pt>
                <c:pt idx="3">
                  <c:v>2024</c:v>
                </c:pt>
                <c:pt idx="4">
                  <c:v>2025</c:v>
                </c:pt>
                <c:pt idx="5">
                  <c:v>2026</c:v>
                </c:pt>
                <c:pt idx="6">
                  <c:v>2027</c:v>
                </c:pt>
              </c:numCache>
            </c:numRef>
          </c:cat>
          <c:val>
            <c:numRef>
              <c:f>BDP_doprinosi!$AF$34:$AL$34</c:f>
              <c:numCache>
                <c:formatCode>0.0</c:formatCode>
                <c:ptCount val="7"/>
                <c:pt idx="0">
                  <c:v>-0.12332786204156268</c:v>
                </c:pt>
                <c:pt idx="1">
                  <c:v>-0.3905003996335783</c:v>
                </c:pt>
                <c:pt idx="2">
                  <c:v>0.39724555358175428</c:v>
                </c:pt>
                <c:pt idx="3">
                  <c:v>-0.31260656234371642</c:v>
                </c:pt>
                <c:pt idx="4">
                  <c:v>0.22976030023849123</c:v>
                </c:pt>
                <c:pt idx="5">
                  <c:v>0</c:v>
                </c:pt>
                <c:pt idx="6">
                  <c:v>-2.2092336561393387E-3</c:v>
                </c:pt>
              </c:numCache>
            </c:numRef>
          </c:val>
          <c:extLst>
            <c:ext xmlns:c16="http://schemas.microsoft.com/office/drawing/2014/chart" uri="{C3380CC4-5D6E-409C-BE32-E72D297353CC}">
              <c16:uniqueId val="{00000000-A96C-4FB4-AA9F-6220F26D4EEC}"/>
            </c:ext>
          </c:extLst>
        </c:ser>
        <c:ser>
          <c:idx val="1"/>
          <c:order val="1"/>
          <c:tx>
            <c:strRef>
              <c:f>BDP_doprinosi!$R$35</c:f>
              <c:strCache>
                <c:ptCount val="1"/>
                <c:pt idx="0">
                  <c:v>Индустрија</c:v>
                </c:pt>
              </c:strCache>
            </c:strRef>
          </c:tx>
          <c:spPr>
            <a:solidFill>
              <a:srgbClr val="29489A"/>
            </a:solidFill>
            <a:ln>
              <a:noFill/>
            </a:ln>
            <a:effectLst/>
          </c:spPr>
          <c:invertIfNegative val="0"/>
          <c:cat>
            <c:numRef>
              <c:f>BDP_doprinosi!$AF$33:$AL$33</c:f>
              <c:numCache>
                <c:formatCode>General</c:formatCode>
                <c:ptCount val="7"/>
                <c:pt idx="0">
                  <c:v>2021</c:v>
                </c:pt>
                <c:pt idx="1">
                  <c:v>2022</c:v>
                </c:pt>
                <c:pt idx="2">
                  <c:v>2023</c:v>
                </c:pt>
                <c:pt idx="3">
                  <c:v>2024</c:v>
                </c:pt>
                <c:pt idx="4">
                  <c:v>2025</c:v>
                </c:pt>
                <c:pt idx="5">
                  <c:v>2026</c:v>
                </c:pt>
                <c:pt idx="6">
                  <c:v>2027</c:v>
                </c:pt>
              </c:numCache>
            </c:numRef>
          </c:cat>
          <c:val>
            <c:numRef>
              <c:f>BDP_doprinosi!$AF$35:$AL$35</c:f>
              <c:numCache>
                <c:formatCode>0.0</c:formatCode>
                <c:ptCount val="7"/>
                <c:pt idx="0">
                  <c:v>1.2218163879079065</c:v>
                </c:pt>
                <c:pt idx="1">
                  <c:v>0.81446630973366285</c:v>
                </c:pt>
                <c:pt idx="2">
                  <c:v>0.42758436892858137</c:v>
                </c:pt>
                <c:pt idx="3">
                  <c:v>0.53245571624655363</c:v>
                </c:pt>
                <c:pt idx="4">
                  <c:v>0.80370674150423194</c:v>
                </c:pt>
                <c:pt idx="5">
                  <c:v>0.86398474711704931</c:v>
                </c:pt>
                <c:pt idx="6">
                  <c:v>0.97248515722012063</c:v>
                </c:pt>
              </c:numCache>
            </c:numRef>
          </c:val>
          <c:extLst>
            <c:ext xmlns:c16="http://schemas.microsoft.com/office/drawing/2014/chart" uri="{C3380CC4-5D6E-409C-BE32-E72D297353CC}">
              <c16:uniqueId val="{00000001-A96C-4FB4-AA9F-6220F26D4EEC}"/>
            </c:ext>
          </c:extLst>
        </c:ser>
        <c:ser>
          <c:idx val="2"/>
          <c:order val="2"/>
          <c:tx>
            <c:strRef>
              <c:f>BDP_doprinosi!$R$36</c:f>
              <c:strCache>
                <c:ptCount val="1"/>
                <c:pt idx="0">
                  <c:v>Грађевинарство</c:v>
                </c:pt>
              </c:strCache>
            </c:strRef>
          </c:tx>
          <c:spPr>
            <a:solidFill>
              <a:srgbClr val="2183C4"/>
            </a:solidFill>
            <a:ln>
              <a:noFill/>
            </a:ln>
            <a:effectLst/>
          </c:spPr>
          <c:invertIfNegative val="0"/>
          <c:cat>
            <c:numRef>
              <c:f>BDP_doprinosi!$AF$33:$AL$33</c:f>
              <c:numCache>
                <c:formatCode>General</c:formatCode>
                <c:ptCount val="7"/>
                <c:pt idx="0">
                  <c:v>2021</c:v>
                </c:pt>
                <c:pt idx="1">
                  <c:v>2022</c:v>
                </c:pt>
                <c:pt idx="2">
                  <c:v>2023</c:v>
                </c:pt>
                <c:pt idx="3">
                  <c:v>2024</c:v>
                </c:pt>
                <c:pt idx="4">
                  <c:v>2025</c:v>
                </c:pt>
                <c:pt idx="5">
                  <c:v>2026</c:v>
                </c:pt>
                <c:pt idx="6">
                  <c:v>2027</c:v>
                </c:pt>
              </c:numCache>
            </c:numRef>
          </c:cat>
          <c:val>
            <c:numRef>
              <c:f>BDP_doprinosi!$AF$36:$AL$36</c:f>
              <c:numCache>
                <c:formatCode>0.0</c:formatCode>
                <c:ptCount val="7"/>
                <c:pt idx="0">
                  <c:v>0.8785132427906609</c:v>
                </c:pt>
                <c:pt idx="1">
                  <c:v>-0.51995400260096358</c:v>
                </c:pt>
                <c:pt idx="2">
                  <c:v>0.50184602353374486</c:v>
                </c:pt>
                <c:pt idx="3">
                  <c:v>0.46486332912185474</c:v>
                </c:pt>
                <c:pt idx="4">
                  <c:v>0.42722669197194529</c:v>
                </c:pt>
                <c:pt idx="5">
                  <c:v>0.37128033945180955</c:v>
                </c:pt>
                <c:pt idx="6">
                  <c:v>0.36619430740452452</c:v>
                </c:pt>
              </c:numCache>
            </c:numRef>
          </c:val>
          <c:extLst>
            <c:ext xmlns:c16="http://schemas.microsoft.com/office/drawing/2014/chart" uri="{C3380CC4-5D6E-409C-BE32-E72D297353CC}">
              <c16:uniqueId val="{00000002-A96C-4FB4-AA9F-6220F26D4EEC}"/>
            </c:ext>
          </c:extLst>
        </c:ser>
        <c:ser>
          <c:idx val="3"/>
          <c:order val="3"/>
          <c:tx>
            <c:strRef>
              <c:f>BDP_doprinosi!$R$37</c:f>
              <c:strCache>
                <c:ptCount val="1"/>
                <c:pt idx="0">
                  <c:v>Услуге</c:v>
                </c:pt>
              </c:strCache>
            </c:strRef>
          </c:tx>
          <c:spPr>
            <a:solidFill>
              <a:srgbClr val="51BBE7"/>
            </a:solidFill>
            <a:ln>
              <a:noFill/>
            </a:ln>
            <a:effectLst/>
          </c:spPr>
          <c:invertIfNegative val="0"/>
          <c:cat>
            <c:numRef>
              <c:f>BDP_doprinosi!$AF$33:$AL$33</c:f>
              <c:numCache>
                <c:formatCode>General</c:formatCode>
                <c:ptCount val="7"/>
                <c:pt idx="0">
                  <c:v>2021</c:v>
                </c:pt>
                <c:pt idx="1">
                  <c:v>2022</c:v>
                </c:pt>
                <c:pt idx="2">
                  <c:v>2023</c:v>
                </c:pt>
                <c:pt idx="3">
                  <c:v>2024</c:v>
                </c:pt>
                <c:pt idx="4">
                  <c:v>2025</c:v>
                </c:pt>
                <c:pt idx="5">
                  <c:v>2026</c:v>
                </c:pt>
                <c:pt idx="6">
                  <c:v>2027</c:v>
                </c:pt>
              </c:numCache>
            </c:numRef>
          </c:cat>
          <c:val>
            <c:numRef>
              <c:f>BDP_doprinosi!$AF$37:$AL$37</c:f>
              <c:numCache>
                <c:formatCode>0.0</c:formatCode>
                <c:ptCount val="7"/>
                <c:pt idx="0">
                  <c:v>4.6475232521804202</c:v>
                </c:pt>
                <c:pt idx="1">
                  <c:v>2.2070509475026205</c:v>
                </c:pt>
                <c:pt idx="2">
                  <c:v>2.7753935944784551</c:v>
                </c:pt>
                <c:pt idx="3">
                  <c:v>2.384230656617937</c:v>
                </c:pt>
                <c:pt idx="4">
                  <c:v>2.2084348478350475</c:v>
                </c:pt>
                <c:pt idx="5">
                  <c:v>2.274358276128631</c:v>
                </c:pt>
                <c:pt idx="6">
                  <c:v>2.9885287493091193</c:v>
                </c:pt>
              </c:numCache>
            </c:numRef>
          </c:val>
          <c:extLst>
            <c:ext xmlns:c16="http://schemas.microsoft.com/office/drawing/2014/chart" uri="{C3380CC4-5D6E-409C-BE32-E72D297353CC}">
              <c16:uniqueId val="{00000003-A96C-4FB4-AA9F-6220F26D4EEC}"/>
            </c:ext>
          </c:extLst>
        </c:ser>
        <c:ser>
          <c:idx val="4"/>
          <c:order val="4"/>
          <c:tx>
            <c:strRef>
              <c:f>BDP_doprinosi!$R$38</c:f>
              <c:strCache>
                <c:ptCount val="1"/>
                <c:pt idx="0">
                  <c:v>Нето порези</c:v>
                </c:pt>
              </c:strCache>
            </c:strRef>
          </c:tx>
          <c:spPr>
            <a:solidFill>
              <a:srgbClr val="9ED1E6"/>
            </a:solidFill>
            <a:ln>
              <a:noFill/>
            </a:ln>
            <a:effectLst/>
          </c:spPr>
          <c:invertIfNegative val="0"/>
          <c:cat>
            <c:numRef>
              <c:f>BDP_doprinosi!$AF$33:$AL$33</c:f>
              <c:numCache>
                <c:formatCode>General</c:formatCode>
                <c:ptCount val="7"/>
                <c:pt idx="0">
                  <c:v>2021</c:v>
                </c:pt>
                <c:pt idx="1">
                  <c:v>2022</c:v>
                </c:pt>
                <c:pt idx="2">
                  <c:v>2023</c:v>
                </c:pt>
                <c:pt idx="3">
                  <c:v>2024</c:v>
                </c:pt>
                <c:pt idx="4">
                  <c:v>2025</c:v>
                </c:pt>
                <c:pt idx="5">
                  <c:v>2026</c:v>
                </c:pt>
                <c:pt idx="6">
                  <c:v>2027</c:v>
                </c:pt>
              </c:numCache>
            </c:numRef>
          </c:cat>
          <c:val>
            <c:numRef>
              <c:f>BDP_doprinosi!$AF$38:$AL$38</c:f>
              <c:numCache>
                <c:formatCode>0.0</c:formatCode>
                <c:ptCount val="7"/>
                <c:pt idx="0">
                  <c:v>1.3245271512478285</c:v>
                </c:pt>
                <c:pt idx="1">
                  <c:v>0.51992206841094535</c:v>
                </c:pt>
                <c:pt idx="2">
                  <c:v>-0.25460123616495017</c:v>
                </c:pt>
                <c:pt idx="3">
                  <c:v>0.7</c:v>
                </c:pt>
                <c:pt idx="4">
                  <c:v>0.55437406649441945</c:v>
                </c:pt>
                <c:pt idx="5">
                  <c:v>0.52565002159833563</c:v>
                </c:pt>
                <c:pt idx="6">
                  <c:v>0.63623759444825856</c:v>
                </c:pt>
              </c:numCache>
            </c:numRef>
          </c:val>
          <c:extLst>
            <c:ext xmlns:c16="http://schemas.microsoft.com/office/drawing/2014/chart" uri="{C3380CC4-5D6E-409C-BE32-E72D297353CC}">
              <c16:uniqueId val="{00000004-A96C-4FB4-AA9F-6220F26D4EEC}"/>
            </c:ext>
          </c:extLst>
        </c:ser>
        <c:dLbls>
          <c:showLegendKey val="0"/>
          <c:showVal val="0"/>
          <c:showCatName val="0"/>
          <c:showSerName val="0"/>
          <c:showPercent val="0"/>
          <c:showBubbleSize val="0"/>
        </c:dLbls>
        <c:gapWidth val="60"/>
        <c:overlap val="100"/>
        <c:axId val="1768857792"/>
        <c:axId val="1768858336"/>
      </c:barChart>
      <c:lineChart>
        <c:grouping val="standard"/>
        <c:varyColors val="0"/>
        <c:ser>
          <c:idx val="5"/>
          <c:order val="5"/>
          <c:tx>
            <c:strRef>
              <c:f>BDP_doprinosi!$R$39</c:f>
              <c:strCache>
                <c:ptCount val="1"/>
                <c:pt idx="0">
                  <c:v>Реални раст БДП</c:v>
                </c:pt>
              </c:strCache>
            </c:strRef>
          </c:tx>
          <c:spPr>
            <a:ln w="25400" cap="rnd">
              <a:solidFill>
                <a:srgbClr val="FF0000"/>
              </a:solidFill>
              <a:round/>
            </a:ln>
            <a:effectLst/>
          </c:spPr>
          <c:marker>
            <c:symbol val="none"/>
          </c:marker>
          <c:dLbls>
            <c:spPr>
              <a:noFill/>
              <a:ln>
                <a:noFill/>
              </a:ln>
              <a:effectLst/>
            </c:spPr>
            <c:txPr>
              <a:bodyPr rot="0" spcFirstLastPara="1" vertOverflow="ellipsis" vert="horz" wrap="square" anchor="ctr" anchorCtr="1"/>
              <a:lstStyle/>
              <a:p>
                <a:pPr>
                  <a:defRPr sz="750" b="1" i="0" u="none" strike="noStrike" kern="1200" baseline="0">
                    <a:solidFill>
                      <a:srgbClr val="FF0000"/>
                    </a:solidFill>
                    <a:latin typeface="Times New Roman" panose="02020603050405020304" pitchFamily="18" charset="0"/>
                    <a:ea typeface="+mn-ea"/>
                    <a:cs typeface="Arial" panose="020B0604020202020204" pitchFamily="34" charset="0"/>
                  </a:defRPr>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BDP_doprinosi!$AF$33:$AL$33</c:f>
              <c:numCache>
                <c:formatCode>General</c:formatCode>
                <c:ptCount val="7"/>
                <c:pt idx="0">
                  <c:v>2021</c:v>
                </c:pt>
                <c:pt idx="1">
                  <c:v>2022</c:v>
                </c:pt>
                <c:pt idx="2">
                  <c:v>2023</c:v>
                </c:pt>
                <c:pt idx="3">
                  <c:v>2024</c:v>
                </c:pt>
                <c:pt idx="4">
                  <c:v>2025</c:v>
                </c:pt>
                <c:pt idx="5">
                  <c:v>2026</c:v>
                </c:pt>
                <c:pt idx="6">
                  <c:v>2027</c:v>
                </c:pt>
              </c:numCache>
            </c:numRef>
          </c:cat>
          <c:val>
            <c:numRef>
              <c:f>BDP_doprinosi!$AF$39:$AL$39</c:f>
              <c:numCache>
                <c:formatCode>0.0</c:formatCode>
                <c:ptCount val="7"/>
                <c:pt idx="0">
                  <c:v>7.9490556418090472</c:v>
                </c:pt>
                <c:pt idx="1">
                  <c:v>2.6309864440884008</c:v>
                </c:pt>
                <c:pt idx="2">
                  <c:v>3.8474723264728401</c:v>
                </c:pt>
                <c:pt idx="3">
                  <c:v>3.7689431396426292</c:v>
                </c:pt>
                <c:pt idx="4">
                  <c:v>4.2235026480441356</c:v>
                </c:pt>
                <c:pt idx="5">
                  <c:v>4.0352733842958255</c:v>
                </c:pt>
                <c:pt idx="6">
                  <c:v>4.9612365747258842</c:v>
                </c:pt>
              </c:numCache>
            </c:numRef>
          </c:val>
          <c:smooth val="0"/>
          <c:extLst>
            <c:ext xmlns:c16="http://schemas.microsoft.com/office/drawing/2014/chart" uri="{C3380CC4-5D6E-409C-BE32-E72D297353CC}">
              <c16:uniqueId val="{00000005-A96C-4FB4-AA9F-6220F26D4EEC}"/>
            </c:ext>
          </c:extLst>
        </c:ser>
        <c:dLbls>
          <c:showLegendKey val="0"/>
          <c:showVal val="0"/>
          <c:showCatName val="0"/>
          <c:showSerName val="0"/>
          <c:showPercent val="0"/>
          <c:showBubbleSize val="0"/>
        </c:dLbls>
        <c:marker val="1"/>
        <c:smooth val="0"/>
        <c:axId val="1768857792"/>
        <c:axId val="1768858336"/>
      </c:lineChart>
      <c:catAx>
        <c:axId val="1768857792"/>
        <c:scaling>
          <c:orientation val="minMax"/>
        </c:scaling>
        <c:delete val="0"/>
        <c:axPos val="b"/>
        <c:numFmt formatCode="General" sourceLinked="1"/>
        <c:majorTickMark val="none"/>
        <c:minorTickMark val="none"/>
        <c:tickLblPos val="low"/>
        <c:spPr>
          <a:noFill/>
          <a:ln w="6350" cap="flat" cmpd="sng" algn="ctr">
            <a:solidFill>
              <a:srgbClr val="898989"/>
            </a:solidFill>
            <a:round/>
          </a:ln>
          <a:effectLst/>
        </c:spPr>
        <c:txPr>
          <a:bodyPr rot="-60000000" spcFirstLastPara="1" vertOverflow="ellipsis" vert="horz" wrap="square" anchor="ctr" anchorCtr="1"/>
          <a:lstStyle/>
          <a:p>
            <a:pPr>
              <a:defRPr sz="750" b="0" i="0" u="none" strike="noStrike" kern="1200" baseline="0">
                <a:solidFill>
                  <a:schemeClr val="tx2"/>
                </a:solidFill>
                <a:latin typeface="Times New Roman" panose="02020603050405020304" pitchFamily="18" charset="0"/>
                <a:ea typeface="+mn-ea"/>
                <a:cs typeface="Arial" panose="020B0604020202020204" pitchFamily="34" charset="0"/>
              </a:defRPr>
            </a:pPr>
            <a:endParaRPr lang="en-US"/>
          </a:p>
        </c:txPr>
        <c:crossAx val="1768858336"/>
        <c:crosses val="autoZero"/>
        <c:auto val="1"/>
        <c:lblAlgn val="ctr"/>
        <c:lblOffset val="100"/>
        <c:noMultiLvlLbl val="0"/>
      </c:catAx>
      <c:valAx>
        <c:axId val="1768858336"/>
        <c:scaling>
          <c:orientation val="minMax"/>
          <c:max val="9"/>
          <c:min val="-2"/>
        </c:scaling>
        <c:delete val="0"/>
        <c:axPos val="l"/>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750" b="0" i="0" u="none" strike="noStrike" kern="1200" baseline="0">
                <a:solidFill>
                  <a:schemeClr val="tx2"/>
                </a:solidFill>
                <a:latin typeface="Times New Roman" panose="02020603050405020304" pitchFamily="18" charset="0"/>
                <a:ea typeface="+mn-ea"/>
                <a:cs typeface="Arial" panose="020B0604020202020204" pitchFamily="34" charset="0"/>
              </a:defRPr>
            </a:pPr>
            <a:endParaRPr lang="en-US"/>
          </a:p>
        </c:txPr>
        <c:crossAx val="1768857792"/>
        <c:crosses val="autoZero"/>
        <c:crossBetween val="between"/>
        <c:majorUnit val="2"/>
      </c:valAx>
      <c:spPr>
        <a:noFill/>
        <a:ln>
          <a:noFill/>
        </a:ln>
        <a:effectLst/>
      </c:spPr>
    </c:plotArea>
    <c:legend>
      <c:legendPos val="b"/>
      <c:layout>
        <c:manualLayout>
          <c:xMode val="edge"/>
          <c:yMode val="edge"/>
          <c:x val="2.9349664625255175E-2"/>
          <c:y val="0.84945769449176611"/>
          <c:w val="0.93586103820355804"/>
          <c:h val="0.1475728752602688"/>
        </c:manualLayout>
      </c:layout>
      <c:overlay val="0"/>
      <c:spPr>
        <a:noFill/>
        <a:ln>
          <a:noFill/>
        </a:ln>
        <a:effectLst/>
      </c:spPr>
      <c:txPr>
        <a:bodyPr rot="0" spcFirstLastPara="1" vertOverflow="ellipsis" vert="horz" wrap="square" anchor="ctr" anchorCtr="1"/>
        <a:lstStyle/>
        <a:p>
          <a:pPr>
            <a:defRPr sz="750" b="0" i="0" u="none" strike="noStrike" kern="1200" baseline="0">
              <a:solidFill>
                <a:schemeClr val="tx2"/>
              </a:solidFill>
              <a:latin typeface="Times New Roman" panose="02020603050405020304" pitchFamily="18" charset="0"/>
              <a:ea typeface="+mn-ea"/>
              <a:cs typeface="Arial" panose="020B0604020202020204" pitchFamily="34" charset="0"/>
            </a:defRPr>
          </a:pPr>
          <a:endParaRPr lang="en-US"/>
        </a:p>
      </c:txPr>
    </c:legend>
    <c:plotVisOnly val="1"/>
    <c:dispBlanksAs val="gap"/>
    <c:showDLblsOverMax val="0"/>
  </c:chart>
  <c:spPr>
    <a:solidFill>
      <a:sysClr val="window" lastClr="FFFFFF"/>
    </a:solidFill>
    <a:ln w="9525" cap="flat" cmpd="sng" algn="ctr">
      <a:noFill/>
      <a:round/>
    </a:ln>
    <a:effectLst/>
  </c:spPr>
  <c:txPr>
    <a:bodyPr/>
    <a:lstStyle/>
    <a:p>
      <a:pPr>
        <a:defRPr sz="750">
          <a:solidFill>
            <a:schemeClr val="tx2"/>
          </a:solidFill>
          <a:latin typeface="+mn-lt"/>
          <a:cs typeface="Arial" panose="020B0604020202020204" pitchFamily="34" charset="0"/>
        </a:defRPr>
      </a:pPr>
      <a:endParaRPr lang="en-US"/>
    </a:p>
  </c:txPr>
  <c:externalData r:id="rId4">
    <c:autoUpdate val="0"/>
  </c:externalData>
  <c:userShapes r:id="rId5"/>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6.0253935185185188E-2"/>
          <c:y val="4.6197089947089945E-2"/>
          <c:w val="0.90740810185185183"/>
          <c:h val="0.69238921957671962"/>
        </c:manualLayout>
      </c:layout>
      <c:barChart>
        <c:barDir val="col"/>
        <c:grouping val="stacked"/>
        <c:varyColors val="0"/>
        <c:ser>
          <c:idx val="2"/>
          <c:order val="0"/>
          <c:tx>
            <c:strRef>
              <c:f>BDP_doprinosi!$R$8</c:f>
              <c:strCache>
                <c:ptCount val="1"/>
                <c:pt idx="0">
                  <c:v>Приватна потрошња</c:v>
                </c:pt>
              </c:strCache>
            </c:strRef>
          </c:tx>
          <c:spPr>
            <a:solidFill>
              <a:srgbClr val="10103C"/>
            </a:solidFill>
            <a:ln>
              <a:noFill/>
            </a:ln>
            <a:effectLst/>
          </c:spPr>
          <c:invertIfNegative val="0"/>
          <c:cat>
            <c:numRef>
              <c:f>BDP_doprinosi!$AE$6:$AL$6</c:f>
              <c:numCache>
                <c:formatCode>General</c:formatCode>
                <c:ptCount val="7"/>
                <c:pt idx="0">
                  <c:v>2021</c:v>
                </c:pt>
                <c:pt idx="1">
                  <c:v>2022</c:v>
                </c:pt>
                <c:pt idx="2">
                  <c:v>2023</c:v>
                </c:pt>
                <c:pt idx="3">
                  <c:v>2024</c:v>
                </c:pt>
                <c:pt idx="4">
                  <c:v>2025</c:v>
                </c:pt>
                <c:pt idx="5">
                  <c:v>2026</c:v>
                </c:pt>
                <c:pt idx="6">
                  <c:v>2027</c:v>
                </c:pt>
              </c:numCache>
              <c:extLst/>
            </c:numRef>
          </c:cat>
          <c:val>
            <c:numRef>
              <c:f>BDP_doprinosi!$AE$8:$AL$8</c:f>
              <c:numCache>
                <c:formatCode>0.0</c:formatCode>
                <c:ptCount val="7"/>
                <c:pt idx="0">
                  <c:v>4.9855144939129037</c:v>
                </c:pt>
                <c:pt idx="1">
                  <c:v>2.2066920500920113</c:v>
                </c:pt>
                <c:pt idx="2">
                  <c:v>0.33183102897687944</c:v>
                </c:pt>
                <c:pt idx="3">
                  <c:v>2.8380089567087738</c:v>
                </c:pt>
                <c:pt idx="4">
                  <c:v>2.6027349496918468</c:v>
                </c:pt>
                <c:pt idx="5">
                  <c:v>2.0421889228859427</c:v>
                </c:pt>
                <c:pt idx="6">
                  <c:v>1.8350608094368033</c:v>
                </c:pt>
              </c:numCache>
              <c:extLst/>
            </c:numRef>
          </c:val>
          <c:extLst>
            <c:ext xmlns:c16="http://schemas.microsoft.com/office/drawing/2014/chart" uri="{C3380CC4-5D6E-409C-BE32-E72D297353CC}">
              <c16:uniqueId val="{00000000-EA75-4A12-8B82-1596A1206ABB}"/>
            </c:ext>
          </c:extLst>
        </c:ser>
        <c:ser>
          <c:idx val="3"/>
          <c:order val="1"/>
          <c:tx>
            <c:strRef>
              <c:f>BDP_doprinosi!$R$9</c:f>
              <c:strCache>
                <c:ptCount val="1"/>
                <c:pt idx="0">
                  <c:v>Државна потрошња</c:v>
                </c:pt>
              </c:strCache>
            </c:strRef>
          </c:tx>
          <c:spPr>
            <a:solidFill>
              <a:srgbClr val="29489A"/>
            </a:solidFill>
            <a:ln>
              <a:noFill/>
            </a:ln>
            <a:effectLst/>
          </c:spPr>
          <c:invertIfNegative val="0"/>
          <c:cat>
            <c:numRef>
              <c:f>BDP_doprinosi!$AE$6:$AL$6</c:f>
              <c:numCache>
                <c:formatCode>General</c:formatCode>
                <c:ptCount val="7"/>
                <c:pt idx="0">
                  <c:v>2021</c:v>
                </c:pt>
                <c:pt idx="1">
                  <c:v>2022</c:v>
                </c:pt>
                <c:pt idx="2">
                  <c:v>2023</c:v>
                </c:pt>
                <c:pt idx="3">
                  <c:v>2024</c:v>
                </c:pt>
                <c:pt idx="4">
                  <c:v>2025</c:v>
                </c:pt>
                <c:pt idx="5">
                  <c:v>2026</c:v>
                </c:pt>
                <c:pt idx="6">
                  <c:v>2027</c:v>
                </c:pt>
              </c:numCache>
              <c:extLst/>
            </c:numRef>
          </c:cat>
          <c:val>
            <c:numRef>
              <c:f>BDP_doprinosi!$AE$9:$AL$9</c:f>
              <c:numCache>
                <c:formatCode>0.0</c:formatCode>
                <c:ptCount val="7"/>
                <c:pt idx="0">
                  <c:v>0.80633949006526828</c:v>
                </c:pt>
                <c:pt idx="1">
                  <c:v>0.24535717484312647</c:v>
                </c:pt>
                <c:pt idx="2">
                  <c:v>-0.44215128061637587</c:v>
                </c:pt>
                <c:pt idx="3">
                  <c:v>0.5396159959686283</c:v>
                </c:pt>
                <c:pt idx="4">
                  <c:v>0.38747322681066226</c:v>
                </c:pt>
                <c:pt idx="5">
                  <c:v>0.3803308631828145</c:v>
                </c:pt>
                <c:pt idx="6">
                  <c:v>0.33391463823559087</c:v>
                </c:pt>
              </c:numCache>
              <c:extLst/>
            </c:numRef>
          </c:val>
          <c:extLst>
            <c:ext xmlns:c16="http://schemas.microsoft.com/office/drawing/2014/chart" uri="{C3380CC4-5D6E-409C-BE32-E72D297353CC}">
              <c16:uniqueId val="{00000001-EA75-4A12-8B82-1596A1206ABB}"/>
            </c:ext>
          </c:extLst>
        </c:ser>
        <c:ser>
          <c:idx val="1"/>
          <c:order val="2"/>
          <c:tx>
            <c:strRef>
              <c:f>BDP_doprinosi!$R$10</c:f>
              <c:strCache>
                <c:ptCount val="1"/>
                <c:pt idx="0">
                  <c:v>Инвестиције</c:v>
                </c:pt>
              </c:strCache>
            </c:strRef>
          </c:tx>
          <c:spPr>
            <a:solidFill>
              <a:srgbClr val="2183C4"/>
            </a:solidFill>
            <a:ln>
              <a:noFill/>
            </a:ln>
            <a:effectLst/>
          </c:spPr>
          <c:invertIfNegative val="0"/>
          <c:cat>
            <c:numRef>
              <c:f>BDP_doprinosi!$AE$6:$AL$6</c:f>
              <c:numCache>
                <c:formatCode>General</c:formatCode>
                <c:ptCount val="7"/>
                <c:pt idx="0">
                  <c:v>2021</c:v>
                </c:pt>
                <c:pt idx="1">
                  <c:v>2022</c:v>
                </c:pt>
                <c:pt idx="2">
                  <c:v>2023</c:v>
                </c:pt>
                <c:pt idx="3">
                  <c:v>2024</c:v>
                </c:pt>
                <c:pt idx="4">
                  <c:v>2025</c:v>
                </c:pt>
                <c:pt idx="5">
                  <c:v>2026</c:v>
                </c:pt>
                <c:pt idx="6">
                  <c:v>2027</c:v>
                </c:pt>
              </c:numCache>
              <c:extLst/>
            </c:numRef>
          </c:cat>
          <c:val>
            <c:numRef>
              <c:f>BDP_doprinosi!$AE$10:$AL$10</c:f>
              <c:numCache>
                <c:formatCode>0.0</c:formatCode>
                <c:ptCount val="7"/>
                <c:pt idx="0">
                  <c:v>3.1469786984236165</c:v>
                </c:pt>
                <c:pt idx="1">
                  <c:v>0.5017158770996798</c:v>
                </c:pt>
                <c:pt idx="2">
                  <c:v>2.3213659464193923</c:v>
                </c:pt>
                <c:pt idx="3">
                  <c:v>2.2401409499740748</c:v>
                </c:pt>
                <c:pt idx="4">
                  <c:v>1.9783294058775911</c:v>
                </c:pt>
                <c:pt idx="5">
                  <c:v>1.9910612003078265</c:v>
                </c:pt>
                <c:pt idx="6">
                  <c:v>1.911843798362221</c:v>
                </c:pt>
              </c:numCache>
              <c:extLst/>
            </c:numRef>
          </c:val>
          <c:extLst>
            <c:ext xmlns:c16="http://schemas.microsoft.com/office/drawing/2014/chart" uri="{C3380CC4-5D6E-409C-BE32-E72D297353CC}">
              <c16:uniqueId val="{00000002-EA75-4A12-8B82-1596A1206ABB}"/>
            </c:ext>
          </c:extLst>
        </c:ser>
        <c:ser>
          <c:idx val="0"/>
          <c:order val="3"/>
          <c:tx>
            <c:strRef>
              <c:f>BDP_doprinosi!$R$11</c:f>
              <c:strCache>
                <c:ptCount val="1"/>
                <c:pt idx="0">
                  <c:v>Нето извоз</c:v>
                </c:pt>
              </c:strCache>
            </c:strRef>
          </c:tx>
          <c:spPr>
            <a:solidFill>
              <a:srgbClr val="51BBE7"/>
            </a:solidFill>
            <a:ln>
              <a:noFill/>
            </a:ln>
            <a:effectLst/>
          </c:spPr>
          <c:invertIfNegative val="0"/>
          <c:cat>
            <c:numRef>
              <c:f>BDP_doprinosi!$AE$6:$AL$6</c:f>
              <c:numCache>
                <c:formatCode>General</c:formatCode>
                <c:ptCount val="7"/>
                <c:pt idx="0">
                  <c:v>2021</c:v>
                </c:pt>
                <c:pt idx="1">
                  <c:v>2022</c:v>
                </c:pt>
                <c:pt idx="2">
                  <c:v>2023</c:v>
                </c:pt>
                <c:pt idx="3">
                  <c:v>2024</c:v>
                </c:pt>
                <c:pt idx="4">
                  <c:v>2025</c:v>
                </c:pt>
                <c:pt idx="5">
                  <c:v>2026</c:v>
                </c:pt>
                <c:pt idx="6">
                  <c:v>2027</c:v>
                </c:pt>
              </c:numCache>
              <c:extLst/>
            </c:numRef>
          </c:cat>
          <c:val>
            <c:numRef>
              <c:f>BDP_doprinosi!$AE$11:$AL$11</c:f>
              <c:numCache>
                <c:formatCode>0.0</c:formatCode>
                <c:ptCount val="7"/>
                <c:pt idx="0">
                  <c:v>-0.16502558242154691</c:v>
                </c:pt>
                <c:pt idx="1">
                  <c:v>-0.77659463953919172</c:v>
                </c:pt>
                <c:pt idx="2">
                  <c:v>2.8186404350303107</c:v>
                </c:pt>
                <c:pt idx="3">
                  <c:v>-2.5346390870821311</c:v>
                </c:pt>
                <c:pt idx="4">
                  <c:v>-0.85589776983835286</c:v>
                </c:pt>
                <c:pt idx="5">
                  <c:v>-0.48334199442912079</c:v>
                </c:pt>
                <c:pt idx="6">
                  <c:v>0.96700298187008515</c:v>
                </c:pt>
              </c:numCache>
              <c:extLst/>
            </c:numRef>
          </c:val>
          <c:extLst>
            <c:ext xmlns:c16="http://schemas.microsoft.com/office/drawing/2014/chart" uri="{C3380CC4-5D6E-409C-BE32-E72D297353CC}">
              <c16:uniqueId val="{00000003-EA75-4A12-8B82-1596A1206ABB}"/>
            </c:ext>
          </c:extLst>
        </c:ser>
        <c:ser>
          <c:idx val="4"/>
          <c:order val="4"/>
          <c:tx>
            <c:strRef>
              <c:f>BDP_doprinosi!$R$12</c:f>
              <c:strCache>
                <c:ptCount val="1"/>
                <c:pt idx="0">
                  <c:v>Промена у залихама</c:v>
                </c:pt>
              </c:strCache>
            </c:strRef>
          </c:tx>
          <c:spPr>
            <a:solidFill>
              <a:srgbClr val="9ED1E6"/>
            </a:solidFill>
            <a:ln>
              <a:noFill/>
            </a:ln>
            <a:effectLst/>
          </c:spPr>
          <c:invertIfNegative val="0"/>
          <c:cat>
            <c:numRef>
              <c:f>BDP_doprinosi!$AE$6:$AL$6</c:f>
              <c:numCache>
                <c:formatCode>General</c:formatCode>
                <c:ptCount val="7"/>
                <c:pt idx="0">
                  <c:v>2021</c:v>
                </c:pt>
                <c:pt idx="1">
                  <c:v>2022</c:v>
                </c:pt>
                <c:pt idx="2">
                  <c:v>2023</c:v>
                </c:pt>
                <c:pt idx="3">
                  <c:v>2024</c:v>
                </c:pt>
                <c:pt idx="4">
                  <c:v>2025</c:v>
                </c:pt>
                <c:pt idx="5">
                  <c:v>2026</c:v>
                </c:pt>
                <c:pt idx="6">
                  <c:v>2027</c:v>
                </c:pt>
              </c:numCache>
              <c:extLst/>
            </c:numRef>
          </c:cat>
          <c:val>
            <c:numRef>
              <c:f>BDP_doprinosi!$AE$12:$AL$12</c:f>
              <c:numCache>
                <c:formatCode>0.0</c:formatCode>
                <c:ptCount val="7"/>
                <c:pt idx="0">
                  <c:v>-0.82475029626915608</c:v>
                </c:pt>
                <c:pt idx="1">
                  <c:v>0.45381595902653044</c:v>
                </c:pt>
                <c:pt idx="2">
                  <c:v>-1.1822141759975731</c:v>
                </c:pt>
                <c:pt idx="3">
                  <c:v>0.6668731844306689</c:v>
                </c:pt>
                <c:pt idx="4">
                  <c:v>4.7360187458251768E-2</c:v>
                </c:pt>
                <c:pt idx="5">
                  <c:v>4.4761008052521221E-2</c:v>
                </c:pt>
                <c:pt idx="6">
                  <c:v>-4.7822227904700733E-2</c:v>
                </c:pt>
              </c:numCache>
              <c:extLst/>
            </c:numRef>
          </c:val>
          <c:extLst>
            <c:ext xmlns:c16="http://schemas.microsoft.com/office/drawing/2014/chart" uri="{C3380CC4-5D6E-409C-BE32-E72D297353CC}">
              <c16:uniqueId val="{00000004-EA75-4A12-8B82-1596A1206ABB}"/>
            </c:ext>
          </c:extLst>
        </c:ser>
        <c:dLbls>
          <c:showLegendKey val="0"/>
          <c:showVal val="0"/>
          <c:showCatName val="0"/>
          <c:showSerName val="0"/>
          <c:showPercent val="0"/>
          <c:showBubbleSize val="0"/>
        </c:dLbls>
        <c:gapWidth val="60"/>
        <c:overlap val="100"/>
        <c:axId val="1768857248"/>
        <c:axId val="1768855072"/>
      </c:barChart>
      <c:lineChart>
        <c:grouping val="standard"/>
        <c:varyColors val="0"/>
        <c:ser>
          <c:idx val="5"/>
          <c:order val="5"/>
          <c:tx>
            <c:strRef>
              <c:f>BDP_doprinosi!$R$13</c:f>
              <c:strCache>
                <c:ptCount val="1"/>
                <c:pt idx="0">
                  <c:v>Реални раст БДП</c:v>
                </c:pt>
              </c:strCache>
            </c:strRef>
          </c:tx>
          <c:spPr>
            <a:ln w="25400" cap="rnd">
              <a:solidFill>
                <a:srgbClr val="FF0000"/>
              </a:solidFill>
              <a:round/>
            </a:ln>
            <a:effectLst/>
          </c:spPr>
          <c:marker>
            <c:symbol val="none"/>
          </c:marker>
          <c:dLbls>
            <c:dLbl>
              <c:idx val="0"/>
              <c:layout>
                <c:manualLayout>
                  <c:x val="-6.1053514144065325E-2"/>
                  <c:y val="-9.5045400411964701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8E26-4228-889E-E635990F2AFC}"/>
                </c:ext>
              </c:extLst>
            </c:dLbl>
            <c:dLbl>
              <c:idx val="1"/>
              <c:layout>
                <c:manualLayout>
                  <c:x val="-5.1794254884806067E-2"/>
                  <c:y val="-0.13347526590743547"/>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8E26-4228-889E-E635990F2AFC}"/>
                </c:ext>
              </c:extLst>
            </c:dLbl>
            <c:dLbl>
              <c:idx val="2"/>
              <c:layout>
                <c:manualLayout>
                  <c:x val="-7.0312773403324633E-2"/>
                  <c:y val="-0.17190513140290625"/>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8E26-4228-889E-E635990F2AFC}"/>
                </c:ext>
              </c:extLst>
            </c:dLbl>
            <c:dLbl>
              <c:idx val="3"/>
              <c:layout>
                <c:manualLayout>
                  <c:x val="-6.1053514144065325E-2"/>
                  <c:y val="-0.21033499689837701"/>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8E26-4228-889E-E635990F2AFC}"/>
                </c:ext>
              </c:extLst>
            </c:dLbl>
            <c:dLbl>
              <c:idx val="4"/>
              <c:layout>
                <c:manualLayout>
                  <c:x val="-6.1053514144065409E-2"/>
                  <c:y val="-0.10602536198209921"/>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8E26-4228-889E-E635990F2AFC}"/>
                </c:ext>
              </c:extLst>
            </c:dLbl>
            <c:spPr>
              <a:noFill/>
              <a:ln>
                <a:noFill/>
              </a:ln>
              <a:effectLst/>
            </c:spPr>
            <c:txPr>
              <a:bodyPr rot="0" spcFirstLastPara="1" vertOverflow="ellipsis" vert="horz" wrap="square" anchor="ctr" anchorCtr="1"/>
              <a:lstStyle/>
              <a:p>
                <a:pPr>
                  <a:defRPr sz="750" b="1" i="0" u="none" strike="noStrike" kern="1200" baseline="0">
                    <a:solidFill>
                      <a:srgbClr val="FF0000"/>
                    </a:solidFill>
                    <a:latin typeface="Times New Roman" panose="02020603050405020304" pitchFamily="18" charset="0"/>
                    <a:ea typeface="+mn-ea"/>
                    <a:cs typeface="Arial" panose="020B0604020202020204" pitchFamily="34" charset="0"/>
                  </a:defRPr>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BDP_doprinosi!$AE$6:$AL$6</c:f>
              <c:numCache>
                <c:formatCode>General</c:formatCode>
                <c:ptCount val="7"/>
                <c:pt idx="0">
                  <c:v>2021</c:v>
                </c:pt>
                <c:pt idx="1">
                  <c:v>2022</c:v>
                </c:pt>
                <c:pt idx="2">
                  <c:v>2023</c:v>
                </c:pt>
                <c:pt idx="3">
                  <c:v>2024</c:v>
                </c:pt>
                <c:pt idx="4">
                  <c:v>2025</c:v>
                </c:pt>
                <c:pt idx="5">
                  <c:v>2026</c:v>
                </c:pt>
                <c:pt idx="6">
                  <c:v>2027</c:v>
                </c:pt>
              </c:numCache>
              <c:extLst/>
            </c:numRef>
          </c:cat>
          <c:val>
            <c:numRef>
              <c:f>BDP_doprinosi!$AE$13:$AL$13</c:f>
              <c:numCache>
                <c:formatCode>0.0</c:formatCode>
                <c:ptCount val="7"/>
                <c:pt idx="0">
                  <c:v>7.9490568037111009</c:v>
                </c:pt>
                <c:pt idx="1">
                  <c:v>2.6309864215221368</c:v>
                </c:pt>
                <c:pt idx="2">
                  <c:v>3.8474719538126321</c:v>
                </c:pt>
                <c:pt idx="3">
                  <c:v>3.8</c:v>
                </c:pt>
                <c:pt idx="4">
                  <c:v>4.2</c:v>
                </c:pt>
                <c:pt idx="5">
                  <c:v>4</c:v>
                </c:pt>
                <c:pt idx="6">
                  <c:v>5</c:v>
                </c:pt>
              </c:numCache>
              <c:extLst/>
            </c:numRef>
          </c:val>
          <c:smooth val="0"/>
          <c:extLst>
            <c:ext xmlns:c16="http://schemas.microsoft.com/office/drawing/2014/chart" uri="{C3380CC4-5D6E-409C-BE32-E72D297353CC}">
              <c16:uniqueId val="{00000005-EA75-4A12-8B82-1596A1206ABB}"/>
            </c:ext>
          </c:extLst>
        </c:ser>
        <c:dLbls>
          <c:showLegendKey val="0"/>
          <c:showVal val="0"/>
          <c:showCatName val="0"/>
          <c:showSerName val="0"/>
          <c:showPercent val="0"/>
          <c:showBubbleSize val="0"/>
        </c:dLbls>
        <c:marker val="1"/>
        <c:smooth val="0"/>
        <c:axId val="1768857248"/>
        <c:axId val="1768855072"/>
      </c:lineChart>
      <c:catAx>
        <c:axId val="1768857248"/>
        <c:scaling>
          <c:orientation val="minMax"/>
        </c:scaling>
        <c:delete val="0"/>
        <c:axPos val="b"/>
        <c:numFmt formatCode="General" sourceLinked="1"/>
        <c:majorTickMark val="none"/>
        <c:minorTickMark val="none"/>
        <c:tickLblPos val="low"/>
        <c:spPr>
          <a:noFill/>
          <a:ln w="6350" cap="flat" cmpd="sng" algn="ctr">
            <a:solidFill>
              <a:srgbClr val="898989"/>
            </a:solidFill>
            <a:round/>
          </a:ln>
          <a:effectLst/>
        </c:spPr>
        <c:txPr>
          <a:bodyPr rot="-60000000" spcFirstLastPara="1" vertOverflow="ellipsis" vert="horz" wrap="square" anchor="ctr" anchorCtr="1"/>
          <a:lstStyle/>
          <a:p>
            <a:pPr>
              <a:defRPr sz="750" b="0" i="0" u="none" strike="noStrike" kern="1200" baseline="0">
                <a:solidFill>
                  <a:schemeClr val="tx2"/>
                </a:solidFill>
                <a:latin typeface="Times New Roman" panose="02020603050405020304" pitchFamily="18" charset="0"/>
                <a:ea typeface="+mn-ea"/>
                <a:cs typeface="Arial" panose="020B0604020202020204" pitchFamily="34" charset="0"/>
              </a:defRPr>
            </a:pPr>
            <a:endParaRPr lang="en-US"/>
          </a:p>
        </c:txPr>
        <c:crossAx val="1768855072"/>
        <c:crosses val="autoZero"/>
        <c:auto val="1"/>
        <c:lblAlgn val="ctr"/>
        <c:lblOffset val="100"/>
        <c:noMultiLvlLbl val="0"/>
      </c:catAx>
      <c:valAx>
        <c:axId val="1768855072"/>
        <c:scaling>
          <c:orientation val="minMax"/>
          <c:min val="-2"/>
        </c:scaling>
        <c:delete val="0"/>
        <c:axPos val="l"/>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750" b="0" i="0" u="none" strike="noStrike" kern="1200" baseline="0">
                <a:solidFill>
                  <a:schemeClr val="tx2"/>
                </a:solidFill>
                <a:latin typeface="Times New Roman" panose="02020603050405020304" pitchFamily="18" charset="0"/>
                <a:ea typeface="+mn-ea"/>
                <a:cs typeface="Arial" panose="020B0604020202020204" pitchFamily="34" charset="0"/>
              </a:defRPr>
            </a:pPr>
            <a:endParaRPr lang="en-US"/>
          </a:p>
        </c:txPr>
        <c:crossAx val="1768857248"/>
        <c:crosses val="autoZero"/>
        <c:crossBetween val="between"/>
      </c:valAx>
      <c:spPr>
        <a:noFill/>
        <a:ln>
          <a:noFill/>
        </a:ln>
        <a:effectLst/>
      </c:spPr>
    </c:plotArea>
    <c:legend>
      <c:legendPos val="b"/>
      <c:layout>
        <c:manualLayout>
          <c:xMode val="edge"/>
          <c:yMode val="edge"/>
          <c:x val="0"/>
          <c:y val="0.83244109195402283"/>
          <c:w val="1"/>
          <c:h val="0.16755890804597701"/>
        </c:manualLayout>
      </c:layout>
      <c:overlay val="0"/>
      <c:spPr>
        <a:noFill/>
        <a:ln>
          <a:noFill/>
        </a:ln>
        <a:effectLst/>
      </c:spPr>
      <c:txPr>
        <a:bodyPr rot="0" spcFirstLastPara="1" vertOverflow="ellipsis" vert="horz" wrap="square" anchor="ctr" anchorCtr="1"/>
        <a:lstStyle/>
        <a:p>
          <a:pPr>
            <a:defRPr sz="750" b="0" i="0" u="none" strike="noStrike" kern="1200" baseline="0">
              <a:solidFill>
                <a:schemeClr val="tx2"/>
              </a:solidFill>
              <a:latin typeface="Times New Roman" panose="02020603050405020304" pitchFamily="18" charset="0"/>
              <a:ea typeface="+mn-ea"/>
              <a:cs typeface="Arial" panose="020B0604020202020204" pitchFamily="34" charset="0"/>
            </a:defRPr>
          </a:pPr>
          <a:endParaRPr lang="en-US"/>
        </a:p>
      </c:txPr>
    </c:legend>
    <c:plotVisOnly val="1"/>
    <c:dispBlanksAs val="gap"/>
    <c:showDLblsOverMax val="0"/>
  </c:chart>
  <c:spPr>
    <a:solidFill>
      <a:sysClr val="window" lastClr="FFFFFF"/>
    </a:solidFill>
    <a:ln w="9525" cap="flat" cmpd="sng" algn="ctr">
      <a:noFill/>
      <a:round/>
    </a:ln>
    <a:effectLst/>
  </c:spPr>
  <c:txPr>
    <a:bodyPr/>
    <a:lstStyle/>
    <a:p>
      <a:pPr>
        <a:defRPr sz="750">
          <a:solidFill>
            <a:schemeClr val="tx2"/>
          </a:solidFill>
          <a:latin typeface="+mn-lt"/>
          <a:cs typeface="Arial" panose="020B0604020202020204" pitchFamily="34" charset="0"/>
        </a:defRPr>
      </a:pPr>
      <a:endParaRPr lang="en-US"/>
    </a:p>
  </c:txPr>
  <c:externalData r:id="rId4">
    <c:autoUpdate val="0"/>
  </c:externalData>
  <c:userShapes r:id="rId5"/>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6.0253890798861412E-2"/>
          <c:y val="0.12259765625000001"/>
          <c:w val="0.90740810185185183"/>
          <c:h val="0.55332899305555561"/>
        </c:manualLayout>
      </c:layout>
      <c:barChart>
        <c:barDir val="col"/>
        <c:grouping val="stacked"/>
        <c:varyColors val="0"/>
        <c:ser>
          <c:idx val="2"/>
          <c:order val="1"/>
          <c:tx>
            <c:strRef>
              <c:f>'потенцијални BDP'!$D$5</c:f>
              <c:strCache>
                <c:ptCount val="1"/>
                <c:pt idx="0">
                  <c:v>Допринос фактора рада, п.п.</c:v>
                </c:pt>
              </c:strCache>
            </c:strRef>
          </c:tx>
          <c:spPr>
            <a:solidFill>
              <a:srgbClr val="10103C"/>
            </a:solidFill>
            <a:ln>
              <a:noFill/>
            </a:ln>
            <a:effectLst/>
          </c:spPr>
          <c:invertIfNegative val="0"/>
          <c:cat>
            <c:numRef>
              <c:f>'потенцијални BDP'!$B$14:$B$18</c:f>
              <c:numCache>
                <c:formatCode>General</c:formatCode>
                <c:ptCount val="5"/>
                <c:pt idx="0">
                  <c:v>2023</c:v>
                </c:pt>
                <c:pt idx="1">
                  <c:v>2024</c:v>
                </c:pt>
                <c:pt idx="2">
                  <c:v>2025</c:v>
                </c:pt>
                <c:pt idx="3">
                  <c:v>2026</c:v>
                </c:pt>
                <c:pt idx="4">
                  <c:v>2027</c:v>
                </c:pt>
              </c:numCache>
            </c:numRef>
          </c:cat>
          <c:val>
            <c:numRef>
              <c:f>'потенцијални BDP'!$D$14:$D$18</c:f>
              <c:numCache>
                <c:formatCode>0.0</c:formatCode>
                <c:ptCount val="5"/>
                <c:pt idx="0">
                  <c:v>0.75785409701585982</c:v>
                </c:pt>
                <c:pt idx="1">
                  <c:v>0.75734754324752851</c:v>
                </c:pt>
                <c:pt idx="2">
                  <c:v>0.56563013064137913</c:v>
                </c:pt>
                <c:pt idx="3">
                  <c:v>0.51530138875533704</c:v>
                </c:pt>
                <c:pt idx="4">
                  <c:v>0.43322461127278555</c:v>
                </c:pt>
              </c:numCache>
            </c:numRef>
          </c:val>
          <c:extLst>
            <c:ext xmlns:c16="http://schemas.microsoft.com/office/drawing/2014/chart" uri="{C3380CC4-5D6E-409C-BE32-E72D297353CC}">
              <c16:uniqueId val="{00000000-4849-4DC5-80AF-15B86441DB71}"/>
            </c:ext>
          </c:extLst>
        </c:ser>
        <c:ser>
          <c:idx val="1"/>
          <c:order val="2"/>
          <c:tx>
            <c:strRef>
              <c:f>'потенцијални BDP'!$E$5</c:f>
              <c:strCache>
                <c:ptCount val="1"/>
                <c:pt idx="0">
                  <c:v>Допринос капитала, п.п.</c:v>
                </c:pt>
              </c:strCache>
            </c:strRef>
          </c:tx>
          <c:spPr>
            <a:solidFill>
              <a:srgbClr val="29489A"/>
            </a:solidFill>
            <a:ln>
              <a:noFill/>
            </a:ln>
            <a:effectLst/>
          </c:spPr>
          <c:invertIfNegative val="0"/>
          <c:cat>
            <c:numRef>
              <c:f>'потенцијални BDP'!$B$14:$B$18</c:f>
              <c:numCache>
                <c:formatCode>General</c:formatCode>
                <c:ptCount val="5"/>
                <c:pt idx="0">
                  <c:v>2023</c:v>
                </c:pt>
                <c:pt idx="1">
                  <c:v>2024</c:v>
                </c:pt>
                <c:pt idx="2">
                  <c:v>2025</c:v>
                </c:pt>
                <c:pt idx="3">
                  <c:v>2026</c:v>
                </c:pt>
                <c:pt idx="4">
                  <c:v>2027</c:v>
                </c:pt>
              </c:numCache>
            </c:numRef>
          </c:cat>
          <c:val>
            <c:numRef>
              <c:f>'потенцијални BDP'!$E$14:$E$18</c:f>
              <c:numCache>
                <c:formatCode>0.0</c:formatCode>
                <c:ptCount val="5"/>
                <c:pt idx="0">
                  <c:v>1.6616053399226458</c:v>
                </c:pt>
                <c:pt idx="1">
                  <c:v>1.8440653836107743</c:v>
                </c:pt>
                <c:pt idx="2">
                  <c:v>1.9486397777409556</c:v>
                </c:pt>
                <c:pt idx="3">
                  <c:v>2.0334896181511097</c:v>
                </c:pt>
                <c:pt idx="4">
                  <c:v>2.0855185057317405</c:v>
                </c:pt>
              </c:numCache>
            </c:numRef>
          </c:val>
          <c:extLst>
            <c:ext xmlns:c16="http://schemas.microsoft.com/office/drawing/2014/chart" uri="{C3380CC4-5D6E-409C-BE32-E72D297353CC}">
              <c16:uniqueId val="{00000001-4849-4DC5-80AF-15B86441DB71}"/>
            </c:ext>
          </c:extLst>
        </c:ser>
        <c:ser>
          <c:idx val="3"/>
          <c:order val="3"/>
          <c:tx>
            <c:strRef>
              <c:f>'потенцијални BDP'!$F$5</c:f>
              <c:strCache>
                <c:ptCount val="1"/>
                <c:pt idx="0">
                  <c:v>ТФП, п.п.</c:v>
                </c:pt>
              </c:strCache>
            </c:strRef>
          </c:tx>
          <c:spPr>
            <a:solidFill>
              <a:srgbClr val="51BBE7"/>
            </a:solidFill>
            <a:ln>
              <a:noFill/>
            </a:ln>
            <a:effectLst/>
          </c:spPr>
          <c:invertIfNegative val="0"/>
          <c:cat>
            <c:numRef>
              <c:f>'потенцијални BDP'!$B$14:$B$18</c:f>
              <c:numCache>
                <c:formatCode>General</c:formatCode>
                <c:ptCount val="5"/>
                <c:pt idx="0">
                  <c:v>2023</c:v>
                </c:pt>
                <c:pt idx="1">
                  <c:v>2024</c:v>
                </c:pt>
                <c:pt idx="2">
                  <c:v>2025</c:v>
                </c:pt>
                <c:pt idx="3">
                  <c:v>2026</c:v>
                </c:pt>
                <c:pt idx="4">
                  <c:v>2027</c:v>
                </c:pt>
              </c:numCache>
            </c:numRef>
          </c:cat>
          <c:val>
            <c:numRef>
              <c:f>'потенцијални BDP'!$F$14:$F$18</c:f>
              <c:numCache>
                <c:formatCode>0.0</c:formatCode>
                <c:ptCount val="5"/>
                <c:pt idx="0">
                  <c:v>1.5446839629835762</c:v>
                </c:pt>
                <c:pt idx="1">
                  <c:v>1.4117272984149343</c:v>
                </c:pt>
                <c:pt idx="2">
                  <c:v>1.553052549374049</c:v>
                </c:pt>
                <c:pt idx="3">
                  <c:v>1.5572220880842322</c:v>
                </c:pt>
                <c:pt idx="4">
                  <c:v>1.5903046929206779</c:v>
                </c:pt>
              </c:numCache>
            </c:numRef>
          </c:val>
          <c:extLst>
            <c:ext xmlns:c16="http://schemas.microsoft.com/office/drawing/2014/chart" uri="{C3380CC4-5D6E-409C-BE32-E72D297353CC}">
              <c16:uniqueId val="{00000002-4849-4DC5-80AF-15B86441DB71}"/>
            </c:ext>
          </c:extLst>
        </c:ser>
        <c:dLbls>
          <c:showLegendKey val="0"/>
          <c:showVal val="0"/>
          <c:showCatName val="0"/>
          <c:showSerName val="0"/>
          <c:showPercent val="0"/>
          <c:showBubbleSize val="0"/>
        </c:dLbls>
        <c:gapWidth val="60"/>
        <c:overlap val="100"/>
        <c:axId val="1961428144"/>
        <c:axId val="1961437392"/>
      </c:barChart>
      <c:lineChart>
        <c:grouping val="standard"/>
        <c:varyColors val="0"/>
        <c:ser>
          <c:idx val="0"/>
          <c:order val="0"/>
          <c:tx>
            <c:strRef>
              <c:f>'потенцијални BDP'!$C$5</c:f>
              <c:strCache>
                <c:ptCount val="1"/>
                <c:pt idx="0">
                  <c:v>Раст потенцијалног БДП, %</c:v>
                </c:pt>
              </c:strCache>
            </c:strRef>
          </c:tx>
          <c:spPr>
            <a:ln w="28575" cap="rnd">
              <a:solidFill>
                <a:srgbClr val="FF0000"/>
              </a:solidFill>
              <a:round/>
            </a:ln>
            <a:effectLst/>
          </c:spPr>
          <c:marker>
            <c:symbol val="none"/>
          </c:marker>
          <c:cat>
            <c:numRef>
              <c:f>'потенцијални BDP'!$B$14:$B$18</c:f>
              <c:numCache>
                <c:formatCode>General</c:formatCode>
                <c:ptCount val="5"/>
                <c:pt idx="0">
                  <c:v>2023</c:v>
                </c:pt>
                <c:pt idx="1">
                  <c:v>2024</c:v>
                </c:pt>
                <c:pt idx="2">
                  <c:v>2025</c:v>
                </c:pt>
                <c:pt idx="3">
                  <c:v>2026</c:v>
                </c:pt>
                <c:pt idx="4">
                  <c:v>2027</c:v>
                </c:pt>
              </c:numCache>
            </c:numRef>
          </c:cat>
          <c:val>
            <c:numRef>
              <c:f>'потенцијални BDP'!$C$14:$C$18</c:f>
              <c:numCache>
                <c:formatCode>0.0</c:formatCode>
                <c:ptCount val="5"/>
                <c:pt idx="0">
                  <c:v>3.9641433999220821</c:v>
                </c:pt>
                <c:pt idx="1">
                  <c:v>4.0131402252732373</c:v>
                </c:pt>
                <c:pt idx="2">
                  <c:v>4.0673224577563838</c:v>
                </c:pt>
                <c:pt idx="3">
                  <c:v>4.1060130949906792</c:v>
                </c:pt>
                <c:pt idx="4">
                  <c:v>4.1090478099252037</c:v>
                </c:pt>
              </c:numCache>
            </c:numRef>
          </c:val>
          <c:smooth val="0"/>
          <c:extLst>
            <c:ext xmlns:c16="http://schemas.microsoft.com/office/drawing/2014/chart" uri="{C3380CC4-5D6E-409C-BE32-E72D297353CC}">
              <c16:uniqueId val="{00000003-4849-4DC5-80AF-15B86441DB71}"/>
            </c:ext>
          </c:extLst>
        </c:ser>
        <c:dLbls>
          <c:showLegendKey val="0"/>
          <c:showVal val="0"/>
          <c:showCatName val="0"/>
          <c:showSerName val="0"/>
          <c:showPercent val="0"/>
          <c:showBubbleSize val="0"/>
        </c:dLbls>
        <c:marker val="1"/>
        <c:smooth val="0"/>
        <c:axId val="1961428144"/>
        <c:axId val="1961437392"/>
      </c:lineChart>
      <c:catAx>
        <c:axId val="1961428144"/>
        <c:scaling>
          <c:orientation val="minMax"/>
        </c:scaling>
        <c:delete val="0"/>
        <c:axPos val="b"/>
        <c:numFmt formatCode="General" sourceLinked="1"/>
        <c:majorTickMark val="none"/>
        <c:minorTickMark val="none"/>
        <c:tickLblPos val="low"/>
        <c:spPr>
          <a:noFill/>
          <a:ln w="6350" cap="flat" cmpd="sng" algn="ctr">
            <a:solidFill>
              <a:srgbClr val="898989"/>
            </a:solidFill>
            <a:round/>
          </a:ln>
          <a:effectLst/>
        </c:spPr>
        <c:txPr>
          <a:bodyPr rot="-60000000" spcFirstLastPara="1" vertOverflow="ellipsis" vert="horz" wrap="square" anchor="ctr" anchorCtr="1"/>
          <a:lstStyle/>
          <a:p>
            <a:pPr>
              <a:defRPr sz="750" b="0" i="0" u="none" strike="noStrike" kern="1200" baseline="0">
                <a:solidFill>
                  <a:schemeClr val="tx2"/>
                </a:solidFill>
                <a:latin typeface="Times New Roman" panose="02020603050405020304" pitchFamily="18" charset="0"/>
                <a:ea typeface="+mn-ea"/>
                <a:cs typeface="Arial" panose="020B0604020202020204" pitchFamily="34" charset="0"/>
              </a:defRPr>
            </a:pPr>
            <a:endParaRPr lang="en-US"/>
          </a:p>
        </c:txPr>
        <c:crossAx val="1961437392"/>
        <c:crossesAt val="0"/>
        <c:auto val="1"/>
        <c:lblAlgn val="ctr"/>
        <c:lblOffset val="100"/>
        <c:noMultiLvlLbl val="0"/>
      </c:catAx>
      <c:valAx>
        <c:axId val="1961437392"/>
        <c:scaling>
          <c:orientation val="minMax"/>
          <c:min val="0"/>
        </c:scaling>
        <c:delete val="0"/>
        <c:axPos val="l"/>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750" b="0" i="0" u="none" strike="noStrike" kern="1200" baseline="0">
                <a:solidFill>
                  <a:schemeClr val="tx2"/>
                </a:solidFill>
                <a:latin typeface="Times New Roman" panose="02020603050405020304" pitchFamily="18" charset="0"/>
                <a:ea typeface="+mn-ea"/>
                <a:cs typeface="Arial" panose="020B0604020202020204" pitchFamily="34" charset="0"/>
              </a:defRPr>
            </a:pPr>
            <a:endParaRPr lang="en-US"/>
          </a:p>
        </c:txPr>
        <c:crossAx val="1961428144"/>
        <c:crosses val="autoZero"/>
        <c:crossBetween val="between"/>
        <c:majorUnit val="1"/>
        <c:minorUnit val="0.2"/>
      </c:valAx>
      <c:spPr>
        <a:noFill/>
        <a:ln>
          <a:noFill/>
        </a:ln>
        <a:effectLst/>
      </c:spPr>
    </c:plotArea>
    <c:legend>
      <c:legendPos val="b"/>
      <c:layout>
        <c:manualLayout>
          <c:xMode val="edge"/>
          <c:yMode val="edge"/>
          <c:x val="1.4346234889652889E-3"/>
          <c:y val="0.79209678819444451"/>
          <c:w val="0.99827437063324831"/>
          <c:h val="0.19444878472222224"/>
        </c:manualLayout>
      </c:layout>
      <c:overlay val="0"/>
      <c:spPr>
        <a:noFill/>
        <a:ln>
          <a:noFill/>
        </a:ln>
        <a:effectLst/>
      </c:spPr>
      <c:txPr>
        <a:bodyPr rot="0" spcFirstLastPara="1" vertOverflow="ellipsis" vert="horz" wrap="square" anchor="ctr" anchorCtr="1"/>
        <a:lstStyle/>
        <a:p>
          <a:pPr>
            <a:defRPr sz="750" b="0" i="0" u="none" strike="noStrike" kern="1200" baseline="0">
              <a:solidFill>
                <a:schemeClr val="tx2"/>
              </a:solidFill>
              <a:latin typeface="Times New Roman" panose="02020603050405020304" pitchFamily="18" charset="0"/>
              <a:ea typeface="+mn-ea"/>
              <a:cs typeface="Arial" panose="020B0604020202020204" pitchFamily="34" charset="0"/>
            </a:defRPr>
          </a:pPr>
          <a:endParaRPr lang="en-US"/>
        </a:p>
      </c:txPr>
    </c:legend>
    <c:plotVisOnly val="1"/>
    <c:dispBlanksAs val="gap"/>
    <c:showDLblsOverMax val="0"/>
  </c:chart>
  <c:spPr>
    <a:solidFill>
      <a:sysClr val="window" lastClr="FFFFFF"/>
    </a:solidFill>
    <a:ln w="9525" cap="flat" cmpd="sng" algn="ctr">
      <a:noFill/>
      <a:round/>
    </a:ln>
    <a:effectLst/>
  </c:spPr>
  <c:txPr>
    <a:bodyPr/>
    <a:lstStyle/>
    <a:p>
      <a:pPr>
        <a:defRPr sz="750">
          <a:solidFill>
            <a:schemeClr val="tx2"/>
          </a:solidFill>
          <a:latin typeface="+mn-lt"/>
          <a:cs typeface="Arial" panose="020B0604020202020204" pitchFamily="34" charset="0"/>
        </a:defRPr>
      </a:pPr>
      <a:endParaRPr lang="en-US"/>
    </a:p>
  </c:txPr>
  <c:externalData r:id="rId4">
    <c:autoUpdate val="0"/>
  </c:externalData>
  <c:userShapes r:id="rId5"/>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areaChart>
        <c:grouping val="stacked"/>
        <c:varyColors val="0"/>
        <c:ser>
          <c:idx val="0"/>
          <c:order val="0"/>
          <c:tx>
            <c:strRef>
              <c:f>'Yearly GDP chart fan'!$AE$16</c:f>
              <c:strCache>
                <c:ptCount val="1"/>
                <c:pt idx="0">
                  <c:v>Baza</c:v>
                </c:pt>
              </c:strCache>
            </c:strRef>
          </c:tx>
          <c:spPr>
            <a:noFill/>
            <a:ln>
              <a:noFill/>
            </a:ln>
            <a:effectLst/>
          </c:spPr>
          <c:cat>
            <c:numRef>
              <c:f>'Yearly GDP chart fan'!$C$17:$C$25</c:f>
              <c:numCache>
                <c:formatCode>General</c:formatCode>
                <c:ptCount val="8"/>
                <c:pt idx="0">
                  <c:v>2020</c:v>
                </c:pt>
                <c:pt idx="1">
                  <c:v>2021</c:v>
                </c:pt>
                <c:pt idx="2">
                  <c:v>2022</c:v>
                </c:pt>
                <c:pt idx="3">
                  <c:v>2023</c:v>
                </c:pt>
                <c:pt idx="4">
                  <c:v>2024</c:v>
                </c:pt>
                <c:pt idx="5">
                  <c:v>2025</c:v>
                </c:pt>
                <c:pt idx="6">
                  <c:v>2026</c:v>
                </c:pt>
                <c:pt idx="7">
                  <c:v>2027</c:v>
                </c:pt>
              </c:numCache>
              <c:extLst/>
            </c:numRef>
          </c:cat>
          <c:val>
            <c:numRef>
              <c:f>'Yearly GDP chart fan'!$AE$17:$AE$25</c:f>
              <c:numCache>
                <c:formatCode>0.00</c:formatCode>
                <c:ptCount val="8"/>
                <c:pt idx="0">
                  <c:v>-0.95002358986207014</c:v>
                </c:pt>
                <c:pt idx="1">
                  <c:v>7.9490568037111018</c:v>
                </c:pt>
                <c:pt idx="2">
                  <c:v>2.6309864215221239</c:v>
                </c:pt>
                <c:pt idx="3">
                  <c:v>3.8474719538126294</c:v>
                </c:pt>
                <c:pt idx="4">
                  <c:v>2.6999999999999997</c:v>
                </c:pt>
                <c:pt idx="5">
                  <c:v>2.5666666666666673</c:v>
                </c:pt>
                <c:pt idx="6">
                  <c:v>1.8333333333333328</c:v>
                </c:pt>
                <c:pt idx="7">
                  <c:v>2.2999999999999998</c:v>
                </c:pt>
              </c:numCache>
              <c:extLst/>
            </c:numRef>
          </c:val>
          <c:extLst>
            <c:ext xmlns:c16="http://schemas.microsoft.com/office/drawing/2014/chart" uri="{C3380CC4-5D6E-409C-BE32-E72D297353CC}">
              <c16:uniqueId val="{00000000-E281-4DD0-89D7-876AFFB4AF47}"/>
            </c:ext>
          </c:extLst>
        </c:ser>
        <c:ser>
          <c:idx val="1"/>
          <c:order val="1"/>
          <c:tx>
            <c:strRef>
              <c:f>'Yearly GDP chart fan'!$AF$16</c:f>
              <c:strCache>
                <c:ptCount val="1"/>
                <c:pt idx="0">
                  <c:v>Lower 10</c:v>
                </c:pt>
              </c:strCache>
            </c:strRef>
          </c:tx>
          <c:spPr>
            <a:solidFill>
              <a:srgbClr val="C00000">
                <a:alpha val="10000"/>
              </a:srgbClr>
            </a:solidFill>
            <a:ln w="25400">
              <a:noFill/>
            </a:ln>
            <a:effectLst/>
          </c:spPr>
          <c:cat>
            <c:numRef>
              <c:f>'Yearly GDP chart fan'!$C$17:$C$25</c:f>
              <c:numCache>
                <c:formatCode>General</c:formatCode>
                <c:ptCount val="8"/>
                <c:pt idx="0">
                  <c:v>2020</c:v>
                </c:pt>
                <c:pt idx="1">
                  <c:v>2021</c:v>
                </c:pt>
                <c:pt idx="2">
                  <c:v>2022</c:v>
                </c:pt>
                <c:pt idx="3">
                  <c:v>2023</c:v>
                </c:pt>
                <c:pt idx="4">
                  <c:v>2024</c:v>
                </c:pt>
                <c:pt idx="5">
                  <c:v>2025</c:v>
                </c:pt>
                <c:pt idx="6">
                  <c:v>2026</c:v>
                </c:pt>
                <c:pt idx="7">
                  <c:v>2027</c:v>
                </c:pt>
              </c:numCache>
              <c:extLst/>
            </c:numRef>
          </c:cat>
          <c:val>
            <c:numRef>
              <c:f>'Yearly GDP chart fan'!$AF$17:$AF$25</c:f>
              <c:numCache>
                <c:formatCode>0.00</c:formatCode>
                <c:ptCount val="8"/>
                <c:pt idx="0">
                  <c:v>0</c:v>
                </c:pt>
                <c:pt idx="1">
                  <c:v>0</c:v>
                </c:pt>
                <c:pt idx="2">
                  <c:v>0</c:v>
                </c:pt>
                <c:pt idx="3" formatCode="0.0000">
                  <c:v>0</c:v>
                </c:pt>
                <c:pt idx="4" formatCode="0.0000">
                  <c:v>0.20952380952380967</c:v>
                </c:pt>
                <c:pt idx="5" formatCode="0.0000">
                  <c:v>0.31111111111111089</c:v>
                </c:pt>
                <c:pt idx="6" formatCode="0.0000">
                  <c:v>0.41269841269841279</c:v>
                </c:pt>
                <c:pt idx="7" formatCode="0.0000">
                  <c:v>0.51428571428571423</c:v>
                </c:pt>
              </c:numCache>
              <c:extLst/>
            </c:numRef>
          </c:val>
          <c:extLst>
            <c:ext xmlns:c16="http://schemas.microsoft.com/office/drawing/2014/chart" uri="{C3380CC4-5D6E-409C-BE32-E72D297353CC}">
              <c16:uniqueId val="{00000001-E281-4DD0-89D7-876AFFB4AF47}"/>
            </c:ext>
          </c:extLst>
        </c:ser>
        <c:ser>
          <c:idx val="2"/>
          <c:order val="2"/>
          <c:tx>
            <c:strRef>
              <c:f>'Yearly GDP chart fan'!$AG$16</c:f>
              <c:strCache>
                <c:ptCount val="1"/>
                <c:pt idx="0">
                  <c:v>Lower 9</c:v>
                </c:pt>
              </c:strCache>
            </c:strRef>
          </c:tx>
          <c:spPr>
            <a:solidFill>
              <a:srgbClr val="C00000">
                <a:alpha val="20000"/>
              </a:srgbClr>
            </a:solidFill>
            <a:ln w="25400">
              <a:noFill/>
            </a:ln>
            <a:effectLst/>
          </c:spPr>
          <c:cat>
            <c:numRef>
              <c:f>'Yearly GDP chart fan'!$C$17:$C$25</c:f>
              <c:numCache>
                <c:formatCode>General</c:formatCode>
                <c:ptCount val="8"/>
                <c:pt idx="0">
                  <c:v>2020</c:v>
                </c:pt>
                <c:pt idx="1">
                  <c:v>2021</c:v>
                </c:pt>
                <c:pt idx="2">
                  <c:v>2022</c:v>
                </c:pt>
                <c:pt idx="3">
                  <c:v>2023</c:v>
                </c:pt>
                <c:pt idx="4">
                  <c:v>2024</c:v>
                </c:pt>
                <c:pt idx="5">
                  <c:v>2025</c:v>
                </c:pt>
                <c:pt idx="6">
                  <c:v>2026</c:v>
                </c:pt>
                <c:pt idx="7">
                  <c:v>2027</c:v>
                </c:pt>
              </c:numCache>
              <c:extLst/>
            </c:numRef>
          </c:cat>
          <c:val>
            <c:numRef>
              <c:f>'Yearly GDP chart fan'!$AG$17:$AG$25</c:f>
              <c:numCache>
                <c:formatCode>0.00</c:formatCode>
                <c:ptCount val="8"/>
                <c:pt idx="0">
                  <c:v>0</c:v>
                </c:pt>
                <c:pt idx="1">
                  <c:v>0</c:v>
                </c:pt>
                <c:pt idx="2">
                  <c:v>0</c:v>
                </c:pt>
                <c:pt idx="3" formatCode="0.0000">
                  <c:v>0</c:v>
                </c:pt>
                <c:pt idx="4" formatCode="0.0000">
                  <c:v>0.18740740740740724</c:v>
                </c:pt>
                <c:pt idx="5" formatCode="0.0000">
                  <c:v>0.27827160493827163</c:v>
                </c:pt>
                <c:pt idx="6" formatCode="0.0000">
                  <c:v>0.36913580246913602</c:v>
                </c:pt>
                <c:pt idx="7" formatCode="0.0000">
                  <c:v>0.45999999999999996</c:v>
                </c:pt>
              </c:numCache>
              <c:extLst/>
            </c:numRef>
          </c:val>
          <c:extLst>
            <c:ext xmlns:c16="http://schemas.microsoft.com/office/drawing/2014/chart" uri="{C3380CC4-5D6E-409C-BE32-E72D297353CC}">
              <c16:uniqueId val="{00000002-E281-4DD0-89D7-876AFFB4AF47}"/>
            </c:ext>
          </c:extLst>
        </c:ser>
        <c:ser>
          <c:idx val="3"/>
          <c:order val="3"/>
          <c:tx>
            <c:strRef>
              <c:f>'Yearly GDP chart fan'!$AH$16</c:f>
              <c:strCache>
                <c:ptCount val="1"/>
                <c:pt idx="0">
                  <c:v>Lower 8</c:v>
                </c:pt>
              </c:strCache>
            </c:strRef>
          </c:tx>
          <c:spPr>
            <a:solidFill>
              <a:srgbClr val="C00000">
                <a:alpha val="30000"/>
              </a:srgbClr>
            </a:solidFill>
            <a:ln w="25400">
              <a:noFill/>
            </a:ln>
            <a:effectLst/>
          </c:spPr>
          <c:cat>
            <c:numRef>
              <c:f>'Yearly GDP chart fan'!$C$17:$C$25</c:f>
              <c:numCache>
                <c:formatCode>General</c:formatCode>
                <c:ptCount val="8"/>
                <c:pt idx="0">
                  <c:v>2020</c:v>
                </c:pt>
                <c:pt idx="1">
                  <c:v>2021</c:v>
                </c:pt>
                <c:pt idx="2">
                  <c:v>2022</c:v>
                </c:pt>
                <c:pt idx="3">
                  <c:v>2023</c:v>
                </c:pt>
                <c:pt idx="4">
                  <c:v>2024</c:v>
                </c:pt>
                <c:pt idx="5">
                  <c:v>2025</c:v>
                </c:pt>
                <c:pt idx="6">
                  <c:v>2026</c:v>
                </c:pt>
                <c:pt idx="7">
                  <c:v>2027</c:v>
                </c:pt>
              </c:numCache>
              <c:extLst/>
            </c:numRef>
          </c:cat>
          <c:val>
            <c:numRef>
              <c:f>'Yearly GDP chart fan'!$AH$17:$AH$25</c:f>
              <c:numCache>
                <c:formatCode>0.00</c:formatCode>
                <c:ptCount val="8"/>
                <c:pt idx="0">
                  <c:v>0</c:v>
                </c:pt>
                <c:pt idx="1">
                  <c:v>0</c:v>
                </c:pt>
                <c:pt idx="2">
                  <c:v>0</c:v>
                </c:pt>
                <c:pt idx="3" formatCode="0.0000">
                  <c:v>0</c:v>
                </c:pt>
                <c:pt idx="4" formatCode="0.0000">
                  <c:v>0.16529100529100527</c:v>
                </c:pt>
                <c:pt idx="5" formatCode="0.0000">
                  <c:v>0.24543209876543193</c:v>
                </c:pt>
                <c:pt idx="6" formatCode="0.0000">
                  <c:v>0.32557319223985903</c:v>
                </c:pt>
                <c:pt idx="7" formatCode="0.0000">
                  <c:v>0.40571428571428569</c:v>
                </c:pt>
              </c:numCache>
              <c:extLst/>
            </c:numRef>
          </c:val>
          <c:extLst>
            <c:ext xmlns:c16="http://schemas.microsoft.com/office/drawing/2014/chart" uri="{C3380CC4-5D6E-409C-BE32-E72D297353CC}">
              <c16:uniqueId val="{00000003-E281-4DD0-89D7-876AFFB4AF47}"/>
            </c:ext>
          </c:extLst>
        </c:ser>
        <c:ser>
          <c:idx val="4"/>
          <c:order val="4"/>
          <c:tx>
            <c:strRef>
              <c:f>'Yearly GDP chart fan'!$AI$16</c:f>
              <c:strCache>
                <c:ptCount val="1"/>
                <c:pt idx="0">
                  <c:v>Lower 7</c:v>
                </c:pt>
              </c:strCache>
            </c:strRef>
          </c:tx>
          <c:spPr>
            <a:solidFill>
              <a:srgbClr val="C00000">
                <a:alpha val="40000"/>
              </a:srgbClr>
            </a:solidFill>
            <a:ln w="25400">
              <a:noFill/>
            </a:ln>
            <a:effectLst/>
          </c:spPr>
          <c:cat>
            <c:numRef>
              <c:f>'Yearly GDP chart fan'!$C$17:$C$25</c:f>
              <c:numCache>
                <c:formatCode>General</c:formatCode>
                <c:ptCount val="8"/>
                <c:pt idx="0">
                  <c:v>2020</c:v>
                </c:pt>
                <c:pt idx="1">
                  <c:v>2021</c:v>
                </c:pt>
                <c:pt idx="2">
                  <c:v>2022</c:v>
                </c:pt>
                <c:pt idx="3">
                  <c:v>2023</c:v>
                </c:pt>
                <c:pt idx="4">
                  <c:v>2024</c:v>
                </c:pt>
                <c:pt idx="5">
                  <c:v>2025</c:v>
                </c:pt>
                <c:pt idx="6">
                  <c:v>2026</c:v>
                </c:pt>
                <c:pt idx="7">
                  <c:v>2027</c:v>
                </c:pt>
              </c:numCache>
              <c:extLst/>
            </c:numRef>
          </c:cat>
          <c:val>
            <c:numRef>
              <c:f>'Yearly GDP chart fan'!$AI$17:$AI$25</c:f>
              <c:numCache>
                <c:formatCode>0.00</c:formatCode>
                <c:ptCount val="8"/>
                <c:pt idx="0">
                  <c:v>0</c:v>
                </c:pt>
                <c:pt idx="1">
                  <c:v>0</c:v>
                </c:pt>
                <c:pt idx="2">
                  <c:v>0</c:v>
                </c:pt>
                <c:pt idx="3" formatCode="0.0000">
                  <c:v>0</c:v>
                </c:pt>
                <c:pt idx="4" formatCode="0.0000">
                  <c:v>0.14317460317460329</c:v>
                </c:pt>
                <c:pt idx="5" formatCode="0.0000">
                  <c:v>0.21259259259259267</c:v>
                </c:pt>
                <c:pt idx="6" formatCode="0.0000">
                  <c:v>0.28201058201058204</c:v>
                </c:pt>
                <c:pt idx="7" formatCode="0.0000">
                  <c:v>0.35142857142857142</c:v>
                </c:pt>
              </c:numCache>
              <c:extLst/>
            </c:numRef>
          </c:val>
          <c:extLst>
            <c:ext xmlns:c16="http://schemas.microsoft.com/office/drawing/2014/chart" uri="{C3380CC4-5D6E-409C-BE32-E72D297353CC}">
              <c16:uniqueId val="{00000004-E281-4DD0-89D7-876AFFB4AF47}"/>
            </c:ext>
          </c:extLst>
        </c:ser>
        <c:ser>
          <c:idx val="5"/>
          <c:order val="5"/>
          <c:tx>
            <c:strRef>
              <c:f>'Yearly GDP chart fan'!$AJ$16</c:f>
              <c:strCache>
                <c:ptCount val="1"/>
                <c:pt idx="0">
                  <c:v>Lower 6</c:v>
                </c:pt>
              </c:strCache>
            </c:strRef>
          </c:tx>
          <c:spPr>
            <a:solidFill>
              <a:srgbClr val="C00000">
                <a:alpha val="50000"/>
              </a:srgbClr>
            </a:solidFill>
            <a:ln w="25400">
              <a:noFill/>
            </a:ln>
            <a:effectLst/>
          </c:spPr>
          <c:cat>
            <c:numRef>
              <c:f>'Yearly GDP chart fan'!$C$17:$C$25</c:f>
              <c:numCache>
                <c:formatCode>General</c:formatCode>
                <c:ptCount val="8"/>
                <c:pt idx="0">
                  <c:v>2020</c:v>
                </c:pt>
                <c:pt idx="1">
                  <c:v>2021</c:v>
                </c:pt>
                <c:pt idx="2">
                  <c:v>2022</c:v>
                </c:pt>
                <c:pt idx="3">
                  <c:v>2023</c:v>
                </c:pt>
                <c:pt idx="4">
                  <c:v>2024</c:v>
                </c:pt>
                <c:pt idx="5">
                  <c:v>2025</c:v>
                </c:pt>
                <c:pt idx="6">
                  <c:v>2026</c:v>
                </c:pt>
                <c:pt idx="7">
                  <c:v>2027</c:v>
                </c:pt>
              </c:numCache>
              <c:extLst/>
            </c:numRef>
          </c:cat>
          <c:val>
            <c:numRef>
              <c:f>'Yearly GDP chart fan'!$AJ$17:$AJ$25</c:f>
              <c:numCache>
                <c:formatCode>0.00</c:formatCode>
                <c:ptCount val="8"/>
                <c:pt idx="0">
                  <c:v>0</c:v>
                </c:pt>
                <c:pt idx="1">
                  <c:v>0</c:v>
                </c:pt>
                <c:pt idx="2">
                  <c:v>0</c:v>
                </c:pt>
                <c:pt idx="3" formatCode="0.0000">
                  <c:v>0</c:v>
                </c:pt>
                <c:pt idx="4" formatCode="0.0000">
                  <c:v>0.12105820105820086</c:v>
                </c:pt>
                <c:pt idx="5" formatCode="0.0000">
                  <c:v>0.17975308641975296</c:v>
                </c:pt>
                <c:pt idx="6" formatCode="0.0000">
                  <c:v>0.23844797178130506</c:v>
                </c:pt>
                <c:pt idx="7" formatCode="0.0000">
                  <c:v>0.29714285714285715</c:v>
                </c:pt>
              </c:numCache>
              <c:extLst/>
            </c:numRef>
          </c:val>
          <c:extLst>
            <c:ext xmlns:c16="http://schemas.microsoft.com/office/drawing/2014/chart" uri="{C3380CC4-5D6E-409C-BE32-E72D297353CC}">
              <c16:uniqueId val="{00000005-E281-4DD0-89D7-876AFFB4AF47}"/>
            </c:ext>
          </c:extLst>
        </c:ser>
        <c:ser>
          <c:idx val="6"/>
          <c:order val="6"/>
          <c:tx>
            <c:strRef>
              <c:f>'Yearly GDP chart fan'!$AK$16</c:f>
              <c:strCache>
                <c:ptCount val="1"/>
                <c:pt idx="0">
                  <c:v>Lower 5</c:v>
                </c:pt>
              </c:strCache>
            </c:strRef>
          </c:tx>
          <c:spPr>
            <a:solidFill>
              <a:srgbClr val="C00000">
                <a:alpha val="60000"/>
              </a:srgbClr>
            </a:solidFill>
            <a:ln w="25400">
              <a:noFill/>
            </a:ln>
            <a:effectLst/>
          </c:spPr>
          <c:cat>
            <c:numRef>
              <c:f>'Yearly GDP chart fan'!$C$17:$C$25</c:f>
              <c:numCache>
                <c:formatCode>General</c:formatCode>
                <c:ptCount val="8"/>
                <c:pt idx="0">
                  <c:v>2020</c:v>
                </c:pt>
                <c:pt idx="1">
                  <c:v>2021</c:v>
                </c:pt>
                <c:pt idx="2">
                  <c:v>2022</c:v>
                </c:pt>
                <c:pt idx="3">
                  <c:v>2023</c:v>
                </c:pt>
                <c:pt idx="4">
                  <c:v>2024</c:v>
                </c:pt>
                <c:pt idx="5">
                  <c:v>2025</c:v>
                </c:pt>
                <c:pt idx="6">
                  <c:v>2026</c:v>
                </c:pt>
                <c:pt idx="7">
                  <c:v>2027</c:v>
                </c:pt>
              </c:numCache>
              <c:extLst/>
            </c:numRef>
          </c:cat>
          <c:val>
            <c:numRef>
              <c:f>'Yearly GDP chart fan'!$AK$17:$AK$25</c:f>
              <c:numCache>
                <c:formatCode>0.00</c:formatCode>
                <c:ptCount val="8"/>
                <c:pt idx="0">
                  <c:v>0</c:v>
                </c:pt>
                <c:pt idx="1">
                  <c:v>0</c:v>
                </c:pt>
                <c:pt idx="2">
                  <c:v>0</c:v>
                </c:pt>
                <c:pt idx="3" formatCode="0.0000">
                  <c:v>0</c:v>
                </c:pt>
                <c:pt idx="4" formatCode="0.0000">
                  <c:v>9.8941798941798886E-2</c:v>
                </c:pt>
                <c:pt idx="5" formatCode="0.0000">
                  <c:v>0.1469135802469137</c:v>
                </c:pt>
                <c:pt idx="6" formatCode="0.0000">
                  <c:v>0.19488536155202807</c:v>
                </c:pt>
                <c:pt idx="7" formatCode="0.0000">
                  <c:v>0.24285714285714288</c:v>
                </c:pt>
              </c:numCache>
              <c:extLst/>
            </c:numRef>
          </c:val>
          <c:extLst>
            <c:ext xmlns:c16="http://schemas.microsoft.com/office/drawing/2014/chart" uri="{C3380CC4-5D6E-409C-BE32-E72D297353CC}">
              <c16:uniqueId val="{00000006-E281-4DD0-89D7-876AFFB4AF47}"/>
            </c:ext>
          </c:extLst>
        </c:ser>
        <c:ser>
          <c:idx val="7"/>
          <c:order val="7"/>
          <c:tx>
            <c:strRef>
              <c:f>'Yearly GDP chart fan'!$AL$16</c:f>
              <c:strCache>
                <c:ptCount val="1"/>
                <c:pt idx="0">
                  <c:v>Lower 4</c:v>
                </c:pt>
              </c:strCache>
            </c:strRef>
          </c:tx>
          <c:spPr>
            <a:solidFill>
              <a:srgbClr val="C00000">
                <a:alpha val="70000"/>
              </a:srgbClr>
            </a:solidFill>
            <a:ln w="25400">
              <a:noFill/>
            </a:ln>
            <a:effectLst/>
          </c:spPr>
          <c:cat>
            <c:numRef>
              <c:f>'Yearly GDP chart fan'!$C$17:$C$25</c:f>
              <c:numCache>
                <c:formatCode>General</c:formatCode>
                <c:ptCount val="8"/>
                <c:pt idx="0">
                  <c:v>2020</c:v>
                </c:pt>
                <c:pt idx="1">
                  <c:v>2021</c:v>
                </c:pt>
                <c:pt idx="2">
                  <c:v>2022</c:v>
                </c:pt>
                <c:pt idx="3">
                  <c:v>2023</c:v>
                </c:pt>
                <c:pt idx="4">
                  <c:v>2024</c:v>
                </c:pt>
                <c:pt idx="5">
                  <c:v>2025</c:v>
                </c:pt>
                <c:pt idx="6">
                  <c:v>2026</c:v>
                </c:pt>
                <c:pt idx="7">
                  <c:v>2027</c:v>
                </c:pt>
              </c:numCache>
              <c:extLst/>
            </c:numRef>
          </c:cat>
          <c:val>
            <c:numRef>
              <c:f>'Yearly GDP chart fan'!$AL$17:$AL$25</c:f>
              <c:numCache>
                <c:formatCode>0.00</c:formatCode>
                <c:ptCount val="8"/>
                <c:pt idx="0">
                  <c:v>0</c:v>
                </c:pt>
                <c:pt idx="1">
                  <c:v>0</c:v>
                </c:pt>
                <c:pt idx="2">
                  <c:v>0</c:v>
                </c:pt>
                <c:pt idx="3" formatCode="0.0000">
                  <c:v>0</c:v>
                </c:pt>
                <c:pt idx="4" formatCode="0.0000">
                  <c:v>7.6825396825396908E-2</c:v>
                </c:pt>
                <c:pt idx="5" formatCode="0.0000">
                  <c:v>0.11407407407407399</c:v>
                </c:pt>
                <c:pt idx="6" formatCode="0.0000">
                  <c:v>0.15132275132275153</c:v>
                </c:pt>
                <c:pt idx="7" formatCode="0.0000">
                  <c:v>0.18857142857142861</c:v>
                </c:pt>
              </c:numCache>
              <c:extLst/>
            </c:numRef>
          </c:val>
          <c:extLst>
            <c:ext xmlns:c16="http://schemas.microsoft.com/office/drawing/2014/chart" uri="{C3380CC4-5D6E-409C-BE32-E72D297353CC}">
              <c16:uniqueId val="{00000007-E281-4DD0-89D7-876AFFB4AF47}"/>
            </c:ext>
          </c:extLst>
        </c:ser>
        <c:ser>
          <c:idx val="8"/>
          <c:order val="8"/>
          <c:tx>
            <c:strRef>
              <c:f>'Yearly GDP chart fan'!$AM$16</c:f>
              <c:strCache>
                <c:ptCount val="1"/>
                <c:pt idx="0">
                  <c:v>Lower 3</c:v>
                </c:pt>
              </c:strCache>
            </c:strRef>
          </c:tx>
          <c:spPr>
            <a:solidFill>
              <a:srgbClr val="C00000">
                <a:alpha val="80000"/>
              </a:srgbClr>
            </a:solidFill>
            <a:ln w="25400">
              <a:noFill/>
            </a:ln>
            <a:effectLst/>
          </c:spPr>
          <c:cat>
            <c:numRef>
              <c:f>'Yearly GDP chart fan'!$C$17:$C$25</c:f>
              <c:numCache>
                <c:formatCode>General</c:formatCode>
                <c:ptCount val="8"/>
                <c:pt idx="0">
                  <c:v>2020</c:v>
                </c:pt>
                <c:pt idx="1">
                  <c:v>2021</c:v>
                </c:pt>
                <c:pt idx="2">
                  <c:v>2022</c:v>
                </c:pt>
                <c:pt idx="3">
                  <c:v>2023</c:v>
                </c:pt>
                <c:pt idx="4">
                  <c:v>2024</c:v>
                </c:pt>
                <c:pt idx="5">
                  <c:v>2025</c:v>
                </c:pt>
                <c:pt idx="6">
                  <c:v>2026</c:v>
                </c:pt>
                <c:pt idx="7">
                  <c:v>2027</c:v>
                </c:pt>
              </c:numCache>
              <c:extLst/>
            </c:numRef>
          </c:cat>
          <c:val>
            <c:numRef>
              <c:f>'Yearly GDP chart fan'!$AM$17:$AM$25</c:f>
              <c:numCache>
                <c:formatCode>0.00</c:formatCode>
                <c:ptCount val="8"/>
                <c:pt idx="0">
                  <c:v>0</c:v>
                </c:pt>
                <c:pt idx="1">
                  <c:v>0</c:v>
                </c:pt>
                <c:pt idx="2">
                  <c:v>0</c:v>
                </c:pt>
                <c:pt idx="3" formatCode="0.0000">
                  <c:v>0</c:v>
                </c:pt>
                <c:pt idx="4" formatCode="0.0000">
                  <c:v>5.4708994708994929E-2</c:v>
                </c:pt>
                <c:pt idx="5" formatCode="0.0000">
                  <c:v>8.1234567901234733E-2</c:v>
                </c:pt>
                <c:pt idx="6" formatCode="0.0000">
                  <c:v>0.10776014109347454</c:v>
                </c:pt>
                <c:pt idx="7" formatCode="0.0000">
                  <c:v>0.13428571428571434</c:v>
                </c:pt>
              </c:numCache>
              <c:extLst/>
            </c:numRef>
          </c:val>
          <c:extLst>
            <c:ext xmlns:c16="http://schemas.microsoft.com/office/drawing/2014/chart" uri="{C3380CC4-5D6E-409C-BE32-E72D297353CC}">
              <c16:uniqueId val="{00000008-E281-4DD0-89D7-876AFFB4AF47}"/>
            </c:ext>
          </c:extLst>
        </c:ser>
        <c:ser>
          <c:idx val="9"/>
          <c:order val="9"/>
          <c:tx>
            <c:strRef>
              <c:f>'Yearly GDP chart fan'!$AN$16</c:f>
              <c:strCache>
                <c:ptCount val="1"/>
                <c:pt idx="0">
                  <c:v>Lower 2</c:v>
                </c:pt>
              </c:strCache>
            </c:strRef>
          </c:tx>
          <c:spPr>
            <a:solidFill>
              <a:srgbClr val="C00000">
                <a:alpha val="90000"/>
              </a:srgbClr>
            </a:solidFill>
            <a:ln w="25400">
              <a:noFill/>
            </a:ln>
            <a:effectLst/>
          </c:spPr>
          <c:cat>
            <c:numRef>
              <c:f>'Yearly GDP chart fan'!$C$17:$C$25</c:f>
              <c:numCache>
                <c:formatCode>General</c:formatCode>
                <c:ptCount val="8"/>
                <c:pt idx="0">
                  <c:v>2020</c:v>
                </c:pt>
                <c:pt idx="1">
                  <c:v>2021</c:v>
                </c:pt>
                <c:pt idx="2">
                  <c:v>2022</c:v>
                </c:pt>
                <c:pt idx="3">
                  <c:v>2023</c:v>
                </c:pt>
                <c:pt idx="4">
                  <c:v>2024</c:v>
                </c:pt>
                <c:pt idx="5">
                  <c:v>2025</c:v>
                </c:pt>
                <c:pt idx="6">
                  <c:v>2026</c:v>
                </c:pt>
                <c:pt idx="7">
                  <c:v>2027</c:v>
                </c:pt>
              </c:numCache>
              <c:extLst/>
            </c:numRef>
          </c:cat>
          <c:val>
            <c:numRef>
              <c:f>'Yearly GDP chart fan'!$AN$17:$AN$25</c:f>
              <c:numCache>
                <c:formatCode>0.00</c:formatCode>
                <c:ptCount val="8"/>
                <c:pt idx="0">
                  <c:v>0</c:v>
                </c:pt>
                <c:pt idx="1">
                  <c:v>0</c:v>
                </c:pt>
                <c:pt idx="2">
                  <c:v>0</c:v>
                </c:pt>
                <c:pt idx="3" formatCode="0.0000">
                  <c:v>0</c:v>
                </c:pt>
                <c:pt idx="4" formatCode="0.0000">
                  <c:v>3.2592592592592506E-2</c:v>
                </c:pt>
                <c:pt idx="5" formatCode="0.0000">
                  <c:v>4.8395061728395028E-2</c:v>
                </c:pt>
                <c:pt idx="6" formatCode="0.0000">
                  <c:v>6.419753086419755E-2</c:v>
                </c:pt>
                <c:pt idx="7" formatCode="0.0000">
                  <c:v>8.0000000000000071E-2</c:v>
                </c:pt>
              </c:numCache>
              <c:extLst/>
            </c:numRef>
          </c:val>
          <c:extLst>
            <c:ext xmlns:c16="http://schemas.microsoft.com/office/drawing/2014/chart" uri="{C3380CC4-5D6E-409C-BE32-E72D297353CC}">
              <c16:uniqueId val="{00000009-E281-4DD0-89D7-876AFFB4AF47}"/>
            </c:ext>
          </c:extLst>
        </c:ser>
        <c:ser>
          <c:idx val="10"/>
          <c:order val="10"/>
          <c:tx>
            <c:strRef>
              <c:f>'Yearly GDP chart fan'!$AO$16</c:f>
              <c:strCache>
                <c:ptCount val="1"/>
                <c:pt idx="0">
                  <c:v>Lower 1</c:v>
                </c:pt>
              </c:strCache>
            </c:strRef>
          </c:tx>
          <c:spPr>
            <a:solidFill>
              <a:srgbClr val="C00000"/>
            </a:solidFill>
            <a:ln w="25400">
              <a:noFill/>
            </a:ln>
            <a:effectLst/>
          </c:spPr>
          <c:cat>
            <c:numRef>
              <c:f>'Yearly GDP chart fan'!$C$17:$C$25</c:f>
              <c:numCache>
                <c:formatCode>General</c:formatCode>
                <c:ptCount val="8"/>
                <c:pt idx="0">
                  <c:v>2020</c:v>
                </c:pt>
                <c:pt idx="1">
                  <c:v>2021</c:v>
                </c:pt>
                <c:pt idx="2">
                  <c:v>2022</c:v>
                </c:pt>
                <c:pt idx="3">
                  <c:v>2023</c:v>
                </c:pt>
                <c:pt idx="4">
                  <c:v>2024</c:v>
                </c:pt>
                <c:pt idx="5">
                  <c:v>2025</c:v>
                </c:pt>
                <c:pt idx="6">
                  <c:v>2026</c:v>
                </c:pt>
                <c:pt idx="7">
                  <c:v>2027</c:v>
                </c:pt>
              </c:numCache>
              <c:extLst/>
            </c:numRef>
          </c:cat>
          <c:val>
            <c:numRef>
              <c:f>'Yearly GDP chart fan'!$AO$17:$AO$25</c:f>
              <c:numCache>
                <c:formatCode>0.00</c:formatCode>
                <c:ptCount val="8"/>
                <c:pt idx="0">
                  <c:v>0</c:v>
                </c:pt>
                <c:pt idx="1">
                  <c:v>0</c:v>
                </c:pt>
                <c:pt idx="2">
                  <c:v>0</c:v>
                </c:pt>
                <c:pt idx="3" formatCode="0.0000">
                  <c:v>0</c:v>
                </c:pt>
                <c:pt idx="4" formatCode="0.0000">
                  <c:v>1.0476190476190528E-2</c:v>
                </c:pt>
                <c:pt idx="5" formatCode="0.0000">
                  <c:v>1.5555555555555323E-2</c:v>
                </c:pt>
                <c:pt idx="6" formatCode="0.0000">
                  <c:v>2.0634920634920562E-2</c:v>
                </c:pt>
                <c:pt idx="7" formatCode="0.0000">
                  <c:v>2.5714285714285801E-2</c:v>
                </c:pt>
              </c:numCache>
              <c:extLst/>
            </c:numRef>
          </c:val>
          <c:extLst>
            <c:ext xmlns:c16="http://schemas.microsoft.com/office/drawing/2014/chart" uri="{C3380CC4-5D6E-409C-BE32-E72D297353CC}">
              <c16:uniqueId val="{0000000A-E281-4DD0-89D7-876AFFB4AF47}"/>
            </c:ext>
          </c:extLst>
        </c:ser>
        <c:ser>
          <c:idx val="11"/>
          <c:order val="11"/>
          <c:tx>
            <c:strRef>
              <c:f>'Yearly GDP chart fan'!$AP$16</c:f>
              <c:strCache>
                <c:ptCount val="1"/>
                <c:pt idx="0">
                  <c:v>Upper 1</c:v>
                </c:pt>
              </c:strCache>
            </c:strRef>
          </c:tx>
          <c:spPr>
            <a:solidFill>
              <a:srgbClr val="C00000"/>
            </a:solidFill>
            <a:ln w="25400">
              <a:noFill/>
            </a:ln>
            <a:effectLst/>
          </c:spPr>
          <c:cat>
            <c:numRef>
              <c:f>'Yearly GDP chart fan'!$C$17:$C$25</c:f>
              <c:numCache>
                <c:formatCode>General</c:formatCode>
                <c:ptCount val="8"/>
                <c:pt idx="0">
                  <c:v>2020</c:v>
                </c:pt>
                <c:pt idx="1">
                  <c:v>2021</c:v>
                </c:pt>
                <c:pt idx="2">
                  <c:v>2022</c:v>
                </c:pt>
                <c:pt idx="3">
                  <c:v>2023</c:v>
                </c:pt>
                <c:pt idx="4">
                  <c:v>2024</c:v>
                </c:pt>
                <c:pt idx="5">
                  <c:v>2025</c:v>
                </c:pt>
                <c:pt idx="6">
                  <c:v>2026</c:v>
                </c:pt>
                <c:pt idx="7">
                  <c:v>2027</c:v>
                </c:pt>
              </c:numCache>
              <c:extLst/>
            </c:numRef>
          </c:cat>
          <c:val>
            <c:numRef>
              <c:f>'Yearly GDP chart fan'!$AP$17:$AP$25</c:f>
              <c:numCache>
                <c:formatCode>0.0000</c:formatCode>
                <c:ptCount val="8"/>
                <c:pt idx="0">
                  <c:v>0</c:v>
                </c:pt>
                <c:pt idx="1">
                  <c:v>0</c:v>
                </c:pt>
                <c:pt idx="2">
                  <c:v>0</c:v>
                </c:pt>
                <c:pt idx="3">
                  <c:v>0</c:v>
                </c:pt>
                <c:pt idx="4">
                  <c:v>1.2380952380952159E-2</c:v>
                </c:pt>
                <c:pt idx="5">
                  <c:v>1.7460317460317398E-2</c:v>
                </c:pt>
                <c:pt idx="6">
                  <c:v>2.2539682539682637E-2</c:v>
                </c:pt>
                <c:pt idx="7">
                  <c:v>2.7619047619047876E-2</c:v>
                </c:pt>
              </c:numCache>
              <c:extLst/>
            </c:numRef>
          </c:val>
          <c:extLst>
            <c:ext xmlns:c16="http://schemas.microsoft.com/office/drawing/2014/chart" uri="{C3380CC4-5D6E-409C-BE32-E72D297353CC}">
              <c16:uniqueId val="{0000000B-E281-4DD0-89D7-876AFFB4AF47}"/>
            </c:ext>
          </c:extLst>
        </c:ser>
        <c:ser>
          <c:idx val="12"/>
          <c:order val="12"/>
          <c:tx>
            <c:strRef>
              <c:f>'Yearly GDP chart fan'!$AQ$16</c:f>
              <c:strCache>
                <c:ptCount val="1"/>
                <c:pt idx="0">
                  <c:v>Upper 2</c:v>
                </c:pt>
              </c:strCache>
            </c:strRef>
          </c:tx>
          <c:spPr>
            <a:solidFill>
              <a:srgbClr val="C00000">
                <a:alpha val="90000"/>
              </a:srgbClr>
            </a:solidFill>
            <a:ln w="25400">
              <a:noFill/>
            </a:ln>
            <a:effectLst/>
          </c:spPr>
          <c:cat>
            <c:numRef>
              <c:f>'Yearly GDP chart fan'!$C$17:$C$25</c:f>
              <c:numCache>
                <c:formatCode>General</c:formatCode>
                <c:ptCount val="8"/>
                <c:pt idx="0">
                  <c:v>2020</c:v>
                </c:pt>
                <c:pt idx="1">
                  <c:v>2021</c:v>
                </c:pt>
                <c:pt idx="2">
                  <c:v>2022</c:v>
                </c:pt>
                <c:pt idx="3">
                  <c:v>2023</c:v>
                </c:pt>
                <c:pt idx="4">
                  <c:v>2024</c:v>
                </c:pt>
                <c:pt idx="5">
                  <c:v>2025</c:v>
                </c:pt>
                <c:pt idx="6">
                  <c:v>2026</c:v>
                </c:pt>
                <c:pt idx="7">
                  <c:v>2027</c:v>
                </c:pt>
              </c:numCache>
              <c:extLst/>
            </c:numRef>
          </c:cat>
          <c:val>
            <c:numRef>
              <c:f>'Yearly GDP chart fan'!$AQ$17:$AQ$25</c:f>
              <c:numCache>
                <c:formatCode>0.0000</c:formatCode>
                <c:ptCount val="8"/>
                <c:pt idx="0">
                  <c:v>0</c:v>
                </c:pt>
                <c:pt idx="1">
                  <c:v>0</c:v>
                </c:pt>
                <c:pt idx="2">
                  <c:v>0</c:v>
                </c:pt>
                <c:pt idx="3">
                  <c:v>0</c:v>
                </c:pt>
                <c:pt idx="4">
                  <c:v>3.8518518518518619E-2</c:v>
                </c:pt>
                <c:pt idx="5">
                  <c:v>5.4320987654320696E-2</c:v>
                </c:pt>
                <c:pt idx="6">
                  <c:v>7.0123456790123662E-2</c:v>
                </c:pt>
                <c:pt idx="7">
                  <c:v>8.5925925925925739E-2</c:v>
                </c:pt>
              </c:numCache>
              <c:extLst/>
            </c:numRef>
          </c:val>
          <c:extLst>
            <c:ext xmlns:c16="http://schemas.microsoft.com/office/drawing/2014/chart" uri="{C3380CC4-5D6E-409C-BE32-E72D297353CC}">
              <c16:uniqueId val="{0000000C-E281-4DD0-89D7-876AFFB4AF47}"/>
            </c:ext>
          </c:extLst>
        </c:ser>
        <c:ser>
          <c:idx val="13"/>
          <c:order val="13"/>
          <c:tx>
            <c:strRef>
              <c:f>'Yearly GDP chart fan'!$AR$16</c:f>
              <c:strCache>
                <c:ptCount val="1"/>
                <c:pt idx="0">
                  <c:v>Upper 3</c:v>
                </c:pt>
              </c:strCache>
            </c:strRef>
          </c:tx>
          <c:spPr>
            <a:solidFill>
              <a:srgbClr val="C00000">
                <a:alpha val="80000"/>
              </a:srgbClr>
            </a:solidFill>
            <a:ln w="25400">
              <a:noFill/>
            </a:ln>
            <a:effectLst/>
          </c:spPr>
          <c:cat>
            <c:numRef>
              <c:f>'Yearly GDP chart fan'!$C$17:$C$25</c:f>
              <c:numCache>
                <c:formatCode>General</c:formatCode>
                <c:ptCount val="8"/>
                <c:pt idx="0">
                  <c:v>2020</c:v>
                </c:pt>
                <c:pt idx="1">
                  <c:v>2021</c:v>
                </c:pt>
                <c:pt idx="2">
                  <c:v>2022</c:v>
                </c:pt>
                <c:pt idx="3">
                  <c:v>2023</c:v>
                </c:pt>
                <c:pt idx="4">
                  <c:v>2024</c:v>
                </c:pt>
                <c:pt idx="5">
                  <c:v>2025</c:v>
                </c:pt>
                <c:pt idx="6">
                  <c:v>2026</c:v>
                </c:pt>
                <c:pt idx="7">
                  <c:v>2027</c:v>
                </c:pt>
              </c:numCache>
              <c:extLst/>
            </c:numRef>
          </c:cat>
          <c:val>
            <c:numRef>
              <c:f>'Yearly GDP chart fan'!$AR$17:$AR$25</c:f>
              <c:numCache>
                <c:formatCode>0.0000</c:formatCode>
                <c:ptCount val="8"/>
                <c:pt idx="0">
                  <c:v>0</c:v>
                </c:pt>
                <c:pt idx="1">
                  <c:v>0</c:v>
                </c:pt>
                <c:pt idx="2">
                  <c:v>0</c:v>
                </c:pt>
                <c:pt idx="3">
                  <c:v>0</c:v>
                </c:pt>
                <c:pt idx="4">
                  <c:v>6.4656084656084634E-2</c:v>
                </c:pt>
                <c:pt idx="5">
                  <c:v>9.1181657848324882E-2</c:v>
                </c:pt>
                <c:pt idx="6">
                  <c:v>0.11770723104056469</c:v>
                </c:pt>
                <c:pt idx="7">
                  <c:v>0.14423280423280449</c:v>
                </c:pt>
              </c:numCache>
              <c:extLst/>
            </c:numRef>
          </c:val>
          <c:extLst>
            <c:ext xmlns:c16="http://schemas.microsoft.com/office/drawing/2014/chart" uri="{C3380CC4-5D6E-409C-BE32-E72D297353CC}">
              <c16:uniqueId val="{0000000D-E281-4DD0-89D7-876AFFB4AF47}"/>
            </c:ext>
          </c:extLst>
        </c:ser>
        <c:ser>
          <c:idx val="14"/>
          <c:order val="14"/>
          <c:tx>
            <c:strRef>
              <c:f>'Yearly GDP chart fan'!$AS$16</c:f>
              <c:strCache>
                <c:ptCount val="1"/>
                <c:pt idx="0">
                  <c:v>Upper 4</c:v>
                </c:pt>
              </c:strCache>
            </c:strRef>
          </c:tx>
          <c:spPr>
            <a:solidFill>
              <a:srgbClr val="C00000">
                <a:alpha val="70000"/>
              </a:srgbClr>
            </a:solidFill>
            <a:ln w="25400">
              <a:noFill/>
            </a:ln>
            <a:effectLst/>
          </c:spPr>
          <c:cat>
            <c:numRef>
              <c:f>'Yearly GDP chart fan'!$C$17:$C$25</c:f>
              <c:numCache>
                <c:formatCode>General</c:formatCode>
                <c:ptCount val="8"/>
                <c:pt idx="0">
                  <c:v>2020</c:v>
                </c:pt>
                <c:pt idx="1">
                  <c:v>2021</c:v>
                </c:pt>
                <c:pt idx="2">
                  <c:v>2022</c:v>
                </c:pt>
                <c:pt idx="3">
                  <c:v>2023</c:v>
                </c:pt>
                <c:pt idx="4">
                  <c:v>2024</c:v>
                </c:pt>
                <c:pt idx="5">
                  <c:v>2025</c:v>
                </c:pt>
                <c:pt idx="6">
                  <c:v>2026</c:v>
                </c:pt>
                <c:pt idx="7">
                  <c:v>2027</c:v>
                </c:pt>
              </c:numCache>
              <c:extLst/>
            </c:numRef>
          </c:cat>
          <c:val>
            <c:numRef>
              <c:f>'Yearly GDP chart fan'!$AS$17:$AS$25</c:f>
              <c:numCache>
                <c:formatCode>0.0000</c:formatCode>
                <c:ptCount val="8"/>
                <c:pt idx="0">
                  <c:v>0</c:v>
                </c:pt>
                <c:pt idx="1">
                  <c:v>0</c:v>
                </c:pt>
                <c:pt idx="2">
                  <c:v>0</c:v>
                </c:pt>
                <c:pt idx="3">
                  <c:v>0</c:v>
                </c:pt>
                <c:pt idx="4">
                  <c:v>9.0793650793651093E-2</c:v>
                </c:pt>
                <c:pt idx="5">
                  <c:v>0.12804232804232818</c:v>
                </c:pt>
                <c:pt idx="6">
                  <c:v>0.16529100529100571</c:v>
                </c:pt>
                <c:pt idx="7">
                  <c:v>0.20253968253968235</c:v>
                </c:pt>
              </c:numCache>
              <c:extLst/>
            </c:numRef>
          </c:val>
          <c:extLst>
            <c:ext xmlns:c16="http://schemas.microsoft.com/office/drawing/2014/chart" uri="{C3380CC4-5D6E-409C-BE32-E72D297353CC}">
              <c16:uniqueId val="{0000000E-E281-4DD0-89D7-876AFFB4AF47}"/>
            </c:ext>
          </c:extLst>
        </c:ser>
        <c:ser>
          <c:idx val="15"/>
          <c:order val="15"/>
          <c:tx>
            <c:strRef>
              <c:f>'Yearly GDP chart fan'!$AT$16</c:f>
              <c:strCache>
                <c:ptCount val="1"/>
                <c:pt idx="0">
                  <c:v>Upper 5</c:v>
                </c:pt>
              </c:strCache>
            </c:strRef>
          </c:tx>
          <c:spPr>
            <a:solidFill>
              <a:srgbClr val="C00000">
                <a:alpha val="60000"/>
              </a:srgbClr>
            </a:solidFill>
            <a:ln w="25400">
              <a:noFill/>
            </a:ln>
            <a:effectLst/>
          </c:spPr>
          <c:cat>
            <c:numRef>
              <c:f>'Yearly GDP chart fan'!$C$17:$C$25</c:f>
              <c:numCache>
                <c:formatCode>General</c:formatCode>
                <c:ptCount val="8"/>
                <c:pt idx="0">
                  <c:v>2020</c:v>
                </c:pt>
                <c:pt idx="1">
                  <c:v>2021</c:v>
                </c:pt>
                <c:pt idx="2">
                  <c:v>2022</c:v>
                </c:pt>
                <c:pt idx="3">
                  <c:v>2023</c:v>
                </c:pt>
                <c:pt idx="4">
                  <c:v>2024</c:v>
                </c:pt>
                <c:pt idx="5">
                  <c:v>2025</c:v>
                </c:pt>
                <c:pt idx="6">
                  <c:v>2026</c:v>
                </c:pt>
                <c:pt idx="7">
                  <c:v>2027</c:v>
                </c:pt>
              </c:numCache>
              <c:extLst/>
            </c:numRef>
          </c:cat>
          <c:val>
            <c:numRef>
              <c:f>'Yearly GDP chart fan'!$AT$17:$AT$25</c:f>
              <c:numCache>
                <c:formatCode>0.0000</c:formatCode>
                <c:ptCount val="8"/>
                <c:pt idx="0">
                  <c:v>0</c:v>
                </c:pt>
                <c:pt idx="1">
                  <c:v>0</c:v>
                </c:pt>
                <c:pt idx="2">
                  <c:v>0</c:v>
                </c:pt>
                <c:pt idx="3">
                  <c:v>0</c:v>
                </c:pt>
                <c:pt idx="4">
                  <c:v>0.11693121693121711</c:v>
                </c:pt>
                <c:pt idx="5">
                  <c:v>0.16490299823633148</c:v>
                </c:pt>
                <c:pt idx="6">
                  <c:v>0.21287477954144585</c:v>
                </c:pt>
                <c:pt idx="7">
                  <c:v>0.2608465608465611</c:v>
                </c:pt>
              </c:numCache>
              <c:extLst/>
            </c:numRef>
          </c:val>
          <c:extLst>
            <c:ext xmlns:c16="http://schemas.microsoft.com/office/drawing/2014/chart" uri="{C3380CC4-5D6E-409C-BE32-E72D297353CC}">
              <c16:uniqueId val="{0000000F-E281-4DD0-89D7-876AFFB4AF47}"/>
            </c:ext>
          </c:extLst>
        </c:ser>
        <c:ser>
          <c:idx val="16"/>
          <c:order val="16"/>
          <c:tx>
            <c:strRef>
              <c:f>'Yearly GDP chart fan'!$AU$16</c:f>
              <c:strCache>
                <c:ptCount val="1"/>
                <c:pt idx="0">
                  <c:v>Upper 6</c:v>
                </c:pt>
              </c:strCache>
            </c:strRef>
          </c:tx>
          <c:spPr>
            <a:solidFill>
              <a:srgbClr val="C00000">
                <a:alpha val="50000"/>
              </a:srgbClr>
            </a:solidFill>
            <a:ln w="25400">
              <a:noFill/>
            </a:ln>
            <a:effectLst/>
          </c:spPr>
          <c:cat>
            <c:numRef>
              <c:f>'Yearly GDP chart fan'!$C$17:$C$25</c:f>
              <c:numCache>
                <c:formatCode>General</c:formatCode>
                <c:ptCount val="8"/>
                <c:pt idx="0">
                  <c:v>2020</c:v>
                </c:pt>
                <c:pt idx="1">
                  <c:v>2021</c:v>
                </c:pt>
                <c:pt idx="2">
                  <c:v>2022</c:v>
                </c:pt>
                <c:pt idx="3">
                  <c:v>2023</c:v>
                </c:pt>
                <c:pt idx="4">
                  <c:v>2024</c:v>
                </c:pt>
                <c:pt idx="5">
                  <c:v>2025</c:v>
                </c:pt>
                <c:pt idx="6">
                  <c:v>2026</c:v>
                </c:pt>
                <c:pt idx="7">
                  <c:v>2027</c:v>
                </c:pt>
              </c:numCache>
              <c:extLst/>
            </c:numRef>
          </c:cat>
          <c:val>
            <c:numRef>
              <c:f>'Yearly GDP chart fan'!$AU$17:$AU$25</c:f>
              <c:numCache>
                <c:formatCode>0.0000</c:formatCode>
                <c:ptCount val="8"/>
                <c:pt idx="0">
                  <c:v>0</c:v>
                </c:pt>
                <c:pt idx="1">
                  <c:v>0</c:v>
                </c:pt>
                <c:pt idx="2">
                  <c:v>0</c:v>
                </c:pt>
                <c:pt idx="3">
                  <c:v>0</c:v>
                </c:pt>
                <c:pt idx="4">
                  <c:v>0.14306878306878268</c:v>
                </c:pt>
                <c:pt idx="5">
                  <c:v>0.20176366843033477</c:v>
                </c:pt>
                <c:pt idx="6">
                  <c:v>0.26045855379188687</c:v>
                </c:pt>
                <c:pt idx="7">
                  <c:v>0.31915343915343897</c:v>
                </c:pt>
              </c:numCache>
              <c:extLst/>
            </c:numRef>
          </c:val>
          <c:extLst>
            <c:ext xmlns:c16="http://schemas.microsoft.com/office/drawing/2014/chart" uri="{C3380CC4-5D6E-409C-BE32-E72D297353CC}">
              <c16:uniqueId val="{00000010-E281-4DD0-89D7-876AFFB4AF47}"/>
            </c:ext>
          </c:extLst>
        </c:ser>
        <c:ser>
          <c:idx val="17"/>
          <c:order val="17"/>
          <c:tx>
            <c:strRef>
              <c:f>'Yearly GDP chart fan'!$AV$16</c:f>
              <c:strCache>
                <c:ptCount val="1"/>
                <c:pt idx="0">
                  <c:v>Upper 7</c:v>
                </c:pt>
              </c:strCache>
            </c:strRef>
          </c:tx>
          <c:spPr>
            <a:solidFill>
              <a:srgbClr val="C00000">
                <a:alpha val="40000"/>
              </a:srgbClr>
            </a:solidFill>
            <a:ln w="25400">
              <a:noFill/>
            </a:ln>
            <a:effectLst/>
          </c:spPr>
          <c:cat>
            <c:numRef>
              <c:f>'Yearly GDP chart fan'!$C$17:$C$25</c:f>
              <c:numCache>
                <c:formatCode>General</c:formatCode>
                <c:ptCount val="8"/>
                <c:pt idx="0">
                  <c:v>2020</c:v>
                </c:pt>
                <c:pt idx="1">
                  <c:v>2021</c:v>
                </c:pt>
                <c:pt idx="2">
                  <c:v>2022</c:v>
                </c:pt>
                <c:pt idx="3">
                  <c:v>2023</c:v>
                </c:pt>
                <c:pt idx="4">
                  <c:v>2024</c:v>
                </c:pt>
                <c:pt idx="5">
                  <c:v>2025</c:v>
                </c:pt>
                <c:pt idx="6">
                  <c:v>2026</c:v>
                </c:pt>
                <c:pt idx="7">
                  <c:v>2027</c:v>
                </c:pt>
              </c:numCache>
              <c:extLst/>
            </c:numRef>
          </c:cat>
          <c:val>
            <c:numRef>
              <c:f>'Yearly GDP chart fan'!$AV$17:$AV$25</c:f>
              <c:numCache>
                <c:formatCode>0.0000</c:formatCode>
                <c:ptCount val="8"/>
                <c:pt idx="0">
                  <c:v>0</c:v>
                </c:pt>
                <c:pt idx="1">
                  <c:v>0</c:v>
                </c:pt>
                <c:pt idx="2">
                  <c:v>0</c:v>
                </c:pt>
                <c:pt idx="3">
                  <c:v>0</c:v>
                </c:pt>
                <c:pt idx="4">
                  <c:v>0.16920634920634914</c:v>
                </c:pt>
                <c:pt idx="5">
                  <c:v>0.23862433862433896</c:v>
                </c:pt>
                <c:pt idx="6">
                  <c:v>0.3080423280423279</c:v>
                </c:pt>
                <c:pt idx="7">
                  <c:v>0.37746031746031772</c:v>
                </c:pt>
              </c:numCache>
              <c:extLst/>
            </c:numRef>
          </c:val>
          <c:extLst>
            <c:ext xmlns:c16="http://schemas.microsoft.com/office/drawing/2014/chart" uri="{C3380CC4-5D6E-409C-BE32-E72D297353CC}">
              <c16:uniqueId val="{00000011-E281-4DD0-89D7-876AFFB4AF47}"/>
            </c:ext>
          </c:extLst>
        </c:ser>
        <c:ser>
          <c:idx val="18"/>
          <c:order val="18"/>
          <c:tx>
            <c:strRef>
              <c:f>'Yearly GDP chart fan'!$AW$16</c:f>
              <c:strCache>
                <c:ptCount val="1"/>
                <c:pt idx="0">
                  <c:v>Upper 8</c:v>
                </c:pt>
              </c:strCache>
            </c:strRef>
          </c:tx>
          <c:spPr>
            <a:solidFill>
              <a:srgbClr val="C00000">
                <a:alpha val="30000"/>
              </a:srgbClr>
            </a:solidFill>
            <a:ln w="25400">
              <a:noFill/>
            </a:ln>
            <a:effectLst/>
          </c:spPr>
          <c:cat>
            <c:numRef>
              <c:f>'Yearly GDP chart fan'!$C$17:$C$25</c:f>
              <c:numCache>
                <c:formatCode>General</c:formatCode>
                <c:ptCount val="8"/>
                <c:pt idx="0">
                  <c:v>2020</c:v>
                </c:pt>
                <c:pt idx="1">
                  <c:v>2021</c:v>
                </c:pt>
                <c:pt idx="2">
                  <c:v>2022</c:v>
                </c:pt>
                <c:pt idx="3">
                  <c:v>2023</c:v>
                </c:pt>
                <c:pt idx="4">
                  <c:v>2024</c:v>
                </c:pt>
                <c:pt idx="5">
                  <c:v>2025</c:v>
                </c:pt>
                <c:pt idx="6">
                  <c:v>2026</c:v>
                </c:pt>
                <c:pt idx="7">
                  <c:v>2027</c:v>
                </c:pt>
              </c:numCache>
              <c:extLst/>
            </c:numRef>
          </c:cat>
          <c:val>
            <c:numRef>
              <c:f>'Yearly GDP chart fan'!$AW$17:$AW$25</c:f>
              <c:numCache>
                <c:formatCode>0.0000</c:formatCode>
                <c:ptCount val="8"/>
                <c:pt idx="0">
                  <c:v>0</c:v>
                </c:pt>
                <c:pt idx="1">
                  <c:v>0</c:v>
                </c:pt>
                <c:pt idx="2">
                  <c:v>0</c:v>
                </c:pt>
                <c:pt idx="3">
                  <c:v>0</c:v>
                </c:pt>
                <c:pt idx="4">
                  <c:v>0.1953439153439156</c:v>
                </c:pt>
                <c:pt idx="5">
                  <c:v>0.27548500881834226</c:v>
                </c:pt>
                <c:pt idx="6">
                  <c:v>0.35562610229276892</c:v>
                </c:pt>
                <c:pt idx="7">
                  <c:v>0.43576719576719558</c:v>
                </c:pt>
              </c:numCache>
              <c:extLst/>
            </c:numRef>
          </c:val>
          <c:extLst>
            <c:ext xmlns:c16="http://schemas.microsoft.com/office/drawing/2014/chart" uri="{C3380CC4-5D6E-409C-BE32-E72D297353CC}">
              <c16:uniqueId val="{00000012-E281-4DD0-89D7-876AFFB4AF47}"/>
            </c:ext>
          </c:extLst>
        </c:ser>
        <c:ser>
          <c:idx val="19"/>
          <c:order val="19"/>
          <c:tx>
            <c:strRef>
              <c:f>'Yearly GDP chart fan'!$AX$16</c:f>
              <c:strCache>
                <c:ptCount val="1"/>
                <c:pt idx="0">
                  <c:v>Upper 9</c:v>
                </c:pt>
              </c:strCache>
            </c:strRef>
          </c:tx>
          <c:spPr>
            <a:solidFill>
              <a:srgbClr val="C00000">
                <a:alpha val="20000"/>
              </a:srgbClr>
            </a:solidFill>
            <a:ln w="25400">
              <a:noFill/>
            </a:ln>
            <a:effectLst/>
          </c:spPr>
          <c:cat>
            <c:numRef>
              <c:f>'Yearly GDP chart fan'!$C$17:$C$25</c:f>
              <c:numCache>
                <c:formatCode>General</c:formatCode>
                <c:ptCount val="8"/>
                <c:pt idx="0">
                  <c:v>2020</c:v>
                </c:pt>
                <c:pt idx="1">
                  <c:v>2021</c:v>
                </c:pt>
                <c:pt idx="2">
                  <c:v>2022</c:v>
                </c:pt>
                <c:pt idx="3">
                  <c:v>2023</c:v>
                </c:pt>
                <c:pt idx="4">
                  <c:v>2024</c:v>
                </c:pt>
                <c:pt idx="5">
                  <c:v>2025</c:v>
                </c:pt>
                <c:pt idx="6">
                  <c:v>2026</c:v>
                </c:pt>
                <c:pt idx="7">
                  <c:v>2027</c:v>
                </c:pt>
              </c:numCache>
              <c:extLst/>
            </c:numRef>
          </c:cat>
          <c:val>
            <c:numRef>
              <c:f>'Yearly GDP chart fan'!$AX$17:$AX$25</c:f>
              <c:numCache>
                <c:formatCode>0.0000</c:formatCode>
                <c:ptCount val="8"/>
                <c:pt idx="0">
                  <c:v>0</c:v>
                </c:pt>
                <c:pt idx="1">
                  <c:v>0</c:v>
                </c:pt>
                <c:pt idx="2">
                  <c:v>0</c:v>
                </c:pt>
                <c:pt idx="3">
                  <c:v>0</c:v>
                </c:pt>
                <c:pt idx="4">
                  <c:v>0.22148148148148117</c:v>
                </c:pt>
                <c:pt idx="5">
                  <c:v>0.31234567901234556</c:v>
                </c:pt>
                <c:pt idx="6">
                  <c:v>0.40320987654320994</c:v>
                </c:pt>
                <c:pt idx="7">
                  <c:v>0.49407407407407433</c:v>
                </c:pt>
              </c:numCache>
              <c:extLst/>
            </c:numRef>
          </c:val>
          <c:extLst>
            <c:ext xmlns:c16="http://schemas.microsoft.com/office/drawing/2014/chart" uri="{C3380CC4-5D6E-409C-BE32-E72D297353CC}">
              <c16:uniqueId val="{00000013-E281-4DD0-89D7-876AFFB4AF47}"/>
            </c:ext>
          </c:extLst>
        </c:ser>
        <c:ser>
          <c:idx val="20"/>
          <c:order val="20"/>
          <c:tx>
            <c:strRef>
              <c:f>'Yearly GDP chart fan'!$AY$16</c:f>
              <c:strCache>
                <c:ptCount val="1"/>
                <c:pt idx="0">
                  <c:v>Upper 10</c:v>
                </c:pt>
              </c:strCache>
            </c:strRef>
          </c:tx>
          <c:spPr>
            <a:solidFill>
              <a:srgbClr val="C00000">
                <a:alpha val="10000"/>
              </a:srgbClr>
            </a:solidFill>
            <a:ln w="25400">
              <a:noFill/>
            </a:ln>
            <a:effectLst/>
          </c:spPr>
          <c:cat>
            <c:numRef>
              <c:f>'Yearly GDP chart fan'!$C$17:$C$25</c:f>
              <c:numCache>
                <c:formatCode>General</c:formatCode>
                <c:ptCount val="8"/>
                <c:pt idx="0">
                  <c:v>2020</c:v>
                </c:pt>
                <c:pt idx="1">
                  <c:v>2021</c:v>
                </c:pt>
                <c:pt idx="2">
                  <c:v>2022</c:v>
                </c:pt>
                <c:pt idx="3">
                  <c:v>2023</c:v>
                </c:pt>
                <c:pt idx="4">
                  <c:v>2024</c:v>
                </c:pt>
                <c:pt idx="5">
                  <c:v>2025</c:v>
                </c:pt>
                <c:pt idx="6">
                  <c:v>2026</c:v>
                </c:pt>
                <c:pt idx="7">
                  <c:v>2027</c:v>
                </c:pt>
              </c:numCache>
              <c:extLst/>
            </c:numRef>
          </c:cat>
          <c:val>
            <c:numRef>
              <c:f>'Yearly GDP chart fan'!$AY$17:$AY$25</c:f>
              <c:numCache>
                <c:formatCode>0.0000</c:formatCode>
                <c:ptCount val="8"/>
                <c:pt idx="0">
                  <c:v>0</c:v>
                </c:pt>
                <c:pt idx="1">
                  <c:v>0</c:v>
                </c:pt>
                <c:pt idx="2">
                  <c:v>0</c:v>
                </c:pt>
                <c:pt idx="3">
                  <c:v>0</c:v>
                </c:pt>
                <c:pt idx="4">
                  <c:v>0.24761904761904763</c:v>
                </c:pt>
                <c:pt idx="5">
                  <c:v>0.34920634920634885</c:v>
                </c:pt>
                <c:pt idx="6">
                  <c:v>0.45079365079365097</c:v>
                </c:pt>
                <c:pt idx="7">
                  <c:v>0.55238095238095219</c:v>
                </c:pt>
              </c:numCache>
              <c:extLst/>
            </c:numRef>
          </c:val>
          <c:extLst>
            <c:ext xmlns:c16="http://schemas.microsoft.com/office/drawing/2014/chart" uri="{C3380CC4-5D6E-409C-BE32-E72D297353CC}">
              <c16:uniqueId val="{00000014-E281-4DD0-89D7-876AFFB4AF47}"/>
            </c:ext>
          </c:extLst>
        </c:ser>
        <c:dLbls>
          <c:showLegendKey val="0"/>
          <c:showVal val="0"/>
          <c:showCatName val="0"/>
          <c:showSerName val="0"/>
          <c:showPercent val="0"/>
          <c:showBubbleSize val="0"/>
        </c:dLbls>
        <c:axId val="136355472"/>
        <c:axId val="136350480"/>
      </c:areaChart>
      <c:lineChart>
        <c:grouping val="standard"/>
        <c:varyColors val="0"/>
        <c:ser>
          <c:idx val="21"/>
          <c:order val="21"/>
          <c:tx>
            <c:strRef>
              <c:f>'Yearly GDP chart fan'!$J$16</c:f>
              <c:strCache>
                <c:ptCount val="1"/>
                <c:pt idx="0">
                  <c:v>Kombinovana</c:v>
                </c:pt>
              </c:strCache>
            </c:strRef>
          </c:tx>
          <c:spPr>
            <a:ln w="12700" cap="rnd">
              <a:solidFill>
                <a:schemeClr val="tx1"/>
              </a:solidFill>
              <a:round/>
            </a:ln>
            <a:effectLst/>
          </c:spPr>
          <c:marker>
            <c:symbol val="none"/>
          </c:marker>
          <c:dLbls>
            <c:dLbl>
              <c:idx val="0"/>
              <c:layout>
                <c:manualLayout>
                  <c:x val="-0.10577573636628755"/>
                  <c:y val="7.388699054126515E-4"/>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5-E281-4DD0-89D7-876AFFB4AF47}"/>
                </c:ext>
              </c:extLst>
            </c:dLbl>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chemeClr val="tx1">
                        <a:lumMod val="75000"/>
                        <a:lumOff val="25000"/>
                      </a:schemeClr>
                    </a:solidFill>
                    <a:latin typeface="Times New Roman" panose="02020603050405020304" pitchFamily="18" charset="0"/>
                    <a:ea typeface="+mn-ea"/>
                    <a:cs typeface="+mn-cs"/>
                  </a:defRPr>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Lit>
              <c:ptCount val="8"/>
              <c:pt idx="0">
                <c:v>2020</c:v>
              </c:pt>
              <c:pt idx="1">
                <c:v>2021</c:v>
              </c:pt>
              <c:pt idx="2">
                <c:v>2022</c:v>
              </c:pt>
              <c:pt idx="3">
                <c:v>2023</c:v>
              </c:pt>
              <c:pt idx="4">
                <c:v>2024</c:v>
              </c:pt>
              <c:pt idx="5">
                <c:v>2025</c:v>
              </c:pt>
              <c:pt idx="6">
                <c:v>2026</c:v>
              </c:pt>
              <c:pt idx="7">
                <c:v>2027</c:v>
              </c:pt>
              <c:extLst>
                <c:ext xmlns:c15="http://schemas.microsoft.com/office/drawing/2012/chart" uri="{02D57815-91ED-43cb-92C2-25804820EDAC}">
                  <c15:autoCat val="1"/>
                </c:ext>
              </c:extLst>
            </c:strLit>
          </c:cat>
          <c:val>
            <c:numRef>
              <c:f>'Yearly GDP chart fan'!$J$17:$J$25</c:f>
              <c:numCache>
                <c:formatCode>0.0</c:formatCode>
                <c:ptCount val="8"/>
                <c:pt idx="0">
                  <c:v>-0.95002358986207014</c:v>
                </c:pt>
                <c:pt idx="1">
                  <c:v>7.9490568037111018</c:v>
                </c:pt>
                <c:pt idx="2">
                  <c:v>2.6309864215221239</c:v>
                </c:pt>
                <c:pt idx="3">
                  <c:v>3.8474719538126294</c:v>
                </c:pt>
                <c:pt idx="4">
                  <c:v>3.8</c:v>
                </c:pt>
                <c:pt idx="5">
                  <c:v>4.2</c:v>
                </c:pt>
                <c:pt idx="6">
                  <c:v>4</c:v>
                </c:pt>
                <c:pt idx="7">
                  <c:v>5</c:v>
                </c:pt>
              </c:numCache>
              <c:extLst/>
            </c:numRef>
          </c:val>
          <c:smooth val="0"/>
          <c:extLst>
            <c:ext xmlns:c16="http://schemas.microsoft.com/office/drawing/2014/chart" uri="{C3380CC4-5D6E-409C-BE32-E72D297353CC}">
              <c16:uniqueId val="{00000016-E281-4DD0-89D7-876AFFB4AF47}"/>
            </c:ext>
          </c:extLst>
        </c:ser>
        <c:dLbls>
          <c:showLegendKey val="0"/>
          <c:showVal val="0"/>
          <c:showCatName val="0"/>
          <c:showSerName val="0"/>
          <c:showPercent val="0"/>
          <c:showBubbleSize val="0"/>
        </c:dLbls>
        <c:marker val="1"/>
        <c:smooth val="0"/>
        <c:axId val="136355472"/>
        <c:axId val="136350480"/>
      </c:lineChart>
      <c:catAx>
        <c:axId val="136355472"/>
        <c:scaling>
          <c:orientation val="minMax"/>
        </c:scaling>
        <c:delete val="0"/>
        <c:axPos val="b"/>
        <c:numFmt formatCode="General" sourceLinked="1"/>
        <c:majorTickMark val="out"/>
        <c:minorTickMark val="none"/>
        <c:tickLblPos val="low"/>
        <c:spPr>
          <a:noFill/>
          <a:ln w="9525" cap="flat" cmpd="sng" algn="ctr">
            <a:solidFill>
              <a:schemeClr val="tx1">
                <a:lumMod val="15000"/>
                <a:lumOff val="85000"/>
              </a:schemeClr>
            </a:solidFill>
            <a:round/>
          </a:ln>
          <a:effectLst/>
        </c:spPr>
        <c:txPr>
          <a:bodyPr rot="-60000000" spcFirstLastPara="1" vertOverflow="ellipsis" vert="horz" wrap="square" anchor="b" anchorCtr="0"/>
          <a:lstStyle/>
          <a:p>
            <a:pPr>
              <a:defRPr sz="700" b="0" i="0" u="none" strike="noStrike" kern="1200" baseline="0">
                <a:solidFill>
                  <a:schemeClr val="tx2"/>
                </a:solidFill>
                <a:latin typeface="Times New Roman" panose="02020603050405020304" pitchFamily="18" charset="0"/>
                <a:ea typeface="+mn-ea"/>
                <a:cs typeface="+mn-cs"/>
              </a:defRPr>
            </a:pPr>
            <a:endParaRPr lang="en-US"/>
          </a:p>
        </c:txPr>
        <c:crossAx val="136350480"/>
        <c:crosses val="autoZero"/>
        <c:auto val="1"/>
        <c:lblAlgn val="ctr"/>
        <c:lblOffset val="100"/>
        <c:noMultiLvlLbl val="0"/>
      </c:catAx>
      <c:valAx>
        <c:axId val="136350480"/>
        <c:scaling>
          <c:orientation val="minMax"/>
        </c:scaling>
        <c:delete val="0"/>
        <c:axPos val="l"/>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700" b="0" i="0" u="none" strike="noStrike" kern="1200" baseline="0">
                <a:solidFill>
                  <a:schemeClr val="tx2"/>
                </a:solidFill>
                <a:latin typeface="Times New Roman" panose="02020603050405020304" pitchFamily="18" charset="0"/>
                <a:ea typeface="+mn-ea"/>
                <a:cs typeface="+mn-cs"/>
              </a:defRPr>
            </a:pPr>
            <a:endParaRPr lang="en-US"/>
          </a:p>
        </c:txPr>
        <c:crossAx val="136355472"/>
        <c:crosses val="autoZero"/>
        <c:crossBetween val="between"/>
        <c:majorUnit val="2"/>
      </c:valAx>
      <c:spPr>
        <a:noFill/>
        <a:ln>
          <a:noFill/>
        </a:ln>
        <a:effectLst/>
      </c:spPr>
    </c:plotArea>
    <c:plotVisOnly val="1"/>
    <c:dispBlanksAs val="zero"/>
    <c:showDLblsOverMax val="0"/>
  </c:chart>
  <c:spPr>
    <a:solidFill>
      <a:schemeClr val="bg1"/>
    </a:solidFill>
    <a:ln w="9525" cap="flat" cmpd="sng" algn="ctr">
      <a:noFill/>
      <a:round/>
    </a:ln>
    <a:effectLst/>
  </c:spPr>
  <c:txPr>
    <a:bodyPr/>
    <a:lstStyle/>
    <a:p>
      <a:pPr>
        <a:defRPr/>
      </a:pPr>
      <a:endParaRPr lang="en-US"/>
    </a:p>
  </c:txPr>
  <c:externalData r:id="rId4">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3"/>
    </mc:Choice>
    <mc:Fallback>
      <c:style val="3"/>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10138435239489954"/>
          <c:y val="6.842061127661922E-2"/>
          <c:w val="0.858350771542297"/>
          <c:h val="0.89994549266247381"/>
        </c:manualLayout>
      </c:layout>
      <c:barChart>
        <c:barDir val="col"/>
        <c:grouping val="clustered"/>
        <c:varyColors val="0"/>
        <c:ser>
          <c:idx val="0"/>
          <c:order val="0"/>
          <c:tx>
            <c:v>Фискални резултат</c:v>
          </c:tx>
          <c:spPr>
            <a:solidFill>
              <a:schemeClr val="accent1">
                <a:shade val="76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tx1">
                        <a:lumMod val="75000"/>
                        <a:lumOff val="25000"/>
                      </a:schemeClr>
                    </a:solidFill>
                    <a:latin typeface="Times New Roman" panose="02020603050405020304" pitchFamily="18" charset="0"/>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('Quaterly, Yearly'!$CQ$7:$CX$8,'Quaterly, Yearly'!$CY$7:$CY$8,'Quaterly, Yearly'!$CZ$7:$CZ$8)</c:f>
              <c:strCache>
                <c:ptCount val="10"/>
                <c:pt idx="0">
                  <c:v>2015</c:v>
                </c:pt>
                <c:pt idx="1">
                  <c:v>2016</c:v>
                </c:pt>
                <c:pt idx="2">
                  <c:v>2017</c:v>
                </c:pt>
                <c:pt idx="3">
                  <c:v>2018</c:v>
                </c:pt>
                <c:pt idx="4">
                  <c:v>2019</c:v>
                </c:pt>
                <c:pt idx="5">
                  <c:v>2020</c:v>
                </c:pt>
                <c:pt idx="6">
                  <c:v>2021</c:v>
                </c:pt>
                <c:pt idx="7">
                  <c:v>2022</c:v>
                </c:pt>
                <c:pt idx="8">
                  <c:v>2023</c:v>
                </c:pt>
                <c:pt idx="9">
                  <c:v>2024</c:v>
                </c:pt>
              </c:strCache>
            </c:strRef>
          </c:cat>
          <c:val>
            <c:numRef>
              <c:f>('Quaterly, Yearly'!$CQ$78:$CW$78,'Quaterly, Yearly'!$CX$78,'Quaterly, Yearly'!$CY$78,'Quaterly, Yearly'!$CZ$78)</c:f>
              <c:numCache>
                <c:formatCode>#,##0.00</c:formatCode>
                <c:ptCount val="10"/>
                <c:pt idx="0">
                  <c:v>-3.3187939284991961</c:v>
                </c:pt>
                <c:pt idx="1">
                  <c:v>-1.149397976075984</c:v>
                </c:pt>
                <c:pt idx="2">
                  <c:v>1.0557686096933128</c:v>
                </c:pt>
                <c:pt idx="3">
                  <c:v>0.60940162463875103</c:v>
                </c:pt>
                <c:pt idx="4">
                  <c:v>-0.196032233371843</c:v>
                </c:pt>
                <c:pt idx="5">
                  <c:v>-7.6817157912618725</c:v>
                </c:pt>
                <c:pt idx="6">
                  <c:v>-3.944488655583605</c:v>
                </c:pt>
                <c:pt idx="7">
                  <c:v>-3.0145095743510497</c:v>
                </c:pt>
                <c:pt idx="8">
                  <c:v>-2.0537459179069364</c:v>
                </c:pt>
                <c:pt idx="9">
                  <c:v>-2.7</c:v>
                </c:pt>
              </c:numCache>
            </c:numRef>
          </c:val>
          <c:extLst>
            <c:ext xmlns:c16="http://schemas.microsoft.com/office/drawing/2014/chart" uri="{C3380CC4-5D6E-409C-BE32-E72D297353CC}">
              <c16:uniqueId val="{00000000-1770-4C10-90F2-2166773604DB}"/>
            </c:ext>
          </c:extLst>
        </c:ser>
        <c:ser>
          <c:idx val="1"/>
          <c:order val="1"/>
          <c:tx>
            <c:v>Примарни фискални резултат</c:v>
          </c:tx>
          <c:spPr>
            <a:solidFill>
              <a:schemeClr val="accent1">
                <a:tint val="77000"/>
              </a:schemeClr>
            </a:solidFill>
            <a:ln>
              <a:noFill/>
            </a:ln>
            <a:effectLst/>
          </c:spPr>
          <c:invertIfNegative val="0"/>
          <c:dLbls>
            <c:dLbl>
              <c:idx val="0"/>
              <c:layout>
                <c:manualLayout>
                  <c:x val="1.132097084431951E-2"/>
                  <c:y val="-2.7233807789914938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1770-4C10-90F2-2166773604DB}"/>
                </c:ext>
              </c:extLst>
            </c:dLbl>
            <c:dLbl>
              <c:idx val="1"/>
              <c:layout>
                <c:manualLayout>
                  <c:x val="-3.2073297015369011E-3"/>
                  <c:y val="-1.4142497880723961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1770-4C10-90F2-2166773604DB}"/>
                </c:ext>
              </c:extLst>
            </c:dLbl>
            <c:dLbl>
              <c:idx val="2"/>
              <c:layout>
                <c:manualLayout>
                  <c:x val="-2.4176209155354405E-3"/>
                  <c:y val="-6.651520278435746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1770-4C10-90F2-2166773604DB}"/>
                </c:ext>
              </c:extLst>
            </c:dLbl>
            <c:dLbl>
              <c:idx val="3"/>
              <c:layout>
                <c:manualLayout>
                  <c:x val="2.6858041798127055E-3"/>
                  <c:y val="3.6294739125667468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1770-4C10-90F2-2166773604DB}"/>
                </c:ext>
              </c:extLst>
            </c:dLbl>
            <c:dLbl>
              <c:idx val="4"/>
              <c:layout>
                <c:manualLayout>
                  <c:x val="-3.9217883120591336E-3"/>
                  <c:y val="-1.0898089645081687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1770-4C10-90F2-2166773604DB}"/>
                </c:ext>
              </c:extLst>
            </c:dLbl>
            <c:dLbl>
              <c:idx val="5"/>
              <c:layout>
                <c:manualLayout>
                  <c:x val="1.8183368791494724E-3"/>
                  <c:y val="-1.3434844974070293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1770-4C10-90F2-2166773604DB}"/>
                </c:ext>
              </c:extLst>
            </c:dLbl>
            <c:dLbl>
              <c:idx val="6"/>
              <c:layout>
                <c:manualLayout>
                  <c:x val="1.3735038279346209E-2"/>
                  <c:y val="-1.3118834822906322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1770-4C10-90F2-2166773604DB}"/>
                </c:ext>
              </c:extLst>
            </c:dLbl>
            <c:dLbl>
              <c:idx val="7"/>
              <c:layout>
                <c:manualLayout>
                  <c:x val="1.9834639029877463E-2"/>
                  <c:y val="-8.4701362465218165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1770-4C10-90F2-2166773604DB}"/>
                </c:ext>
              </c:extLst>
            </c:dLbl>
            <c:dLbl>
              <c:idx val="8"/>
              <c:layout>
                <c:manualLayout>
                  <c:x val="5.4635722476333764E-3"/>
                  <c:y val="8.7765204611821041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1770-4C10-90F2-2166773604DB}"/>
                </c:ext>
              </c:extLst>
            </c:dLbl>
            <c:dLbl>
              <c:idx val="9"/>
              <c:layout>
                <c:manualLayout>
                  <c:x val="4.366405527357735E-3"/>
                  <c:y val="6.3030139882989562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A-1770-4C10-90F2-2166773604DB}"/>
                </c:ext>
              </c:extLst>
            </c:dLbl>
            <c:dLbl>
              <c:idx val="10"/>
              <c:layout>
                <c:manualLayout>
                  <c:x val="-3.1357910371513177E-2"/>
                  <c:y val="-1.5058062466060076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B-1770-4C10-90F2-2166773604DB}"/>
                </c:ext>
              </c:extLst>
            </c:dLbl>
            <c:dLbl>
              <c:idx val="11"/>
              <c:layout>
                <c:manualLayout>
                  <c:x val="-4.746385337205393E-2"/>
                  <c:y val="-2.5096770776766794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C-1770-4C10-90F2-2166773604DB}"/>
                </c:ext>
              </c:extLst>
            </c:dLbl>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tx1">
                        <a:lumMod val="75000"/>
                        <a:lumOff val="25000"/>
                      </a:schemeClr>
                    </a:solidFill>
                    <a:latin typeface="Times New Roman" panose="02020603050405020304" pitchFamily="18" charset="0"/>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('Quaterly, Yearly'!$CQ$7:$CX$8,'Quaterly, Yearly'!$CY$7:$CY$8,'Quaterly, Yearly'!$CZ$7:$CZ$8)</c:f>
              <c:strCache>
                <c:ptCount val="10"/>
                <c:pt idx="0">
                  <c:v>2015</c:v>
                </c:pt>
                <c:pt idx="1">
                  <c:v>2016</c:v>
                </c:pt>
                <c:pt idx="2">
                  <c:v>2017</c:v>
                </c:pt>
                <c:pt idx="3">
                  <c:v>2018</c:v>
                </c:pt>
                <c:pt idx="4">
                  <c:v>2019</c:v>
                </c:pt>
                <c:pt idx="5">
                  <c:v>2020</c:v>
                </c:pt>
                <c:pt idx="6">
                  <c:v>2021</c:v>
                </c:pt>
                <c:pt idx="7">
                  <c:v>2022</c:v>
                </c:pt>
                <c:pt idx="8">
                  <c:v>2023</c:v>
                </c:pt>
                <c:pt idx="9">
                  <c:v>2024</c:v>
                </c:pt>
              </c:strCache>
            </c:strRef>
          </c:cat>
          <c:val>
            <c:numRef>
              <c:f>('Quaterly, Yearly'!$CQ$79:$CW$79,'Quaterly, Yearly'!$CX$79,'Quaterly, Yearly'!$CY$79,'Quaterly, Yearly'!$CZ$79)</c:f>
              <c:numCache>
                <c:formatCode>#,##0.00</c:formatCode>
                <c:ptCount val="10"/>
                <c:pt idx="0">
                  <c:v>-0.4519075558326654</c:v>
                </c:pt>
                <c:pt idx="1">
                  <c:v>1.6426873720543391</c:v>
                </c:pt>
                <c:pt idx="2">
                  <c:v>3.4929502757705762</c:v>
                </c:pt>
                <c:pt idx="3">
                  <c:v>2.6358109426223959</c:v>
                </c:pt>
                <c:pt idx="4">
                  <c:v>1.7134410602148162</c:v>
                </c:pt>
                <c:pt idx="5">
                  <c:v>-5.7708509545761064</c:v>
                </c:pt>
                <c:pt idx="6">
                  <c:v>-2.2923653385556717</c:v>
                </c:pt>
                <c:pt idx="7">
                  <c:v>-1.5817930823645041</c:v>
                </c:pt>
                <c:pt idx="8">
                  <c:v>-0.46896121122711304</c:v>
                </c:pt>
                <c:pt idx="9">
                  <c:v>-0.9</c:v>
                </c:pt>
              </c:numCache>
            </c:numRef>
          </c:val>
          <c:extLst>
            <c:ext xmlns:c16="http://schemas.microsoft.com/office/drawing/2014/chart" uri="{C3380CC4-5D6E-409C-BE32-E72D297353CC}">
              <c16:uniqueId val="{0000000D-1770-4C10-90F2-2166773604DB}"/>
            </c:ext>
          </c:extLst>
        </c:ser>
        <c:dLbls>
          <c:showLegendKey val="0"/>
          <c:showVal val="0"/>
          <c:showCatName val="0"/>
          <c:showSerName val="0"/>
          <c:showPercent val="0"/>
          <c:showBubbleSize val="0"/>
        </c:dLbls>
        <c:gapWidth val="150"/>
        <c:axId val="522006368"/>
        <c:axId val="522006928"/>
      </c:barChart>
      <c:catAx>
        <c:axId val="522006368"/>
        <c:scaling>
          <c:orientation val="minMax"/>
        </c:scaling>
        <c:delete val="0"/>
        <c:axPos val="b"/>
        <c:numFmt formatCode="General" sourceLinked="1"/>
        <c:majorTickMark val="out"/>
        <c:minorTickMark val="none"/>
        <c:tickLblPos val="high"/>
        <c:spPr>
          <a:noFill/>
          <a:ln w="12700" cap="flat" cmpd="sng" algn="ctr">
            <a:solidFill>
              <a:schemeClr val="tx1">
                <a:lumMod val="50000"/>
                <a:lumOff val="50000"/>
              </a:schemeClr>
            </a:solidFill>
            <a:prstDash val="sysDash"/>
            <a:round/>
          </a:ln>
          <a:effectLst/>
        </c:spPr>
        <c:txPr>
          <a:bodyPr rot="-60000000" spcFirstLastPara="1" vertOverflow="ellipsis" vert="horz" wrap="square" anchor="ctr" anchorCtr="1"/>
          <a:lstStyle/>
          <a:p>
            <a:pPr>
              <a:defRPr sz="800" b="0" i="0" u="none" strike="noStrike" kern="1200" baseline="0">
                <a:solidFill>
                  <a:schemeClr val="tx1">
                    <a:lumMod val="65000"/>
                    <a:lumOff val="35000"/>
                  </a:schemeClr>
                </a:solidFill>
                <a:latin typeface="Times New Roman" panose="02020603050405020304" pitchFamily="18" charset="0"/>
                <a:ea typeface="+mn-ea"/>
                <a:cs typeface="+mn-cs"/>
              </a:defRPr>
            </a:pPr>
            <a:endParaRPr lang="en-US"/>
          </a:p>
        </c:txPr>
        <c:crossAx val="522006928"/>
        <c:crosses val="autoZero"/>
        <c:auto val="1"/>
        <c:lblAlgn val="ctr"/>
        <c:lblOffset val="100"/>
        <c:noMultiLvlLbl val="0"/>
      </c:catAx>
      <c:valAx>
        <c:axId val="522006928"/>
        <c:scaling>
          <c:orientation val="minMax"/>
          <c:max val="5"/>
          <c:min val="-10"/>
        </c:scaling>
        <c:delete val="0"/>
        <c:axPos val="l"/>
        <c:title>
          <c:tx>
            <c:rich>
              <a:bodyPr rot="-5400000" spcFirstLastPara="1" vertOverflow="ellipsis" vert="horz" wrap="square" anchor="ctr" anchorCtr="1"/>
              <a:lstStyle/>
              <a:p>
                <a:pPr>
                  <a:defRPr sz="800" b="0" i="0" u="none" strike="noStrike" kern="1200" baseline="0">
                    <a:solidFill>
                      <a:schemeClr val="tx1">
                        <a:lumMod val="65000"/>
                        <a:lumOff val="35000"/>
                      </a:schemeClr>
                    </a:solidFill>
                    <a:latin typeface="Times New Roman" panose="02020603050405020304" pitchFamily="18" charset="0"/>
                    <a:ea typeface="+mn-ea"/>
                    <a:cs typeface="+mn-cs"/>
                  </a:defRPr>
                </a:pPr>
                <a:r>
                  <a:rPr lang="en-US" sz="800" baseline="0">
                    <a:latin typeface="Times New Roman" panose="02020603050405020304" pitchFamily="18" charset="0"/>
                  </a:rPr>
                  <a:t>% </a:t>
                </a:r>
                <a:r>
                  <a:rPr lang="sr-Cyrl-RS" sz="800" baseline="0">
                    <a:latin typeface="Times New Roman" panose="02020603050405020304" pitchFamily="18" charset="0"/>
                  </a:rPr>
                  <a:t>БДП</a:t>
                </a:r>
                <a:endParaRPr lang="en-US" sz="800" baseline="0">
                  <a:latin typeface="Times New Roman" panose="02020603050405020304" pitchFamily="18" charset="0"/>
                </a:endParaRPr>
              </a:p>
            </c:rich>
          </c:tx>
          <c:layout>
            <c:manualLayout>
              <c:xMode val="edge"/>
              <c:yMode val="edge"/>
              <c:x val="1.4466593066470506E-2"/>
              <c:y val="0.48371051118893538"/>
            </c:manualLayout>
          </c:layout>
          <c:overlay val="0"/>
          <c:spPr>
            <a:noFill/>
            <a:ln>
              <a:noFill/>
            </a:ln>
            <a:effectLst/>
          </c:spPr>
          <c:txPr>
            <a:bodyPr rot="-5400000" spcFirstLastPara="1" vertOverflow="ellipsis" vert="horz" wrap="square" anchor="ctr" anchorCtr="1"/>
            <a:lstStyle/>
            <a:p>
              <a:pPr>
                <a:defRPr sz="800" b="0" i="0" u="none" strike="noStrike" kern="1200" baseline="0">
                  <a:solidFill>
                    <a:schemeClr val="tx1">
                      <a:lumMod val="65000"/>
                      <a:lumOff val="35000"/>
                    </a:schemeClr>
                  </a:solidFill>
                  <a:latin typeface="Times New Roman" panose="02020603050405020304" pitchFamily="18" charset="0"/>
                  <a:ea typeface="+mn-ea"/>
                  <a:cs typeface="+mn-cs"/>
                </a:defRPr>
              </a:pPr>
              <a:endParaRPr lang="en-US"/>
            </a:p>
          </c:txPr>
        </c:title>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800" b="0" i="0" u="none" strike="noStrike" kern="1200" baseline="0">
                <a:solidFill>
                  <a:schemeClr val="tx1">
                    <a:lumMod val="65000"/>
                    <a:lumOff val="35000"/>
                  </a:schemeClr>
                </a:solidFill>
                <a:latin typeface="Times New Roman" panose="02020603050405020304" pitchFamily="18" charset="0"/>
                <a:ea typeface="+mn-ea"/>
                <a:cs typeface="+mn-cs"/>
              </a:defRPr>
            </a:pPr>
            <a:endParaRPr lang="en-US"/>
          </a:p>
        </c:txPr>
        <c:crossAx val="522006368"/>
        <c:crosses val="autoZero"/>
        <c:crossBetween val="between"/>
      </c:valAx>
      <c:spPr>
        <a:noFill/>
        <a:ln>
          <a:noFill/>
        </a:ln>
        <a:effectLst/>
      </c:spPr>
    </c:plotArea>
    <c:legend>
      <c:legendPos val="b"/>
      <c:layout>
        <c:manualLayout>
          <c:xMode val="edge"/>
          <c:yMode val="edge"/>
          <c:x val="9.0216144034627258E-2"/>
          <c:y val="0.85964268485130946"/>
          <c:w val="0.51810891150797223"/>
          <c:h val="0.11522053612514881"/>
        </c:manualLayout>
      </c:layout>
      <c:overlay val="0"/>
      <c:spPr>
        <a:noFill/>
        <a:ln>
          <a:noFill/>
        </a:ln>
        <a:effectLst/>
      </c:spPr>
      <c:txPr>
        <a:bodyPr rot="0" spcFirstLastPara="1" vertOverflow="ellipsis" vert="horz" wrap="square" anchor="ctr" anchorCtr="1"/>
        <a:lstStyle/>
        <a:p>
          <a:pPr>
            <a:defRPr sz="800" b="0" i="0" u="none" strike="noStrike" kern="1200" baseline="0">
              <a:solidFill>
                <a:schemeClr val="tx1">
                  <a:lumMod val="65000"/>
                  <a:lumOff val="35000"/>
                </a:schemeClr>
              </a:solidFill>
              <a:latin typeface="Times New Roman" panose="02020603050405020304" pitchFamily="18" charset="0"/>
              <a:ea typeface="+mn-ea"/>
              <a:cs typeface="+mn-cs"/>
            </a:defRPr>
          </a:pPr>
          <a:endParaRPr lang="en-US"/>
        </a:p>
      </c:txPr>
    </c:legend>
    <c:plotVisOnly val="1"/>
    <c:dispBlanksAs val="gap"/>
    <c:showDLblsOverMax val="0"/>
  </c:chart>
  <c:spPr>
    <a:noFill/>
    <a:ln w="9525" cap="flat" cmpd="sng" algn="ctr">
      <a:noFill/>
      <a:round/>
    </a:ln>
    <a:effectLst/>
  </c:spPr>
  <c:txPr>
    <a:bodyPr/>
    <a:lstStyle/>
    <a:p>
      <a:pPr>
        <a:defRPr>
          <a:latin typeface="Georgia" panose="02040502050405020303" pitchFamily="18" charset="0"/>
        </a:defRPr>
      </a:pPr>
      <a:endParaRPr lang="en-US"/>
    </a:p>
  </c:txPr>
  <c:externalData r:id="rId4">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3.9365624101421595E-2"/>
          <c:y val="4.2394333542179731E-2"/>
          <c:w val="0.93008776452994879"/>
          <c:h val="0.8718835976133309"/>
        </c:manualLayout>
      </c:layout>
      <c:barChart>
        <c:barDir val="bar"/>
        <c:grouping val="clustered"/>
        <c:varyColors val="0"/>
        <c:ser>
          <c:idx val="0"/>
          <c:order val="0"/>
          <c:spPr>
            <a:solidFill>
              <a:schemeClr val="accent1"/>
            </a:solidFill>
            <a:ln>
              <a:solidFill>
                <a:srgbClr val="FF0000"/>
              </a:solidFill>
            </a:ln>
            <a:effectLst/>
          </c:spPr>
          <c:invertIfNegative val="0"/>
          <c:dPt>
            <c:idx val="0"/>
            <c:invertIfNegative val="0"/>
            <c:bubble3D val="0"/>
            <c:spPr>
              <a:noFill/>
              <a:ln>
                <a:solidFill>
                  <a:srgbClr val="FF0000"/>
                </a:solidFill>
              </a:ln>
              <a:effectLst/>
            </c:spPr>
            <c:extLst>
              <c:ext xmlns:c16="http://schemas.microsoft.com/office/drawing/2014/chart" uri="{C3380CC4-5D6E-409C-BE32-E72D297353CC}">
                <c16:uniqueId val="{00000001-C070-4523-8796-D34885F0E865}"/>
              </c:ext>
            </c:extLst>
          </c:dPt>
          <c:dPt>
            <c:idx val="1"/>
            <c:invertIfNegative val="0"/>
            <c:bubble3D val="0"/>
            <c:spPr>
              <a:solidFill>
                <a:schemeClr val="accent1"/>
              </a:solidFill>
              <a:ln>
                <a:noFill/>
              </a:ln>
              <a:effectLst/>
            </c:spPr>
            <c:extLst>
              <c:ext xmlns:c16="http://schemas.microsoft.com/office/drawing/2014/chart" uri="{C3380CC4-5D6E-409C-BE32-E72D297353CC}">
                <c16:uniqueId val="{00000003-C070-4523-8796-D34885F0E865}"/>
              </c:ext>
            </c:extLst>
          </c:dPt>
          <c:dPt>
            <c:idx val="2"/>
            <c:invertIfNegative val="0"/>
            <c:bubble3D val="0"/>
            <c:spPr>
              <a:solidFill>
                <a:schemeClr val="accent1"/>
              </a:solidFill>
              <a:ln>
                <a:noFill/>
              </a:ln>
              <a:effectLst/>
            </c:spPr>
            <c:extLst>
              <c:ext xmlns:c16="http://schemas.microsoft.com/office/drawing/2014/chart" uri="{C3380CC4-5D6E-409C-BE32-E72D297353CC}">
                <c16:uniqueId val="{00000005-C070-4523-8796-D34885F0E865}"/>
              </c:ext>
            </c:extLst>
          </c:dPt>
          <c:dPt>
            <c:idx val="3"/>
            <c:invertIfNegative val="0"/>
            <c:bubble3D val="0"/>
            <c:spPr>
              <a:solidFill>
                <a:schemeClr val="accent1"/>
              </a:solidFill>
              <a:ln>
                <a:noFill/>
              </a:ln>
              <a:effectLst/>
            </c:spPr>
            <c:extLst>
              <c:ext xmlns:c16="http://schemas.microsoft.com/office/drawing/2014/chart" uri="{C3380CC4-5D6E-409C-BE32-E72D297353CC}">
                <c16:uniqueId val="{00000007-C070-4523-8796-D34885F0E865}"/>
              </c:ext>
            </c:extLst>
          </c:dPt>
          <c:dPt>
            <c:idx val="4"/>
            <c:invertIfNegative val="0"/>
            <c:bubble3D val="0"/>
            <c:spPr>
              <a:solidFill>
                <a:schemeClr val="accent1"/>
              </a:solidFill>
              <a:ln>
                <a:noFill/>
              </a:ln>
              <a:effectLst/>
            </c:spPr>
            <c:extLst>
              <c:ext xmlns:c16="http://schemas.microsoft.com/office/drawing/2014/chart" uri="{C3380CC4-5D6E-409C-BE32-E72D297353CC}">
                <c16:uniqueId val="{00000009-C070-4523-8796-D34885F0E865}"/>
              </c:ext>
            </c:extLst>
          </c:dPt>
          <c:dPt>
            <c:idx val="5"/>
            <c:invertIfNegative val="0"/>
            <c:bubble3D val="0"/>
            <c:spPr>
              <a:solidFill>
                <a:schemeClr val="accent1"/>
              </a:solidFill>
              <a:ln>
                <a:noFill/>
              </a:ln>
              <a:effectLst/>
            </c:spPr>
            <c:extLst>
              <c:ext xmlns:c16="http://schemas.microsoft.com/office/drawing/2014/chart" uri="{C3380CC4-5D6E-409C-BE32-E72D297353CC}">
                <c16:uniqueId val="{0000000B-C070-4523-8796-D34885F0E865}"/>
              </c:ext>
            </c:extLst>
          </c:dPt>
          <c:dPt>
            <c:idx val="6"/>
            <c:invertIfNegative val="0"/>
            <c:bubble3D val="0"/>
            <c:spPr>
              <a:solidFill>
                <a:schemeClr val="accent1"/>
              </a:solidFill>
              <a:ln>
                <a:noFill/>
              </a:ln>
              <a:effectLst/>
            </c:spPr>
            <c:extLst>
              <c:ext xmlns:c16="http://schemas.microsoft.com/office/drawing/2014/chart" uri="{C3380CC4-5D6E-409C-BE32-E72D297353CC}">
                <c16:uniqueId val="{0000000D-C070-4523-8796-D34885F0E865}"/>
              </c:ext>
            </c:extLst>
          </c:dPt>
          <c:dPt>
            <c:idx val="7"/>
            <c:invertIfNegative val="0"/>
            <c:bubble3D val="0"/>
            <c:spPr>
              <a:noFill/>
              <a:ln>
                <a:solidFill>
                  <a:srgbClr val="FF0000"/>
                </a:solidFill>
              </a:ln>
              <a:effectLst/>
            </c:spPr>
            <c:extLst>
              <c:ext xmlns:c16="http://schemas.microsoft.com/office/drawing/2014/chart" uri="{C3380CC4-5D6E-409C-BE32-E72D297353CC}">
                <c16:uniqueId val="{0000000F-C070-4523-8796-D34885F0E865}"/>
              </c:ext>
            </c:extLst>
          </c:dPt>
          <c:dPt>
            <c:idx val="8"/>
            <c:invertIfNegative val="0"/>
            <c:bubble3D val="0"/>
            <c:spPr>
              <a:noFill/>
              <a:ln>
                <a:solidFill>
                  <a:srgbClr val="FF0000"/>
                </a:solidFill>
              </a:ln>
              <a:effectLst/>
            </c:spPr>
            <c:extLst>
              <c:ext xmlns:c16="http://schemas.microsoft.com/office/drawing/2014/chart" uri="{C3380CC4-5D6E-409C-BE32-E72D297353CC}">
                <c16:uniqueId val="{00000011-C070-4523-8796-D34885F0E865}"/>
              </c:ext>
            </c:extLst>
          </c:dPt>
          <c:dPt>
            <c:idx val="9"/>
            <c:invertIfNegative val="0"/>
            <c:bubble3D val="0"/>
            <c:spPr>
              <a:noFill/>
              <a:ln>
                <a:solidFill>
                  <a:srgbClr val="FF0000"/>
                </a:solidFill>
              </a:ln>
              <a:effectLst/>
            </c:spPr>
            <c:extLst>
              <c:ext xmlns:c16="http://schemas.microsoft.com/office/drawing/2014/chart" uri="{C3380CC4-5D6E-409C-BE32-E72D297353CC}">
                <c16:uniqueId val="{00000013-C070-4523-8796-D34885F0E865}"/>
              </c:ext>
            </c:extLst>
          </c:dPt>
          <c:dPt>
            <c:idx val="10"/>
            <c:invertIfNegative val="0"/>
            <c:bubble3D val="0"/>
            <c:spPr>
              <a:noFill/>
              <a:ln>
                <a:solidFill>
                  <a:srgbClr val="FF0000"/>
                </a:solidFill>
              </a:ln>
              <a:effectLst/>
            </c:spPr>
            <c:extLst>
              <c:ext xmlns:c16="http://schemas.microsoft.com/office/drawing/2014/chart" uri="{C3380CC4-5D6E-409C-BE32-E72D297353CC}">
                <c16:uniqueId val="{00000015-C070-4523-8796-D34885F0E865}"/>
              </c:ext>
            </c:extLst>
          </c:dPt>
          <c:dPt>
            <c:idx val="11"/>
            <c:invertIfNegative val="0"/>
            <c:bubble3D val="0"/>
            <c:spPr>
              <a:noFill/>
              <a:ln>
                <a:solidFill>
                  <a:srgbClr val="FF0000"/>
                </a:solidFill>
              </a:ln>
              <a:effectLst/>
            </c:spPr>
            <c:extLst>
              <c:ext xmlns:c16="http://schemas.microsoft.com/office/drawing/2014/chart" uri="{C3380CC4-5D6E-409C-BE32-E72D297353CC}">
                <c16:uniqueId val="{00000017-C070-4523-8796-D34885F0E865}"/>
              </c:ext>
            </c:extLst>
          </c:dPt>
          <c:dPt>
            <c:idx val="12"/>
            <c:invertIfNegative val="0"/>
            <c:bubble3D val="0"/>
            <c:spPr>
              <a:noFill/>
              <a:ln>
                <a:solidFill>
                  <a:srgbClr val="FF0000"/>
                </a:solidFill>
              </a:ln>
              <a:effectLst/>
            </c:spPr>
            <c:extLst>
              <c:ext xmlns:c16="http://schemas.microsoft.com/office/drawing/2014/chart" uri="{C3380CC4-5D6E-409C-BE32-E72D297353CC}">
                <c16:uniqueId val="{00000019-C070-4523-8796-D34885F0E865}"/>
              </c:ext>
            </c:extLst>
          </c:dPt>
          <c:dPt>
            <c:idx val="13"/>
            <c:invertIfNegative val="0"/>
            <c:bubble3D val="0"/>
            <c:spPr>
              <a:noFill/>
              <a:ln>
                <a:solidFill>
                  <a:srgbClr val="FF0000"/>
                </a:solidFill>
              </a:ln>
              <a:effectLst/>
            </c:spPr>
            <c:extLst>
              <c:ext xmlns:c16="http://schemas.microsoft.com/office/drawing/2014/chart" uri="{C3380CC4-5D6E-409C-BE32-E72D297353CC}">
                <c16:uniqueId val="{0000001B-C070-4523-8796-D34885F0E865}"/>
              </c:ext>
            </c:extLst>
          </c:dPt>
          <c:dPt>
            <c:idx val="14"/>
            <c:invertIfNegative val="0"/>
            <c:bubble3D val="0"/>
            <c:spPr>
              <a:noFill/>
              <a:ln>
                <a:solidFill>
                  <a:srgbClr val="FF0000"/>
                </a:solidFill>
              </a:ln>
              <a:effectLst/>
            </c:spPr>
            <c:extLst>
              <c:ext xmlns:c16="http://schemas.microsoft.com/office/drawing/2014/chart" uri="{C3380CC4-5D6E-409C-BE32-E72D297353CC}">
                <c16:uniqueId val="{0000001D-C070-4523-8796-D34885F0E865}"/>
              </c:ext>
            </c:extLst>
          </c:dPt>
          <c:dPt>
            <c:idx val="15"/>
            <c:invertIfNegative val="0"/>
            <c:bubble3D val="0"/>
            <c:spPr>
              <a:noFill/>
              <a:ln>
                <a:solidFill>
                  <a:srgbClr val="FF0000"/>
                </a:solidFill>
              </a:ln>
              <a:effectLst/>
            </c:spPr>
            <c:extLst>
              <c:ext xmlns:c16="http://schemas.microsoft.com/office/drawing/2014/chart" uri="{C3380CC4-5D6E-409C-BE32-E72D297353CC}">
                <c16:uniqueId val="{0000001F-C070-4523-8796-D34885F0E865}"/>
              </c:ext>
            </c:extLst>
          </c:dPt>
          <c:dPt>
            <c:idx val="16"/>
            <c:invertIfNegative val="0"/>
            <c:bubble3D val="0"/>
            <c:spPr>
              <a:solidFill>
                <a:schemeClr val="accent1"/>
              </a:solidFill>
              <a:ln>
                <a:noFill/>
              </a:ln>
              <a:effectLst/>
            </c:spPr>
            <c:extLst>
              <c:ext xmlns:c16="http://schemas.microsoft.com/office/drawing/2014/chart" uri="{C3380CC4-5D6E-409C-BE32-E72D297353CC}">
                <c16:uniqueId val="{00000021-C070-4523-8796-D34885F0E865}"/>
              </c:ext>
            </c:extLst>
          </c:dPt>
          <c:dPt>
            <c:idx val="17"/>
            <c:invertIfNegative val="0"/>
            <c:bubble3D val="0"/>
            <c:spPr>
              <a:noFill/>
              <a:ln>
                <a:solidFill>
                  <a:srgbClr val="FF0000"/>
                </a:solidFill>
              </a:ln>
              <a:effectLst/>
            </c:spPr>
            <c:extLst>
              <c:ext xmlns:c16="http://schemas.microsoft.com/office/drawing/2014/chart" uri="{C3380CC4-5D6E-409C-BE32-E72D297353CC}">
                <c16:uniqueId val="{00000023-C070-4523-8796-D34885F0E865}"/>
              </c:ext>
            </c:extLst>
          </c:dPt>
          <c:dPt>
            <c:idx val="18"/>
            <c:invertIfNegative val="0"/>
            <c:bubble3D val="0"/>
            <c:spPr>
              <a:noFill/>
              <a:ln>
                <a:solidFill>
                  <a:srgbClr val="FF0000"/>
                </a:solidFill>
              </a:ln>
              <a:effectLst/>
            </c:spPr>
            <c:extLst>
              <c:ext xmlns:c16="http://schemas.microsoft.com/office/drawing/2014/chart" uri="{C3380CC4-5D6E-409C-BE32-E72D297353CC}">
                <c16:uniqueId val="{00000025-C070-4523-8796-D34885F0E865}"/>
              </c:ext>
            </c:extLst>
          </c:dPt>
          <c:dLbls>
            <c:dLbl>
              <c:idx val="0"/>
              <c:delete val="1"/>
              <c:extLst>
                <c:ext xmlns:c15="http://schemas.microsoft.com/office/drawing/2012/chart" uri="{CE6537A1-D6FC-4f65-9D91-7224C49458BB}"/>
                <c:ext xmlns:c16="http://schemas.microsoft.com/office/drawing/2014/chart" uri="{C3380CC4-5D6E-409C-BE32-E72D297353CC}">
                  <c16:uniqueId val="{00000001-C070-4523-8796-D34885F0E865}"/>
                </c:ext>
              </c:extLst>
            </c:dLbl>
            <c:dLbl>
              <c:idx val="2"/>
              <c:layout>
                <c:manualLayout>
                  <c:x val="8.5013885261219797E-3"/>
                  <c:y val="-2.5563379351635001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C070-4523-8796-D34885F0E865}"/>
                </c:ext>
              </c:extLst>
            </c:dLbl>
            <c:dLbl>
              <c:idx val="7"/>
              <c:layout>
                <c:manualLayout>
                  <c:x val="0.16144745998608212"/>
                  <c:y val="-6.4061328903338901E-1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F-C070-4523-8796-D34885F0E865}"/>
                </c:ext>
              </c:extLst>
            </c:dLbl>
            <c:dLbl>
              <c:idx val="8"/>
              <c:layout>
                <c:manualLayout>
                  <c:x val="4.5292960509372655E-2"/>
                  <c:y val="6.0497109655207899E-4"/>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1-C070-4523-8796-D34885F0E865}"/>
                </c:ext>
              </c:extLst>
            </c:dLbl>
            <c:dLbl>
              <c:idx val="9"/>
              <c:layout>
                <c:manualLayout>
                  <c:x val="0.18083695810873965"/>
                  <c:y val="-3.4942946697423798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3-C070-4523-8796-D34885F0E865}"/>
                </c:ext>
              </c:extLst>
            </c:dLbl>
            <c:dLbl>
              <c:idx val="10"/>
              <c:layout>
                <c:manualLayout>
                  <c:x val="0.2700069589422408"/>
                  <c:y val="-2.7686965499861419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5-C070-4523-8796-D34885F0E865}"/>
                </c:ext>
              </c:extLst>
            </c:dLbl>
            <c:dLbl>
              <c:idx val="11"/>
              <c:layout>
                <c:manualLayout>
                  <c:x val="0.25887265135699372"/>
                  <c:y val="-5.5373930999721823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7-C070-4523-8796-D34885F0E865}"/>
                </c:ext>
              </c:extLst>
            </c:dLbl>
            <c:dLbl>
              <c:idx val="12"/>
              <c:layout>
                <c:manualLayout>
                  <c:x val="0.22825352467684754"/>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9-C070-4523-8796-D34885F0E865}"/>
                </c:ext>
              </c:extLst>
            </c:dLbl>
            <c:dLbl>
              <c:idx val="13"/>
              <c:layout>
                <c:manualLayout>
                  <c:x val="0.21433542101600567"/>
                  <c:y val="-2.7686965499861419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B-C070-4523-8796-D34885F0E865}"/>
                </c:ext>
              </c:extLst>
            </c:dLbl>
            <c:dLbl>
              <c:idx val="14"/>
              <c:layout>
                <c:manualLayout>
                  <c:x val="-6.50195343536129E-3"/>
                  <c:y val="2.7686965499860911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D-C070-4523-8796-D34885F0E865}"/>
                </c:ext>
              </c:extLst>
            </c:dLbl>
            <c:dLbl>
              <c:idx val="15"/>
              <c:layout>
                <c:manualLayout>
                  <c:x val="0.19703129353423104"/>
                  <c:y val="-3.203066445166945E-1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F-C070-4523-8796-D34885F0E865}"/>
                </c:ext>
              </c:extLst>
            </c:dLbl>
            <c:dLbl>
              <c:idx val="16"/>
              <c:layout>
                <c:manualLayout>
                  <c:x val="-8.0971677127456426E-3"/>
                  <c:y val="-2.2567686749574841E-1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21-C070-4523-8796-D34885F0E865}"/>
                </c:ext>
              </c:extLst>
            </c:dLbl>
            <c:dLbl>
              <c:idx val="17"/>
              <c:layout>
                <c:manualLayout>
                  <c:x val="9.1858037578288101E-2"/>
                  <c:y val="-1.26897125947935E-1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23-C070-4523-8796-D34885F0E865}"/>
                </c:ext>
              </c:extLst>
            </c:dLbl>
            <c:dLbl>
              <c:idx val="18"/>
              <c:layout>
                <c:manualLayout>
                  <c:x val="-3.6988695828470293E-3"/>
                  <c:y val="2.3049943797640048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25-C070-4523-8796-D34885F0E865}"/>
                </c:ext>
              </c:extLst>
            </c:dLbl>
            <c:numFmt formatCode="#,##0.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Times New Roman" panose="02020603050405020304" pitchFamily="18" charset="0"/>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Sheet1!$E$31:$E$49</c:f>
              <c:strCache>
                <c:ptCount val="19"/>
                <c:pt idx="0">
                  <c:v>Планирани фискални резултат за 2024. годину</c:v>
                </c:pt>
                <c:pt idx="1">
                  <c:v>Базни приходни ефекат</c:v>
                </c:pt>
                <c:pt idx="2">
                  <c:v>Кретање личне потрошње</c:v>
                </c:pt>
                <c:pt idx="3">
                  <c:v>Кретања на тржишту рада</c:v>
                </c:pt>
                <c:pt idx="4">
                  <c:v>Профитабилност привреде</c:v>
                </c:pt>
                <c:pt idx="5">
                  <c:v>Потрошња акцизних производа</c:v>
                </c:pt>
                <c:pt idx="6">
                  <c:v>Једнократни порески и непорески приходи</c:v>
                </c:pt>
                <c:pt idx="7">
                  <c:v>Остало приходи</c:v>
                </c:pt>
                <c:pt idx="8">
                  <c:v>Зараде</c:v>
                </c:pt>
                <c:pt idx="9">
                  <c:v>Нова социјална права</c:v>
                </c:pt>
                <c:pt idx="10">
                  <c:v>Увећана здравствена заштита</c:v>
                </c:pt>
                <c:pt idx="11">
                  <c:v>Субвенције у пољопривреди</c:v>
                </c:pt>
                <c:pt idx="12">
                  <c:v>Субвенције у енергетици</c:v>
                </c:pt>
                <c:pt idx="13">
                  <c:v>Расходи за робе и услуге</c:v>
                </c:pt>
                <c:pt idx="14">
                  <c:v>Kапитални расходи</c:v>
                </c:pt>
                <c:pt idx="15">
                  <c:v>Једнократни расходи</c:v>
                </c:pt>
                <c:pt idx="16">
                  <c:v>Енергенти</c:v>
                </c:pt>
                <c:pt idx="17">
                  <c:v>Остало расходи</c:v>
                </c:pt>
                <c:pt idx="18">
                  <c:v>Прој. фискални резултат за 2024. годину</c:v>
                </c:pt>
              </c:strCache>
            </c:strRef>
          </c:cat>
          <c:val>
            <c:numRef>
              <c:f>Sheet1!$F$31:$F$49</c:f>
              <c:numCache>
                <c:formatCode>0.000</c:formatCode>
                <c:ptCount val="19"/>
                <c:pt idx="0" formatCode="0.00">
                  <c:v>-2.0506767969796607</c:v>
                </c:pt>
                <c:pt idx="1">
                  <c:v>0.3854130760220576</c:v>
                </c:pt>
                <c:pt idx="2">
                  <c:v>0.31944273415566754</c:v>
                </c:pt>
                <c:pt idx="3">
                  <c:v>0.3301632288663689</c:v>
                </c:pt>
                <c:pt idx="4">
                  <c:v>0.36681405358667685</c:v>
                </c:pt>
                <c:pt idx="5">
                  <c:v>7.3362810717335358E-2</c:v>
                </c:pt>
                <c:pt idx="6">
                  <c:v>0.29448452189352931</c:v>
                </c:pt>
                <c:pt idx="7">
                  <c:v>-5.4199313026375082E-2</c:v>
                </c:pt>
                <c:pt idx="8">
                  <c:v>-0.21388875800687915</c:v>
                </c:pt>
                <c:pt idx="9">
                  <c:v>-0.16945775996680279</c:v>
                </c:pt>
                <c:pt idx="10">
                  <c:v>-0.1549918536281733</c:v>
                </c:pt>
                <c:pt idx="11">
                  <c:v>-0.1818571082570567</c:v>
                </c:pt>
                <c:pt idx="12">
                  <c:v>-0.13329299412022905</c:v>
                </c:pt>
                <c:pt idx="13">
                  <c:v>-0.19735629361987403</c:v>
                </c:pt>
                <c:pt idx="14">
                  <c:v>-1.1479729958726701</c:v>
                </c:pt>
                <c:pt idx="15">
                  <c:v>-0.10332790241878222</c:v>
                </c:pt>
                <c:pt idx="16">
                  <c:v>0.27691877848233631</c:v>
                </c:pt>
                <c:pt idx="17">
                  <c:v>-0.3726004161221329</c:v>
                </c:pt>
                <c:pt idx="18" formatCode="0.00">
                  <c:v>-2.7382194826670316</c:v>
                </c:pt>
              </c:numCache>
            </c:numRef>
          </c:val>
          <c:extLst>
            <c:ext xmlns:c16="http://schemas.microsoft.com/office/drawing/2014/chart" uri="{C3380CC4-5D6E-409C-BE32-E72D297353CC}">
              <c16:uniqueId val="{00000026-C070-4523-8796-D34885F0E865}"/>
            </c:ext>
          </c:extLst>
        </c:ser>
        <c:dLbls>
          <c:showLegendKey val="0"/>
          <c:showVal val="0"/>
          <c:showCatName val="0"/>
          <c:showSerName val="0"/>
          <c:showPercent val="0"/>
          <c:showBubbleSize val="0"/>
        </c:dLbls>
        <c:gapWidth val="80"/>
        <c:axId val="1145657328"/>
        <c:axId val="1145632752"/>
      </c:barChart>
      <c:catAx>
        <c:axId val="1145657328"/>
        <c:scaling>
          <c:orientation val="minMax"/>
        </c:scaling>
        <c:delete val="0"/>
        <c:axPos val="l"/>
        <c:numFmt formatCode="General" sourceLinked="1"/>
        <c:majorTickMark val="none"/>
        <c:minorTickMark val="none"/>
        <c:tickLblPos val="nextTo"/>
        <c:spPr>
          <a:noFill/>
          <a:ln w="9525" cap="flat" cmpd="sng" algn="ctr">
            <a:solidFill>
              <a:srgbClr val="FF0000"/>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mn-cs"/>
              </a:defRPr>
            </a:pPr>
            <a:endParaRPr lang="en-US"/>
          </a:p>
        </c:txPr>
        <c:crossAx val="1145632752"/>
        <c:crosses val="autoZero"/>
        <c:auto val="1"/>
        <c:lblAlgn val="ctr"/>
        <c:lblOffset val="100"/>
        <c:noMultiLvlLbl val="0"/>
      </c:catAx>
      <c:valAx>
        <c:axId val="1145632752"/>
        <c:scaling>
          <c:orientation val="minMax"/>
          <c:min val="-3.5"/>
        </c:scaling>
        <c:delete val="0"/>
        <c:axPos val="b"/>
        <c:majorGridlines>
          <c:spPr>
            <a:ln w="9525" cap="flat" cmpd="sng" algn="ctr">
              <a:solidFill>
                <a:schemeClr val="tx1">
                  <a:lumMod val="15000"/>
                  <a:lumOff val="85000"/>
                </a:schemeClr>
              </a:solidFill>
              <a:round/>
            </a:ln>
            <a:effectLst/>
          </c:spPr>
        </c:majorGridlines>
        <c:numFmt formatCode="0.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mn-cs"/>
              </a:defRPr>
            </a:pPr>
            <a:endParaRPr lang="en-US"/>
          </a:p>
        </c:txPr>
        <c:crossAx val="1145657328"/>
        <c:crosses val="autoZero"/>
        <c:crossBetween val="between"/>
      </c:valAx>
      <c:spPr>
        <a:noFill/>
        <a:ln>
          <a:noFill/>
        </a:ln>
        <a:effectLst/>
      </c:spPr>
    </c:plotArea>
    <c:plotVisOnly val="1"/>
    <c:dispBlanksAs val="gap"/>
    <c:showDLblsOverMax val="0"/>
  </c:chart>
  <c:spPr>
    <a:solidFill>
      <a:schemeClr val="bg1"/>
    </a:solidFill>
    <a:ln w="9525" cap="flat" cmpd="sng" algn="ctr">
      <a:noFill/>
      <a:round/>
    </a:ln>
    <a:effectLst/>
  </c:spPr>
  <c:txPr>
    <a:bodyPr/>
    <a:lstStyle/>
    <a:p>
      <a:pPr>
        <a:defRPr/>
      </a:pPr>
      <a:endParaRPr lang="en-US"/>
    </a:p>
  </c:txPr>
  <c:externalData r:id="rId4">
    <c:autoUpdate val="0"/>
  </c:externalData>
  <c:userShapes r:id="rId5"/>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6.3415222230767468E-2"/>
          <c:y val="8.6538461538461536E-2"/>
          <c:w val="0.89818784226795878"/>
          <c:h val="0.48525060873414921"/>
        </c:manualLayout>
      </c:layout>
      <c:barChart>
        <c:barDir val="col"/>
        <c:grouping val="clustered"/>
        <c:varyColors val="0"/>
        <c:ser>
          <c:idx val="0"/>
          <c:order val="0"/>
          <c:tx>
            <c:strRef>
              <c:f>'S0 EU Serbia'!$AJ$39</c:f>
              <c:strCache>
                <c:ptCount val="1"/>
                <c:pt idx="0">
                  <c:v>Фискални подиндекс</c:v>
                </c:pt>
              </c:strCache>
            </c:strRef>
          </c:tx>
          <c:spPr>
            <a:solidFill>
              <a:srgbClr val="7030A0"/>
            </a:solidFill>
            <a:ln w="9525">
              <a:noFill/>
            </a:ln>
            <a:effectLst/>
          </c:spPr>
          <c:invertIfNegative val="0"/>
          <c:cat>
            <c:numRef>
              <c:f>'S0 EU Serbia'!$AI$41:$AI$51</c:f>
              <c:numCache>
                <c:formatCode>General</c:formatCode>
                <c:ptCount val="9"/>
                <c:pt idx="0">
                  <c:v>2015</c:v>
                </c:pt>
                <c:pt idx="1">
                  <c:v>2016</c:v>
                </c:pt>
                <c:pt idx="2">
                  <c:v>2017</c:v>
                </c:pt>
                <c:pt idx="3">
                  <c:v>2018</c:v>
                </c:pt>
                <c:pt idx="4">
                  <c:v>2019</c:v>
                </c:pt>
                <c:pt idx="5">
                  <c:v>2020</c:v>
                </c:pt>
                <c:pt idx="6">
                  <c:v>2021</c:v>
                </c:pt>
                <c:pt idx="7">
                  <c:v>2022</c:v>
                </c:pt>
                <c:pt idx="8">
                  <c:v>2023</c:v>
                </c:pt>
              </c:numCache>
              <c:extLst/>
            </c:numRef>
          </c:cat>
          <c:val>
            <c:numRef>
              <c:f>'S0 EU Serbia'!$AJ$41:$AJ$51</c:f>
              <c:numCache>
                <c:formatCode>0.00</c:formatCode>
                <c:ptCount val="9"/>
                <c:pt idx="0">
                  <c:v>0.40718562874251496</c:v>
                </c:pt>
                <c:pt idx="1">
                  <c:v>0.19161676646706588</c:v>
                </c:pt>
                <c:pt idx="2">
                  <c:v>0</c:v>
                </c:pt>
                <c:pt idx="3">
                  <c:v>0</c:v>
                </c:pt>
                <c:pt idx="4">
                  <c:v>0</c:v>
                </c:pt>
                <c:pt idx="5">
                  <c:v>0.47904191616766456</c:v>
                </c:pt>
                <c:pt idx="6">
                  <c:v>0.21560000000000001</c:v>
                </c:pt>
                <c:pt idx="7">
                  <c:v>0.21556886227544908</c:v>
                </c:pt>
                <c:pt idx="8">
                  <c:v>7.7844311377245498E-2</c:v>
                </c:pt>
              </c:numCache>
              <c:extLst/>
            </c:numRef>
          </c:val>
          <c:extLst>
            <c:ext xmlns:c16="http://schemas.microsoft.com/office/drawing/2014/chart" uri="{C3380CC4-5D6E-409C-BE32-E72D297353CC}">
              <c16:uniqueId val="{00000000-191C-4509-ADB1-BDE20419708C}"/>
            </c:ext>
          </c:extLst>
        </c:ser>
        <c:ser>
          <c:idx val="1"/>
          <c:order val="1"/>
          <c:tx>
            <c:strRef>
              <c:f>'S0 EU Serbia'!$AK$39</c:f>
              <c:strCache>
                <c:ptCount val="1"/>
                <c:pt idx="0">
                  <c:v>Подиндекс макро-финансијске конкурентности</c:v>
                </c:pt>
              </c:strCache>
            </c:strRef>
          </c:tx>
          <c:spPr>
            <a:solidFill>
              <a:srgbClr val="5297AC"/>
            </a:solidFill>
            <a:ln w="9525">
              <a:noFill/>
            </a:ln>
            <a:effectLst/>
          </c:spPr>
          <c:invertIfNegative val="0"/>
          <c:cat>
            <c:numRef>
              <c:f>'S0 EU Serbia'!$AI$41:$AI$51</c:f>
              <c:numCache>
                <c:formatCode>General</c:formatCode>
                <c:ptCount val="9"/>
                <c:pt idx="0">
                  <c:v>2015</c:v>
                </c:pt>
                <c:pt idx="1">
                  <c:v>2016</c:v>
                </c:pt>
                <c:pt idx="2">
                  <c:v>2017</c:v>
                </c:pt>
                <c:pt idx="3">
                  <c:v>2018</c:v>
                </c:pt>
                <c:pt idx="4">
                  <c:v>2019</c:v>
                </c:pt>
                <c:pt idx="5">
                  <c:v>2020</c:v>
                </c:pt>
                <c:pt idx="6">
                  <c:v>2021</c:v>
                </c:pt>
                <c:pt idx="7">
                  <c:v>2022</c:v>
                </c:pt>
                <c:pt idx="8">
                  <c:v>2023</c:v>
                </c:pt>
              </c:numCache>
              <c:extLst/>
            </c:numRef>
          </c:cat>
          <c:val>
            <c:numRef>
              <c:f>'S0 EU Serbia'!$AK$41:$AK$51</c:f>
              <c:numCache>
                <c:formatCode>0.00</c:formatCode>
                <c:ptCount val="9"/>
                <c:pt idx="0">
                  <c:v>0.27243589743589747</c:v>
                </c:pt>
                <c:pt idx="1">
                  <c:v>0.27243589743589747</c:v>
                </c:pt>
                <c:pt idx="2">
                  <c:v>0.27243589743589747</c:v>
                </c:pt>
                <c:pt idx="3">
                  <c:v>0.27243589743589747</c:v>
                </c:pt>
                <c:pt idx="4">
                  <c:v>0.27243589743589747</c:v>
                </c:pt>
                <c:pt idx="5">
                  <c:v>0.42307692307692302</c:v>
                </c:pt>
                <c:pt idx="6">
                  <c:v>0.27239999999999998</c:v>
                </c:pt>
                <c:pt idx="7">
                  <c:v>0.27243589743589747</c:v>
                </c:pt>
                <c:pt idx="8">
                  <c:v>0.27243589743589747</c:v>
                </c:pt>
              </c:numCache>
              <c:extLst/>
            </c:numRef>
          </c:val>
          <c:extLst>
            <c:ext xmlns:c16="http://schemas.microsoft.com/office/drawing/2014/chart" uri="{C3380CC4-5D6E-409C-BE32-E72D297353CC}">
              <c16:uniqueId val="{00000001-191C-4509-ADB1-BDE20419708C}"/>
            </c:ext>
          </c:extLst>
        </c:ser>
        <c:dLbls>
          <c:showLegendKey val="0"/>
          <c:showVal val="0"/>
          <c:showCatName val="0"/>
          <c:showSerName val="0"/>
          <c:showPercent val="0"/>
          <c:showBubbleSize val="0"/>
        </c:dLbls>
        <c:gapWidth val="150"/>
        <c:axId val="-486944112"/>
        <c:axId val="-486944656"/>
      </c:barChart>
      <c:lineChart>
        <c:grouping val="standard"/>
        <c:varyColors val="0"/>
        <c:ser>
          <c:idx val="2"/>
          <c:order val="2"/>
          <c:tx>
            <c:strRef>
              <c:f>'S0 EU Serbia'!$AL$39</c:f>
              <c:strCache>
                <c:ptCount val="1"/>
                <c:pt idx="0">
                  <c:v>S0 индикатор</c:v>
                </c:pt>
              </c:strCache>
            </c:strRef>
          </c:tx>
          <c:spPr>
            <a:ln w="22225" cap="rnd">
              <a:noFill/>
              <a:prstDash val="solid"/>
              <a:round/>
            </a:ln>
            <a:effectLst/>
          </c:spPr>
          <c:marker>
            <c:symbol val="triangle"/>
            <c:size val="16"/>
            <c:spPr>
              <a:solidFill>
                <a:schemeClr val="tx1"/>
              </a:solidFill>
              <a:ln w="9525">
                <a:noFill/>
              </a:ln>
              <a:effectLst/>
            </c:spPr>
          </c:marker>
          <c:dPt>
            <c:idx val="0"/>
            <c:marker>
              <c:symbol val="triangle"/>
              <c:size val="16"/>
              <c:spPr>
                <a:solidFill>
                  <a:schemeClr val="tx1"/>
                </a:solidFill>
                <a:ln w="9525">
                  <a:noFill/>
                </a:ln>
                <a:effectLst/>
              </c:spPr>
            </c:marker>
            <c:bubble3D val="0"/>
            <c:spPr>
              <a:ln w="12700" cap="rnd">
                <a:noFill/>
                <a:prstDash val="solid"/>
                <a:round/>
              </a:ln>
              <a:effectLst/>
            </c:spPr>
            <c:extLst>
              <c:ext xmlns:c16="http://schemas.microsoft.com/office/drawing/2014/chart" uri="{C3380CC4-5D6E-409C-BE32-E72D297353CC}">
                <c16:uniqueId val="{00000003-191C-4509-ADB1-BDE20419708C}"/>
              </c:ext>
            </c:extLst>
          </c:dPt>
          <c:dPt>
            <c:idx val="1"/>
            <c:marker>
              <c:symbol val="triangle"/>
              <c:size val="16"/>
              <c:spPr>
                <a:solidFill>
                  <a:schemeClr val="tx1"/>
                </a:solidFill>
                <a:ln w="9525">
                  <a:noFill/>
                </a:ln>
                <a:effectLst/>
              </c:spPr>
            </c:marker>
            <c:bubble3D val="0"/>
            <c:spPr>
              <a:ln w="12700" cap="rnd">
                <a:noFill/>
                <a:prstDash val="solid"/>
                <a:round/>
              </a:ln>
              <a:effectLst/>
            </c:spPr>
            <c:extLst>
              <c:ext xmlns:c16="http://schemas.microsoft.com/office/drawing/2014/chart" uri="{C3380CC4-5D6E-409C-BE32-E72D297353CC}">
                <c16:uniqueId val="{00000005-191C-4509-ADB1-BDE20419708C}"/>
              </c:ext>
            </c:extLst>
          </c:dPt>
          <c:cat>
            <c:numRef>
              <c:f>'S0 EU Serbia'!$AI$41:$AI$51</c:f>
              <c:numCache>
                <c:formatCode>General</c:formatCode>
                <c:ptCount val="9"/>
                <c:pt idx="0">
                  <c:v>2015</c:v>
                </c:pt>
                <c:pt idx="1">
                  <c:v>2016</c:v>
                </c:pt>
                <c:pt idx="2">
                  <c:v>2017</c:v>
                </c:pt>
                <c:pt idx="3">
                  <c:v>2018</c:v>
                </c:pt>
                <c:pt idx="4">
                  <c:v>2019</c:v>
                </c:pt>
                <c:pt idx="5">
                  <c:v>2020</c:v>
                </c:pt>
                <c:pt idx="6">
                  <c:v>2021</c:v>
                </c:pt>
                <c:pt idx="7">
                  <c:v>2022</c:v>
                </c:pt>
                <c:pt idx="8">
                  <c:v>2023</c:v>
                </c:pt>
              </c:numCache>
              <c:extLst/>
            </c:numRef>
          </c:cat>
          <c:val>
            <c:numRef>
              <c:f>'S0 EU Serbia'!$AL$41:$AL$51</c:f>
              <c:numCache>
                <c:formatCode>0.00</c:formatCode>
                <c:ptCount val="9"/>
                <c:pt idx="0">
                  <c:v>0.31941544885177453</c:v>
                </c:pt>
                <c:pt idx="1">
                  <c:v>0.24425887265135704</c:v>
                </c:pt>
                <c:pt idx="2">
                  <c:v>0.17745302713987476</c:v>
                </c:pt>
                <c:pt idx="3">
                  <c:v>0.17745302713987476</c:v>
                </c:pt>
                <c:pt idx="4">
                  <c:v>0.17745302713987476</c:v>
                </c:pt>
                <c:pt idx="5">
                  <c:v>0.4425887265135699</c:v>
                </c:pt>
                <c:pt idx="6">
                  <c:v>0.25259999999999999</c:v>
                </c:pt>
                <c:pt idx="7">
                  <c:v>0.25260960334029231</c:v>
                </c:pt>
                <c:pt idx="8">
                  <c:v>0.20459290187891443</c:v>
                </c:pt>
              </c:numCache>
              <c:extLst/>
            </c:numRef>
          </c:val>
          <c:smooth val="0"/>
          <c:extLst>
            <c:ext xmlns:c16="http://schemas.microsoft.com/office/drawing/2014/chart" uri="{C3380CC4-5D6E-409C-BE32-E72D297353CC}">
              <c16:uniqueId val="{00000006-191C-4509-ADB1-BDE20419708C}"/>
            </c:ext>
          </c:extLst>
        </c:ser>
        <c:ser>
          <c:idx val="3"/>
          <c:order val="3"/>
          <c:tx>
            <c:strRef>
              <c:f>'S0 EU Serbia'!$AM$39</c:f>
              <c:strCache>
                <c:ptCount val="1"/>
                <c:pt idx="0">
                  <c:v>Праг фискалног подиндекса</c:v>
                </c:pt>
              </c:strCache>
            </c:strRef>
          </c:tx>
          <c:spPr>
            <a:ln w="22225" cap="rnd">
              <a:solidFill>
                <a:srgbClr val="7030A0"/>
              </a:solidFill>
              <a:prstDash val="dash"/>
              <a:round/>
            </a:ln>
            <a:effectLst/>
          </c:spPr>
          <c:marker>
            <c:symbol val="none"/>
          </c:marker>
          <c:cat>
            <c:numRef>
              <c:f>'S0 EU Serbia'!$AI$41:$AI$51</c:f>
              <c:numCache>
                <c:formatCode>General</c:formatCode>
                <c:ptCount val="9"/>
                <c:pt idx="0">
                  <c:v>2015</c:v>
                </c:pt>
                <c:pt idx="1">
                  <c:v>2016</c:v>
                </c:pt>
                <c:pt idx="2">
                  <c:v>2017</c:v>
                </c:pt>
                <c:pt idx="3">
                  <c:v>2018</c:v>
                </c:pt>
                <c:pt idx="4">
                  <c:v>2019</c:v>
                </c:pt>
                <c:pt idx="5">
                  <c:v>2020</c:v>
                </c:pt>
                <c:pt idx="6">
                  <c:v>2021</c:v>
                </c:pt>
                <c:pt idx="7">
                  <c:v>2022</c:v>
                </c:pt>
                <c:pt idx="8">
                  <c:v>2023</c:v>
                </c:pt>
              </c:numCache>
              <c:extLst/>
            </c:numRef>
          </c:cat>
          <c:val>
            <c:numRef>
              <c:f>'S0 EU Serbia'!$AM$41:$AM$51</c:f>
              <c:numCache>
                <c:formatCode>General</c:formatCode>
                <c:ptCount val="9"/>
                <c:pt idx="0">
                  <c:v>0.36</c:v>
                </c:pt>
                <c:pt idx="1">
                  <c:v>0.36</c:v>
                </c:pt>
                <c:pt idx="2">
                  <c:v>0.36</c:v>
                </c:pt>
                <c:pt idx="3">
                  <c:v>0.36</c:v>
                </c:pt>
                <c:pt idx="4">
                  <c:v>0.36</c:v>
                </c:pt>
                <c:pt idx="5">
                  <c:v>0.36</c:v>
                </c:pt>
                <c:pt idx="6">
                  <c:v>0.36</c:v>
                </c:pt>
                <c:pt idx="7">
                  <c:v>0.36</c:v>
                </c:pt>
                <c:pt idx="8">
                  <c:v>0.36</c:v>
                </c:pt>
              </c:numCache>
              <c:extLst/>
            </c:numRef>
          </c:val>
          <c:smooth val="0"/>
          <c:extLst>
            <c:ext xmlns:c16="http://schemas.microsoft.com/office/drawing/2014/chart" uri="{C3380CC4-5D6E-409C-BE32-E72D297353CC}">
              <c16:uniqueId val="{00000007-191C-4509-ADB1-BDE20419708C}"/>
            </c:ext>
          </c:extLst>
        </c:ser>
        <c:ser>
          <c:idx val="4"/>
          <c:order val="4"/>
          <c:tx>
            <c:strRef>
              <c:f>'S0 EU Serbia'!$AN$39</c:f>
              <c:strCache>
                <c:ptCount val="1"/>
                <c:pt idx="0">
                  <c:v>Праг финансијског подиндекса</c:v>
                </c:pt>
              </c:strCache>
            </c:strRef>
          </c:tx>
          <c:spPr>
            <a:ln w="22225" cap="rnd">
              <a:solidFill>
                <a:srgbClr val="5297AC"/>
              </a:solidFill>
              <a:prstDash val="dash"/>
              <a:round/>
            </a:ln>
            <a:effectLst/>
          </c:spPr>
          <c:marker>
            <c:symbol val="none"/>
          </c:marker>
          <c:cat>
            <c:numRef>
              <c:f>'S0 EU Serbia'!$AI$41:$AI$51</c:f>
              <c:numCache>
                <c:formatCode>General</c:formatCode>
                <c:ptCount val="9"/>
                <c:pt idx="0">
                  <c:v>2015</c:v>
                </c:pt>
                <c:pt idx="1">
                  <c:v>2016</c:v>
                </c:pt>
                <c:pt idx="2">
                  <c:v>2017</c:v>
                </c:pt>
                <c:pt idx="3">
                  <c:v>2018</c:v>
                </c:pt>
                <c:pt idx="4">
                  <c:v>2019</c:v>
                </c:pt>
                <c:pt idx="5">
                  <c:v>2020</c:v>
                </c:pt>
                <c:pt idx="6">
                  <c:v>2021</c:v>
                </c:pt>
                <c:pt idx="7">
                  <c:v>2022</c:v>
                </c:pt>
                <c:pt idx="8">
                  <c:v>2023</c:v>
                </c:pt>
              </c:numCache>
              <c:extLst/>
            </c:numRef>
          </c:cat>
          <c:val>
            <c:numRef>
              <c:f>'S0 EU Serbia'!$AN$41:$AN$51</c:f>
              <c:numCache>
                <c:formatCode>General</c:formatCode>
                <c:ptCount val="9"/>
                <c:pt idx="0">
                  <c:v>0.49</c:v>
                </c:pt>
                <c:pt idx="1">
                  <c:v>0.49</c:v>
                </c:pt>
                <c:pt idx="2">
                  <c:v>0.49</c:v>
                </c:pt>
                <c:pt idx="3">
                  <c:v>0.49</c:v>
                </c:pt>
                <c:pt idx="4">
                  <c:v>0.49</c:v>
                </c:pt>
                <c:pt idx="5">
                  <c:v>0.49</c:v>
                </c:pt>
                <c:pt idx="6">
                  <c:v>0.49</c:v>
                </c:pt>
                <c:pt idx="7">
                  <c:v>0.49</c:v>
                </c:pt>
                <c:pt idx="8">
                  <c:v>0.49</c:v>
                </c:pt>
              </c:numCache>
              <c:extLst/>
            </c:numRef>
          </c:val>
          <c:smooth val="0"/>
          <c:extLst>
            <c:ext xmlns:c16="http://schemas.microsoft.com/office/drawing/2014/chart" uri="{C3380CC4-5D6E-409C-BE32-E72D297353CC}">
              <c16:uniqueId val="{00000008-191C-4509-ADB1-BDE20419708C}"/>
            </c:ext>
          </c:extLst>
        </c:ser>
        <c:ser>
          <c:idx val="5"/>
          <c:order val="5"/>
          <c:tx>
            <c:strRef>
              <c:f>'S0 EU Serbia'!$AO$39</c:f>
              <c:strCache>
                <c:ptCount val="1"/>
                <c:pt idx="0">
                  <c:v>S0 праг</c:v>
                </c:pt>
              </c:strCache>
            </c:strRef>
          </c:tx>
          <c:spPr>
            <a:ln w="22225" cap="rnd">
              <a:solidFill>
                <a:schemeClr val="tx1"/>
              </a:solidFill>
              <a:prstDash val="dash"/>
              <a:round/>
            </a:ln>
            <a:effectLst/>
          </c:spPr>
          <c:marker>
            <c:symbol val="none"/>
          </c:marker>
          <c:cat>
            <c:numRef>
              <c:f>'S0 EU Serbia'!$AI$41:$AI$51</c:f>
              <c:numCache>
                <c:formatCode>General</c:formatCode>
                <c:ptCount val="9"/>
                <c:pt idx="0">
                  <c:v>2015</c:v>
                </c:pt>
                <c:pt idx="1">
                  <c:v>2016</c:v>
                </c:pt>
                <c:pt idx="2">
                  <c:v>2017</c:v>
                </c:pt>
                <c:pt idx="3">
                  <c:v>2018</c:v>
                </c:pt>
                <c:pt idx="4">
                  <c:v>2019</c:v>
                </c:pt>
                <c:pt idx="5">
                  <c:v>2020</c:v>
                </c:pt>
                <c:pt idx="6">
                  <c:v>2021</c:v>
                </c:pt>
                <c:pt idx="7">
                  <c:v>2022</c:v>
                </c:pt>
                <c:pt idx="8">
                  <c:v>2023</c:v>
                </c:pt>
              </c:numCache>
              <c:extLst/>
            </c:numRef>
          </c:cat>
          <c:val>
            <c:numRef>
              <c:f>'S0 EU Serbia'!$AO$41:$AO$51</c:f>
              <c:numCache>
                <c:formatCode>General</c:formatCode>
                <c:ptCount val="9"/>
                <c:pt idx="0">
                  <c:v>0.46</c:v>
                </c:pt>
                <c:pt idx="1">
                  <c:v>0.46</c:v>
                </c:pt>
                <c:pt idx="2">
                  <c:v>0.46</c:v>
                </c:pt>
                <c:pt idx="3">
                  <c:v>0.46</c:v>
                </c:pt>
                <c:pt idx="4">
                  <c:v>0.46</c:v>
                </c:pt>
                <c:pt idx="5">
                  <c:v>0.46</c:v>
                </c:pt>
                <c:pt idx="6">
                  <c:v>0.46</c:v>
                </c:pt>
                <c:pt idx="7">
                  <c:v>0.46</c:v>
                </c:pt>
                <c:pt idx="8">
                  <c:v>0.46</c:v>
                </c:pt>
              </c:numCache>
              <c:extLst/>
            </c:numRef>
          </c:val>
          <c:smooth val="0"/>
          <c:extLst>
            <c:ext xmlns:c16="http://schemas.microsoft.com/office/drawing/2014/chart" uri="{C3380CC4-5D6E-409C-BE32-E72D297353CC}">
              <c16:uniqueId val="{00000009-191C-4509-ADB1-BDE20419708C}"/>
            </c:ext>
          </c:extLst>
        </c:ser>
        <c:dLbls>
          <c:showLegendKey val="0"/>
          <c:showVal val="0"/>
          <c:showCatName val="0"/>
          <c:showSerName val="0"/>
          <c:showPercent val="0"/>
          <c:showBubbleSize val="0"/>
        </c:dLbls>
        <c:marker val="1"/>
        <c:smooth val="0"/>
        <c:axId val="-486944112"/>
        <c:axId val="-486944656"/>
      </c:lineChart>
      <c:catAx>
        <c:axId val="-486944112"/>
        <c:scaling>
          <c:orientation val="minMax"/>
        </c:scaling>
        <c:delete val="0"/>
        <c:axPos val="b"/>
        <c:numFmt formatCode="General" sourceLinked="1"/>
        <c:majorTickMark val="none"/>
        <c:minorTickMark val="none"/>
        <c:tickLblPos val="nextTo"/>
        <c:spPr>
          <a:noFill/>
          <a:ln w="6350" cap="flat" cmpd="sng" algn="ctr">
            <a:solidFill>
              <a:schemeClr val="bg1">
                <a:lumMod val="65000"/>
              </a:schemeClr>
            </a:solidFill>
            <a:round/>
          </a:ln>
          <a:effectLst/>
        </c:spPr>
        <c:txPr>
          <a:bodyPr rot="-60000000" spcFirstLastPara="1" vertOverflow="ellipsis" vert="horz" wrap="square" anchor="ctr" anchorCtr="1"/>
          <a:lstStyle/>
          <a:p>
            <a:pPr>
              <a:defRPr sz="1000" b="0" i="0" u="none" strike="noStrike" kern="1200" baseline="0">
                <a:solidFill>
                  <a:srgbClr val="44546A"/>
                </a:solidFill>
                <a:latin typeface="Times New Roman" panose="02020603050405020304" pitchFamily="18" charset="0"/>
                <a:ea typeface="+mn-ea"/>
                <a:cs typeface="+mn-cs"/>
              </a:defRPr>
            </a:pPr>
            <a:endParaRPr lang="en-US"/>
          </a:p>
        </c:txPr>
        <c:crossAx val="-486944656"/>
        <c:crosses val="autoZero"/>
        <c:auto val="1"/>
        <c:lblAlgn val="ctr"/>
        <c:lblOffset val="100"/>
        <c:noMultiLvlLbl val="0"/>
      </c:catAx>
      <c:valAx>
        <c:axId val="-486944656"/>
        <c:scaling>
          <c:orientation val="minMax"/>
          <c:max val="0.70000000000000007"/>
        </c:scaling>
        <c:delete val="0"/>
        <c:axPos val="l"/>
        <c:numFmt formatCode="#,##0.0" sourceLinked="0"/>
        <c:majorTickMark val="out"/>
        <c:minorTickMark val="none"/>
        <c:tickLblPos val="nextTo"/>
        <c:spPr>
          <a:noFill/>
          <a:ln w="6350">
            <a:noFill/>
          </a:ln>
          <a:effectLst/>
        </c:spPr>
        <c:txPr>
          <a:bodyPr rot="-60000000" spcFirstLastPara="1" vertOverflow="ellipsis" vert="horz" wrap="square" anchor="ctr" anchorCtr="1"/>
          <a:lstStyle/>
          <a:p>
            <a:pPr>
              <a:defRPr sz="1000" b="0" i="0" u="none" strike="noStrike" kern="1200" baseline="0">
                <a:solidFill>
                  <a:srgbClr val="44546A"/>
                </a:solidFill>
                <a:latin typeface="Times New Roman" panose="02020603050405020304" pitchFamily="18" charset="0"/>
                <a:ea typeface="+mn-ea"/>
                <a:cs typeface="+mn-cs"/>
              </a:defRPr>
            </a:pPr>
            <a:endParaRPr lang="en-US"/>
          </a:p>
        </c:txPr>
        <c:crossAx val="-486944112"/>
        <c:crossesAt val="1"/>
        <c:crossBetween val="between"/>
      </c:valAx>
      <c:spPr>
        <a:noFill/>
        <a:ln>
          <a:noFill/>
        </a:ln>
        <a:effectLst/>
      </c:spPr>
    </c:plotArea>
    <c:legend>
      <c:legendPos val="b"/>
      <c:legendEntry>
        <c:idx val="3"/>
        <c:txPr>
          <a:bodyPr rot="0" spcFirstLastPara="1" vertOverflow="ellipsis" vert="horz" wrap="square" anchor="ctr" anchorCtr="1"/>
          <a:lstStyle/>
          <a:p>
            <a:pPr>
              <a:defRPr sz="900" b="0" i="0" u="none" strike="noStrike" kern="1200" baseline="0">
                <a:solidFill>
                  <a:srgbClr val="44546A"/>
                </a:solidFill>
                <a:latin typeface="Times New Roman" panose="02020603050405020304" pitchFamily="18" charset="0"/>
                <a:ea typeface="+mn-ea"/>
                <a:cs typeface="+mn-cs"/>
              </a:defRPr>
            </a:pPr>
            <a:endParaRPr lang="en-US"/>
          </a:p>
        </c:txPr>
      </c:legendEntry>
      <c:layout>
        <c:manualLayout>
          <c:xMode val="edge"/>
          <c:yMode val="edge"/>
          <c:x val="2.930789712720251E-4"/>
          <c:y val="0.58446067735508966"/>
          <c:w val="0.99970692102872794"/>
          <c:h val="0.29509702853408382"/>
        </c:manualLayout>
      </c:layout>
      <c:overlay val="0"/>
      <c:spPr>
        <a:noFill/>
        <a:ln>
          <a:noFill/>
        </a:ln>
        <a:effectLst/>
      </c:spPr>
      <c:txPr>
        <a:bodyPr rot="0" spcFirstLastPara="1" vertOverflow="ellipsis" vert="horz" wrap="square" anchor="ctr" anchorCtr="1"/>
        <a:lstStyle/>
        <a:p>
          <a:pPr>
            <a:defRPr sz="900" b="0" i="0" u="none" strike="noStrike" kern="1200" baseline="0">
              <a:solidFill>
                <a:srgbClr val="44546A"/>
              </a:solidFill>
              <a:latin typeface="Times New Roman" panose="02020603050405020304" pitchFamily="18" charset="0"/>
              <a:ea typeface="+mn-ea"/>
              <a:cs typeface="+mn-cs"/>
            </a:defRPr>
          </a:pPr>
          <a:endParaRPr lang="en-US"/>
        </a:p>
      </c:txPr>
    </c:legend>
    <c:plotVisOnly val="1"/>
    <c:dispBlanksAs val="gap"/>
    <c:showDLblsOverMax val="0"/>
  </c:chart>
  <c:spPr>
    <a:noFill/>
    <a:ln w="9525" cap="flat" cmpd="sng" algn="ctr">
      <a:noFill/>
      <a:round/>
    </a:ln>
    <a:effectLst/>
  </c:spPr>
  <c:txPr>
    <a:bodyPr/>
    <a:lstStyle/>
    <a:p>
      <a:pPr>
        <a:defRPr sz="900">
          <a:latin typeface="+mn-lt"/>
        </a:defRPr>
      </a:pPr>
      <a:endParaRPr lang="en-US"/>
    </a:p>
  </c:txPr>
  <c:externalData r:id="rId4">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7.0140553174856415E-2"/>
          <c:y val="0.13775301764159703"/>
          <c:w val="0.89795062064282105"/>
          <c:h val="0.58412091938043875"/>
        </c:manualLayout>
      </c:layout>
      <c:barChart>
        <c:barDir val="col"/>
        <c:grouping val="clustered"/>
        <c:varyColors val="0"/>
        <c:ser>
          <c:idx val="3"/>
          <c:order val="1"/>
          <c:tx>
            <c:strRef>
              <c:f>'S0 EU Serbia'!$F$2</c:f>
              <c:strCache>
                <c:ptCount val="1"/>
                <c:pt idx="0">
                  <c:v>S0
2014</c:v>
                </c:pt>
              </c:strCache>
            </c:strRef>
          </c:tx>
          <c:spPr>
            <a:solidFill>
              <a:schemeClr val="tx1"/>
            </a:solidFill>
            <a:ln w="6350">
              <a:solidFill>
                <a:schemeClr val="tx1"/>
              </a:solidFill>
            </a:ln>
            <a:effectLst/>
          </c:spPr>
          <c:invertIfNegative val="0"/>
          <c:cat>
            <c:strRef>
              <c:f>'S0 EU Serbia'!$A$3:$A$31</c:f>
              <c:strCache>
                <c:ptCount val="28"/>
                <c:pt idx="0">
                  <c:v>Аустрија</c:v>
                </c:pt>
                <c:pt idx="1">
                  <c:v>Белгија</c:v>
                </c:pt>
                <c:pt idx="2">
                  <c:v>Бугарска</c:v>
                </c:pt>
                <c:pt idx="3">
                  <c:v>Чешка</c:v>
                </c:pt>
                <c:pt idx="4">
                  <c:v>Хрватска</c:v>
                </c:pt>
                <c:pt idx="5">
                  <c:v>Кипар</c:v>
                </c:pt>
                <c:pt idx="6">
                  <c:v>Данска</c:v>
                </c:pt>
                <c:pt idx="7">
                  <c:v>Естонија</c:v>
                </c:pt>
                <c:pt idx="8">
                  <c:v>Финска</c:v>
                </c:pt>
                <c:pt idx="9">
                  <c:v>Француска</c:v>
                </c:pt>
                <c:pt idx="10">
                  <c:v>Немачка</c:v>
                </c:pt>
                <c:pt idx="11">
                  <c:v>Мађарска</c:v>
                </c:pt>
                <c:pt idx="12">
                  <c:v>Ирска</c:v>
                </c:pt>
                <c:pt idx="13">
                  <c:v>Италија</c:v>
                </c:pt>
                <c:pt idx="14">
                  <c:v>Летонија</c:v>
                </c:pt>
                <c:pt idx="15">
                  <c:v>Литванија</c:v>
                </c:pt>
                <c:pt idx="16">
                  <c:v>Луксембург</c:v>
                </c:pt>
                <c:pt idx="17">
                  <c:v>Малта</c:v>
                </c:pt>
                <c:pt idx="18">
                  <c:v>Холандија</c:v>
                </c:pt>
                <c:pt idx="19">
                  <c:v>Пољска</c:v>
                </c:pt>
                <c:pt idx="20">
                  <c:v>Португал</c:v>
                </c:pt>
                <c:pt idx="21">
                  <c:v>Румунија</c:v>
                </c:pt>
                <c:pt idx="22">
                  <c:v>Србија</c:v>
                </c:pt>
                <c:pt idx="23">
                  <c:v>Словачка</c:v>
                </c:pt>
                <c:pt idx="24">
                  <c:v>Словенија</c:v>
                </c:pt>
                <c:pt idx="25">
                  <c:v>Шпанија</c:v>
                </c:pt>
                <c:pt idx="26">
                  <c:v>Шведска</c:v>
                </c:pt>
                <c:pt idx="27">
                  <c:v>Уједињено Краљевство</c:v>
                </c:pt>
              </c:strCache>
            </c:strRef>
          </c:cat>
          <c:val>
            <c:numRef>
              <c:f>'S0 EU Serbia'!$F$3:$F$31</c:f>
            </c:numRef>
          </c:val>
          <c:extLst>
            <c:ext xmlns:c16="http://schemas.microsoft.com/office/drawing/2014/chart" uri="{C3380CC4-5D6E-409C-BE32-E72D297353CC}">
              <c16:uniqueId val="{00000000-232A-496F-90CA-3767D32FB8BC}"/>
            </c:ext>
          </c:extLst>
        </c:ser>
        <c:dLbls>
          <c:showLegendKey val="0"/>
          <c:showVal val="0"/>
          <c:showCatName val="0"/>
          <c:showSerName val="0"/>
          <c:showPercent val="0"/>
          <c:showBubbleSize val="0"/>
        </c:dLbls>
        <c:gapWidth val="150"/>
        <c:axId val="-486950096"/>
        <c:axId val="-486949552"/>
      </c:barChart>
      <c:barChart>
        <c:barDir val="col"/>
        <c:grouping val="clustered"/>
        <c:varyColors val="0"/>
        <c:ser>
          <c:idx val="5"/>
          <c:order val="7"/>
          <c:tx>
            <c:strRef>
              <c:f>'S0 EU Serbia'!$AD$2</c:f>
              <c:strCache>
                <c:ptCount val="1"/>
                <c:pt idx="0">
                  <c:v>S0 2022</c:v>
                </c:pt>
              </c:strCache>
            </c:strRef>
          </c:tx>
          <c:spPr>
            <a:solidFill>
              <a:srgbClr val="7030A0"/>
            </a:solidFill>
            <a:ln>
              <a:noFill/>
            </a:ln>
            <a:effectLst/>
          </c:spPr>
          <c:invertIfNegative val="0"/>
          <c:val>
            <c:numRef>
              <c:f>'S0 EU Serbia'!$AD$3:$AD$29</c:f>
              <c:numCache>
                <c:formatCode>0.00</c:formatCode>
                <c:ptCount val="27"/>
                <c:pt idx="0">
                  <c:v>0.2</c:v>
                </c:pt>
                <c:pt idx="1">
                  <c:v>0.3</c:v>
                </c:pt>
                <c:pt idx="2">
                  <c:v>0.3</c:v>
                </c:pt>
                <c:pt idx="3">
                  <c:v>0.2</c:v>
                </c:pt>
                <c:pt idx="4">
                  <c:v>0.3</c:v>
                </c:pt>
                <c:pt idx="5">
                  <c:v>0.3</c:v>
                </c:pt>
                <c:pt idx="6">
                  <c:v>0.2</c:v>
                </c:pt>
                <c:pt idx="7">
                  <c:v>0.1</c:v>
                </c:pt>
                <c:pt idx="8">
                  <c:v>0.2</c:v>
                </c:pt>
                <c:pt idx="9">
                  <c:v>0.3</c:v>
                </c:pt>
                <c:pt idx="10">
                  <c:v>0.2</c:v>
                </c:pt>
                <c:pt idx="11">
                  <c:v>0.4</c:v>
                </c:pt>
                <c:pt idx="12">
                  <c:v>0.2</c:v>
                </c:pt>
                <c:pt idx="13">
                  <c:v>0.3</c:v>
                </c:pt>
                <c:pt idx="14">
                  <c:v>0.2</c:v>
                </c:pt>
                <c:pt idx="15">
                  <c:v>0.3</c:v>
                </c:pt>
                <c:pt idx="16">
                  <c:v>0.2</c:v>
                </c:pt>
                <c:pt idx="17">
                  <c:v>0.2</c:v>
                </c:pt>
                <c:pt idx="18">
                  <c:v>0.2</c:v>
                </c:pt>
                <c:pt idx="19">
                  <c:v>0.3</c:v>
                </c:pt>
                <c:pt idx="20">
                  <c:v>0.4</c:v>
                </c:pt>
                <c:pt idx="21">
                  <c:v>0.3</c:v>
                </c:pt>
                <c:pt idx="22">
                  <c:v>0.25260960334029231</c:v>
                </c:pt>
                <c:pt idx="23">
                  <c:v>0.3</c:v>
                </c:pt>
                <c:pt idx="24">
                  <c:v>0.2</c:v>
                </c:pt>
                <c:pt idx="25">
                  <c:v>0.3</c:v>
                </c:pt>
                <c:pt idx="26">
                  <c:v>0.2</c:v>
                </c:pt>
              </c:numCache>
            </c:numRef>
          </c:val>
          <c:extLst>
            <c:ext xmlns:c16="http://schemas.microsoft.com/office/drawing/2014/chart" uri="{C3380CC4-5D6E-409C-BE32-E72D297353CC}">
              <c16:uniqueId val="{00000001-232A-496F-90CA-3767D32FB8BC}"/>
            </c:ext>
          </c:extLst>
        </c:ser>
        <c:ser>
          <c:idx val="7"/>
          <c:order val="8"/>
          <c:tx>
            <c:strRef>
              <c:f>'S0 EU Serbia'!$AG$2</c:f>
              <c:strCache>
                <c:ptCount val="1"/>
                <c:pt idx="0">
                  <c:v>S0 2023</c:v>
                </c:pt>
              </c:strCache>
            </c:strRef>
          </c:tx>
          <c:spPr>
            <a:solidFill>
              <a:srgbClr val="00B0F0"/>
            </a:solidFill>
            <a:ln>
              <a:noFill/>
            </a:ln>
            <a:effectLst/>
          </c:spPr>
          <c:invertIfNegative val="0"/>
          <c:val>
            <c:numRef>
              <c:f>'S0 EU Serbia'!$AG$3:$AG$29</c:f>
              <c:numCache>
                <c:formatCode>0.00</c:formatCode>
                <c:ptCount val="27"/>
                <c:pt idx="0">
                  <c:v>0.09</c:v>
                </c:pt>
                <c:pt idx="1">
                  <c:v>0.27</c:v>
                </c:pt>
                <c:pt idx="2">
                  <c:v>0.21</c:v>
                </c:pt>
                <c:pt idx="3">
                  <c:v>0.24</c:v>
                </c:pt>
                <c:pt idx="4">
                  <c:v>0.21</c:v>
                </c:pt>
                <c:pt idx="5">
                  <c:v>0.32</c:v>
                </c:pt>
                <c:pt idx="6">
                  <c:v>0.27</c:v>
                </c:pt>
                <c:pt idx="7">
                  <c:v>0.3</c:v>
                </c:pt>
                <c:pt idx="8">
                  <c:v>0.2</c:v>
                </c:pt>
                <c:pt idx="9">
                  <c:v>0.38</c:v>
                </c:pt>
                <c:pt idx="10">
                  <c:v>0.16</c:v>
                </c:pt>
                <c:pt idx="11">
                  <c:v>0.46</c:v>
                </c:pt>
                <c:pt idx="12">
                  <c:v>0.13</c:v>
                </c:pt>
                <c:pt idx="13">
                  <c:v>0.35</c:v>
                </c:pt>
                <c:pt idx="14">
                  <c:v>0.31</c:v>
                </c:pt>
                <c:pt idx="15">
                  <c:v>0.27</c:v>
                </c:pt>
                <c:pt idx="16">
                  <c:v>0.19</c:v>
                </c:pt>
                <c:pt idx="17">
                  <c:v>0.17</c:v>
                </c:pt>
                <c:pt idx="18">
                  <c:v>0.12</c:v>
                </c:pt>
                <c:pt idx="19">
                  <c:v>0.39</c:v>
                </c:pt>
                <c:pt idx="20">
                  <c:v>0.32</c:v>
                </c:pt>
                <c:pt idx="21">
                  <c:v>0.31</c:v>
                </c:pt>
                <c:pt idx="22">
                  <c:v>0.20459290187891443</c:v>
                </c:pt>
                <c:pt idx="23">
                  <c:v>0.38</c:v>
                </c:pt>
                <c:pt idx="24">
                  <c:v>0.2</c:v>
                </c:pt>
                <c:pt idx="25">
                  <c:v>0.41</c:v>
                </c:pt>
                <c:pt idx="26">
                  <c:v>0.12</c:v>
                </c:pt>
              </c:numCache>
            </c:numRef>
          </c:val>
          <c:extLst>
            <c:ext xmlns:c16="http://schemas.microsoft.com/office/drawing/2014/chart" uri="{C3380CC4-5D6E-409C-BE32-E72D297353CC}">
              <c16:uniqueId val="{00000002-232A-496F-90CA-3767D32FB8BC}"/>
            </c:ext>
          </c:extLst>
        </c:ser>
        <c:dLbls>
          <c:showLegendKey val="0"/>
          <c:showVal val="0"/>
          <c:showCatName val="0"/>
          <c:showSerName val="0"/>
          <c:showPercent val="0"/>
          <c:showBubbleSize val="0"/>
        </c:dLbls>
        <c:gapWidth val="150"/>
        <c:axId val="-486950096"/>
        <c:axId val="-486949552"/>
        <c:extLst>
          <c:ext xmlns:c15="http://schemas.microsoft.com/office/drawing/2012/chart" uri="{02D57815-91ED-43cb-92C2-25804820EDAC}">
            <c15:filteredBarSeries>
              <c15:ser>
                <c:idx val="6"/>
                <c:order val="2"/>
                <c:tx>
                  <c:strRef>
                    <c:extLst>
                      <c:ext uri="{02D57815-91ED-43cb-92C2-25804820EDAC}">
                        <c15:formulaRef>
                          <c15:sqref>'S0 EU Serbia'!$I$2</c15:sqref>
                        </c15:formulaRef>
                      </c:ext>
                    </c:extLst>
                    <c:strCache>
                      <c:ptCount val="1"/>
                      <c:pt idx="0">
                        <c:v>S0
2015</c:v>
                      </c:pt>
                    </c:strCache>
                  </c:strRef>
                </c:tx>
                <c:spPr>
                  <a:solidFill>
                    <a:schemeClr val="accent2"/>
                  </a:solidFill>
                  <a:ln>
                    <a:noFill/>
                  </a:ln>
                  <a:effectLst/>
                </c:spPr>
                <c:invertIfNegative val="0"/>
                <c:cat>
                  <c:strRef>
                    <c:extLst>
                      <c:ext uri="{02D57815-91ED-43cb-92C2-25804820EDAC}">
                        <c15:formulaRef>
                          <c15:sqref>'S0 EU Serbia'!$A$3:$A$31</c15:sqref>
                        </c15:formulaRef>
                      </c:ext>
                    </c:extLst>
                    <c:strCache>
                      <c:ptCount val="28"/>
                      <c:pt idx="0">
                        <c:v>Аустрија</c:v>
                      </c:pt>
                      <c:pt idx="1">
                        <c:v>Белгија</c:v>
                      </c:pt>
                      <c:pt idx="2">
                        <c:v>Бугарска</c:v>
                      </c:pt>
                      <c:pt idx="3">
                        <c:v>Чешка</c:v>
                      </c:pt>
                      <c:pt idx="4">
                        <c:v>Хрватска</c:v>
                      </c:pt>
                      <c:pt idx="5">
                        <c:v>Кипар</c:v>
                      </c:pt>
                      <c:pt idx="6">
                        <c:v>Данска</c:v>
                      </c:pt>
                      <c:pt idx="7">
                        <c:v>Естонија</c:v>
                      </c:pt>
                      <c:pt idx="8">
                        <c:v>Финска</c:v>
                      </c:pt>
                      <c:pt idx="9">
                        <c:v>Француска</c:v>
                      </c:pt>
                      <c:pt idx="10">
                        <c:v>Немачка</c:v>
                      </c:pt>
                      <c:pt idx="11">
                        <c:v>Мађарска</c:v>
                      </c:pt>
                      <c:pt idx="12">
                        <c:v>Ирска</c:v>
                      </c:pt>
                      <c:pt idx="13">
                        <c:v>Италија</c:v>
                      </c:pt>
                      <c:pt idx="14">
                        <c:v>Летонија</c:v>
                      </c:pt>
                      <c:pt idx="15">
                        <c:v>Литванија</c:v>
                      </c:pt>
                      <c:pt idx="16">
                        <c:v>Луксембург</c:v>
                      </c:pt>
                      <c:pt idx="17">
                        <c:v>Малта</c:v>
                      </c:pt>
                      <c:pt idx="18">
                        <c:v>Холандија</c:v>
                      </c:pt>
                      <c:pt idx="19">
                        <c:v>Пољска</c:v>
                      </c:pt>
                      <c:pt idx="20">
                        <c:v>Португал</c:v>
                      </c:pt>
                      <c:pt idx="21">
                        <c:v>Румунија</c:v>
                      </c:pt>
                      <c:pt idx="22">
                        <c:v>Србија</c:v>
                      </c:pt>
                      <c:pt idx="23">
                        <c:v>Словачка</c:v>
                      </c:pt>
                      <c:pt idx="24">
                        <c:v>Словенија</c:v>
                      </c:pt>
                      <c:pt idx="25">
                        <c:v>Шпанија</c:v>
                      </c:pt>
                      <c:pt idx="26">
                        <c:v>Шведска</c:v>
                      </c:pt>
                      <c:pt idx="27">
                        <c:v>Уједињено Краљевство</c:v>
                      </c:pt>
                    </c:strCache>
                  </c:strRef>
                </c:cat>
                <c:val>
                  <c:numRef>
                    <c:extLst>
                      <c:ext uri="{02D57815-91ED-43cb-92C2-25804820EDAC}">
                        <c15:formulaRef>
                          <c15:sqref>'S0 EU Serbia'!$I$3:$I$31</c15:sqref>
                        </c15:formulaRef>
                      </c:ext>
                    </c:extLst>
                    <c:numCache>
                      <c:formatCode>0.00</c:formatCode>
                      <c:ptCount val="29"/>
                      <c:pt idx="0">
                        <c:v>7.0000000000000007E-2</c:v>
                      </c:pt>
                      <c:pt idx="1">
                        <c:v>0.1</c:v>
                      </c:pt>
                      <c:pt idx="2">
                        <c:v>0.21</c:v>
                      </c:pt>
                      <c:pt idx="3">
                        <c:v>0.11</c:v>
                      </c:pt>
                      <c:pt idx="4">
                        <c:v>0.26</c:v>
                      </c:pt>
                      <c:pt idx="6">
                        <c:v>0.25</c:v>
                      </c:pt>
                      <c:pt idx="7">
                        <c:v>0.19</c:v>
                      </c:pt>
                      <c:pt idx="8">
                        <c:v>0.22</c:v>
                      </c:pt>
                      <c:pt idx="9">
                        <c:v>0.17</c:v>
                      </c:pt>
                      <c:pt idx="10">
                        <c:v>0.02</c:v>
                      </c:pt>
                      <c:pt idx="11">
                        <c:v>0.16</c:v>
                      </c:pt>
                      <c:pt idx="12">
                        <c:v>0.38</c:v>
                      </c:pt>
                      <c:pt idx="13">
                        <c:v>0.21</c:v>
                      </c:pt>
                      <c:pt idx="14">
                        <c:v>0.34</c:v>
                      </c:pt>
                      <c:pt idx="15">
                        <c:v>0.18</c:v>
                      </c:pt>
                      <c:pt idx="16">
                        <c:v>0.09</c:v>
                      </c:pt>
                      <c:pt idx="17">
                        <c:v>0.13</c:v>
                      </c:pt>
                      <c:pt idx="18">
                        <c:v>0.19</c:v>
                      </c:pt>
                      <c:pt idx="19">
                        <c:v>0.27</c:v>
                      </c:pt>
                      <c:pt idx="20">
                        <c:v>0.24</c:v>
                      </c:pt>
                      <c:pt idx="21">
                        <c:v>0.14000000000000001</c:v>
                      </c:pt>
                      <c:pt idx="22">
                        <c:v>0.36</c:v>
                      </c:pt>
                      <c:pt idx="23">
                        <c:v>0.21</c:v>
                      </c:pt>
                      <c:pt idx="24">
                        <c:v>0.08</c:v>
                      </c:pt>
                      <c:pt idx="25">
                        <c:v>0.21</c:v>
                      </c:pt>
                      <c:pt idx="26">
                        <c:v>0.15</c:v>
                      </c:pt>
                      <c:pt idx="27">
                        <c:v>0.36</c:v>
                      </c:pt>
                    </c:numCache>
                  </c:numRef>
                </c:val>
                <c:extLst>
                  <c:ext xmlns:c16="http://schemas.microsoft.com/office/drawing/2014/chart" uri="{C3380CC4-5D6E-409C-BE32-E72D297353CC}">
                    <c16:uniqueId val="{00000005-232A-496F-90CA-3767D32FB8BC}"/>
                  </c:ext>
                </c:extLst>
              </c15:ser>
            </c15:filteredBarSeries>
            <c15:filteredBarSeries>
              <c15:ser>
                <c:idx val="9"/>
                <c:order val="3"/>
                <c:tx>
                  <c:strRef>
                    <c:extLst xmlns:c15="http://schemas.microsoft.com/office/drawing/2012/chart">
                      <c:ext xmlns:c15="http://schemas.microsoft.com/office/drawing/2012/chart" uri="{02D57815-91ED-43cb-92C2-25804820EDAC}">
                        <c15:formulaRef>
                          <c15:sqref>'S0 EU Serbia'!$L$2</c15:sqref>
                        </c15:formulaRef>
                      </c:ext>
                    </c:extLst>
                    <c:strCache>
                      <c:ptCount val="1"/>
                      <c:pt idx="0">
                        <c:v>S0
 2016</c:v>
                      </c:pt>
                    </c:strCache>
                  </c:strRef>
                </c:tx>
                <c:spPr>
                  <a:solidFill>
                    <a:srgbClr val="7030A0"/>
                  </a:solidFill>
                  <a:ln>
                    <a:noFill/>
                  </a:ln>
                  <a:effectLst/>
                </c:spPr>
                <c:invertIfNegative val="0"/>
                <c:dPt>
                  <c:idx val="16"/>
                  <c:invertIfNegative val="0"/>
                  <c:bubble3D val="0"/>
                  <c:spPr>
                    <a:solidFill>
                      <a:srgbClr val="7F7F7F"/>
                    </a:solidFill>
                    <a:ln>
                      <a:noFill/>
                    </a:ln>
                    <a:effectLst/>
                  </c:spPr>
                  <c:extLst xmlns:c15="http://schemas.microsoft.com/office/drawing/2012/chart">
                    <c:ext xmlns:c16="http://schemas.microsoft.com/office/drawing/2014/chart" uri="{C3380CC4-5D6E-409C-BE32-E72D297353CC}">
                      <c16:uniqueId val="{00000007-232A-496F-90CA-3767D32FB8BC}"/>
                    </c:ext>
                  </c:extLst>
                </c:dPt>
                <c:cat>
                  <c:strRef>
                    <c:extLst xmlns:c15="http://schemas.microsoft.com/office/drawing/2012/chart">
                      <c:ext xmlns:c15="http://schemas.microsoft.com/office/drawing/2012/chart" uri="{02D57815-91ED-43cb-92C2-25804820EDAC}">
                        <c15:formulaRef>
                          <c15:sqref>'S0 EU Serbia'!$A$3:$A$31</c15:sqref>
                        </c15:formulaRef>
                      </c:ext>
                    </c:extLst>
                    <c:strCache>
                      <c:ptCount val="28"/>
                      <c:pt idx="0">
                        <c:v>Аустрија</c:v>
                      </c:pt>
                      <c:pt idx="1">
                        <c:v>Белгија</c:v>
                      </c:pt>
                      <c:pt idx="2">
                        <c:v>Бугарска</c:v>
                      </c:pt>
                      <c:pt idx="3">
                        <c:v>Чешка</c:v>
                      </c:pt>
                      <c:pt idx="4">
                        <c:v>Хрватска</c:v>
                      </c:pt>
                      <c:pt idx="5">
                        <c:v>Кипар</c:v>
                      </c:pt>
                      <c:pt idx="6">
                        <c:v>Данска</c:v>
                      </c:pt>
                      <c:pt idx="7">
                        <c:v>Естонија</c:v>
                      </c:pt>
                      <c:pt idx="8">
                        <c:v>Финска</c:v>
                      </c:pt>
                      <c:pt idx="9">
                        <c:v>Француска</c:v>
                      </c:pt>
                      <c:pt idx="10">
                        <c:v>Немачка</c:v>
                      </c:pt>
                      <c:pt idx="11">
                        <c:v>Мађарска</c:v>
                      </c:pt>
                      <c:pt idx="12">
                        <c:v>Ирска</c:v>
                      </c:pt>
                      <c:pt idx="13">
                        <c:v>Италија</c:v>
                      </c:pt>
                      <c:pt idx="14">
                        <c:v>Летонија</c:v>
                      </c:pt>
                      <c:pt idx="15">
                        <c:v>Литванија</c:v>
                      </c:pt>
                      <c:pt idx="16">
                        <c:v>Луксембург</c:v>
                      </c:pt>
                      <c:pt idx="17">
                        <c:v>Малта</c:v>
                      </c:pt>
                      <c:pt idx="18">
                        <c:v>Холандија</c:v>
                      </c:pt>
                      <c:pt idx="19">
                        <c:v>Пољска</c:v>
                      </c:pt>
                      <c:pt idx="20">
                        <c:v>Португал</c:v>
                      </c:pt>
                      <c:pt idx="21">
                        <c:v>Румунија</c:v>
                      </c:pt>
                      <c:pt idx="22">
                        <c:v>Србија</c:v>
                      </c:pt>
                      <c:pt idx="23">
                        <c:v>Словачка</c:v>
                      </c:pt>
                      <c:pt idx="24">
                        <c:v>Словенија</c:v>
                      </c:pt>
                      <c:pt idx="25">
                        <c:v>Шпанија</c:v>
                      </c:pt>
                      <c:pt idx="26">
                        <c:v>Шведска</c:v>
                      </c:pt>
                      <c:pt idx="27">
                        <c:v>Уједињено Краљевство</c:v>
                      </c:pt>
                    </c:strCache>
                  </c:strRef>
                </c:cat>
                <c:val>
                  <c:numRef>
                    <c:extLst xmlns:c15="http://schemas.microsoft.com/office/drawing/2012/chart">
                      <c:ext xmlns:c15="http://schemas.microsoft.com/office/drawing/2012/chart" uri="{02D57815-91ED-43cb-92C2-25804820EDAC}">
                        <c15:formulaRef>
                          <c15:sqref>'S0 EU Serbia'!$L$3:$L$31</c15:sqref>
                        </c15:formulaRef>
                      </c:ext>
                    </c:extLst>
                    <c:numCache>
                      <c:formatCode>0.00</c:formatCode>
                      <c:ptCount val="29"/>
                      <c:pt idx="0">
                        <c:v>0.15</c:v>
                      </c:pt>
                      <c:pt idx="1">
                        <c:v>0.42</c:v>
                      </c:pt>
                      <c:pt idx="2">
                        <c:v>0.28000000000000003</c:v>
                      </c:pt>
                      <c:pt idx="3">
                        <c:v>0.19</c:v>
                      </c:pt>
                      <c:pt idx="4">
                        <c:v>0.18</c:v>
                      </c:pt>
                      <c:pt idx="5">
                        <c:v>0.41</c:v>
                      </c:pt>
                      <c:pt idx="6">
                        <c:v>0.19</c:v>
                      </c:pt>
                      <c:pt idx="7">
                        <c:v>0.25</c:v>
                      </c:pt>
                      <c:pt idx="8">
                        <c:v>0.22</c:v>
                      </c:pt>
                      <c:pt idx="9">
                        <c:v>0.31</c:v>
                      </c:pt>
                      <c:pt idx="10">
                        <c:v>0.08</c:v>
                      </c:pt>
                      <c:pt idx="11">
                        <c:v>0.31</c:v>
                      </c:pt>
                      <c:pt idx="12">
                        <c:v>0.28000000000000003</c:v>
                      </c:pt>
                      <c:pt idx="13">
                        <c:v>0.42</c:v>
                      </c:pt>
                      <c:pt idx="14">
                        <c:v>0.28999999999999998</c:v>
                      </c:pt>
                      <c:pt idx="15">
                        <c:v>0.21</c:v>
                      </c:pt>
                      <c:pt idx="16">
                        <c:v>0.28999999999999998</c:v>
                      </c:pt>
                      <c:pt idx="17">
                        <c:v>0.15</c:v>
                      </c:pt>
                      <c:pt idx="18">
                        <c:v>0.2</c:v>
                      </c:pt>
                      <c:pt idx="19">
                        <c:v>0.28999999999999998</c:v>
                      </c:pt>
                      <c:pt idx="20">
                        <c:v>0.41</c:v>
                      </c:pt>
                      <c:pt idx="21">
                        <c:v>0.26</c:v>
                      </c:pt>
                      <c:pt idx="22">
                        <c:v>0.19161676646706588</c:v>
                      </c:pt>
                      <c:pt idx="23">
                        <c:v>0.34</c:v>
                      </c:pt>
                      <c:pt idx="24">
                        <c:v>0.14000000000000001</c:v>
                      </c:pt>
                      <c:pt idx="25">
                        <c:v>0.37</c:v>
                      </c:pt>
                      <c:pt idx="26">
                        <c:v>0.12</c:v>
                      </c:pt>
                      <c:pt idx="27">
                        <c:v>0.41</c:v>
                      </c:pt>
                    </c:numCache>
                  </c:numRef>
                </c:val>
                <c:extLst xmlns:c15="http://schemas.microsoft.com/office/drawing/2012/chart">
                  <c:ext xmlns:c16="http://schemas.microsoft.com/office/drawing/2014/chart" uri="{C3380CC4-5D6E-409C-BE32-E72D297353CC}">
                    <c16:uniqueId val="{00000008-232A-496F-90CA-3767D32FB8BC}"/>
                  </c:ext>
                </c:extLst>
              </c15:ser>
            </c15:filteredBarSeries>
            <c15:filteredBarSeries>
              <c15:ser>
                <c:idx val="0"/>
                <c:order val="4"/>
                <c:tx>
                  <c:strRef>
                    <c:extLst xmlns:c15="http://schemas.microsoft.com/office/drawing/2012/chart">
                      <c:ext xmlns:c15="http://schemas.microsoft.com/office/drawing/2012/chart" uri="{02D57815-91ED-43cb-92C2-25804820EDAC}">
                        <c15:formulaRef>
                          <c15:sqref>'S0 EU Serbia'!$O$2</c15:sqref>
                        </c15:formulaRef>
                      </c:ext>
                    </c:extLst>
                    <c:strCache>
                      <c:ptCount val="1"/>
                      <c:pt idx="0">
                        <c:v>S0 2017</c:v>
                      </c:pt>
                    </c:strCache>
                  </c:strRef>
                </c:tx>
                <c:spPr>
                  <a:solidFill>
                    <a:schemeClr val="accent1"/>
                  </a:solidFill>
                  <a:ln>
                    <a:noFill/>
                  </a:ln>
                  <a:effectLst/>
                </c:spPr>
                <c:invertIfNegative val="0"/>
                <c:cat>
                  <c:strRef>
                    <c:extLst xmlns:c15="http://schemas.microsoft.com/office/drawing/2012/chart">
                      <c:ext xmlns:c15="http://schemas.microsoft.com/office/drawing/2012/chart" uri="{02D57815-91ED-43cb-92C2-25804820EDAC}">
                        <c15:formulaRef>
                          <c15:sqref>'S0 EU Serbia'!$A$3:$A$30</c15:sqref>
                        </c15:formulaRef>
                      </c:ext>
                    </c:extLst>
                    <c:strCache>
                      <c:ptCount val="28"/>
                      <c:pt idx="0">
                        <c:v>Аустрија</c:v>
                      </c:pt>
                      <c:pt idx="1">
                        <c:v>Белгија</c:v>
                      </c:pt>
                      <c:pt idx="2">
                        <c:v>Бугарска</c:v>
                      </c:pt>
                      <c:pt idx="3">
                        <c:v>Чешка</c:v>
                      </c:pt>
                      <c:pt idx="4">
                        <c:v>Хрватска</c:v>
                      </c:pt>
                      <c:pt idx="5">
                        <c:v>Кипар</c:v>
                      </c:pt>
                      <c:pt idx="6">
                        <c:v>Данска</c:v>
                      </c:pt>
                      <c:pt idx="7">
                        <c:v>Естонија</c:v>
                      </c:pt>
                      <c:pt idx="8">
                        <c:v>Финска</c:v>
                      </c:pt>
                      <c:pt idx="9">
                        <c:v>Француска</c:v>
                      </c:pt>
                      <c:pt idx="10">
                        <c:v>Немачка</c:v>
                      </c:pt>
                      <c:pt idx="11">
                        <c:v>Мађарска</c:v>
                      </c:pt>
                      <c:pt idx="12">
                        <c:v>Ирска</c:v>
                      </c:pt>
                      <c:pt idx="13">
                        <c:v>Италија</c:v>
                      </c:pt>
                      <c:pt idx="14">
                        <c:v>Летонија</c:v>
                      </c:pt>
                      <c:pt idx="15">
                        <c:v>Литванија</c:v>
                      </c:pt>
                      <c:pt idx="16">
                        <c:v>Луксембург</c:v>
                      </c:pt>
                      <c:pt idx="17">
                        <c:v>Малта</c:v>
                      </c:pt>
                      <c:pt idx="18">
                        <c:v>Холандија</c:v>
                      </c:pt>
                      <c:pt idx="19">
                        <c:v>Пољска</c:v>
                      </c:pt>
                      <c:pt idx="20">
                        <c:v>Португал</c:v>
                      </c:pt>
                      <c:pt idx="21">
                        <c:v>Румунија</c:v>
                      </c:pt>
                      <c:pt idx="22">
                        <c:v>Србија</c:v>
                      </c:pt>
                      <c:pt idx="23">
                        <c:v>Словачка</c:v>
                      </c:pt>
                      <c:pt idx="24">
                        <c:v>Словенија</c:v>
                      </c:pt>
                      <c:pt idx="25">
                        <c:v>Шпанија</c:v>
                      </c:pt>
                      <c:pt idx="26">
                        <c:v>Шведска</c:v>
                      </c:pt>
                      <c:pt idx="27">
                        <c:v>Уједињено Краљевство</c:v>
                      </c:pt>
                    </c:strCache>
                  </c:strRef>
                </c:cat>
                <c:val>
                  <c:numRef>
                    <c:extLst xmlns:c15="http://schemas.microsoft.com/office/drawing/2012/chart">
                      <c:ext xmlns:c15="http://schemas.microsoft.com/office/drawing/2012/chart" uri="{02D57815-91ED-43cb-92C2-25804820EDAC}">
                        <c15:formulaRef>
                          <c15:sqref>'S0 EU Serbia'!$O$3:$O$30</c15:sqref>
                        </c15:formulaRef>
                      </c:ext>
                    </c:extLst>
                    <c:numCache>
                      <c:formatCode>0.00</c:formatCode>
                      <c:ptCount val="28"/>
                      <c:pt idx="0">
                        <c:v>7.0000000000000007E-2</c:v>
                      </c:pt>
                      <c:pt idx="1">
                        <c:v>0.35</c:v>
                      </c:pt>
                      <c:pt idx="2">
                        <c:v>0.25</c:v>
                      </c:pt>
                      <c:pt idx="3">
                        <c:v>0.19</c:v>
                      </c:pt>
                      <c:pt idx="4">
                        <c:v>0.2</c:v>
                      </c:pt>
                      <c:pt idx="5">
                        <c:v>0.44</c:v>
                      </c:pt>
                      <c:pt idx="6">
                        <c:v>0.3</c:v>
                      </c:pt>
                      <c:pt idx="7">
                        <c:v>0.2</c:v>
                      </c:pt>
                      <c:pt idx="8">
                        <c:v>0.1</c:v>
                      </c:pt>
                      <c:pt idx="9">
                        <c:v>0.24</c:v>
                      </c:pt>
                      <c:pt idx="10">
                        <c:v>0.08</c:v>
                      </c:pt>
                      <c:pt idx="11">
                        <c:v>0.39</c:v>
                      </c:pt>
                      <c:pt idx="12">
                        <c:v>0.28000000000000003</c:v>
                      </c:pt>
                      <c:pt idx="13">
                        <c:v>0.36</c:v>
                      </c:pt>
                      <c:pt idx="14">
                        <c:v>0.24</c:v>
                      </c:pt>
                      <c:pt idx="15">
                        <c:v>0.21</c:v>
                      </c:pt>
                      <c:pt idx="16">
                        <c:v>0.12</c:v>
                      </c:pt>
                      <c:pt idx="17">
                        <c:v>0.05</c:v>
                      </c:pt>
                      <c:pt idx="18">
                        <c:v>0.2</c:v>
                      </c:pt>
                      <c:pt idx="19">
                        <c:v>0.25</c:v>
                      </c:pt>
                      <c:pt idx="20">
                        <c:v>0.36</c:v>
                      </c:pt>
                      <c:pt idx="21">
                        <c:v>0.2</c:v>
                      </c:pt>
                      <c:pt idx="22">
                        <c:v>0.17745302713987476</c:v>
                      </c:pt>
                      <c:pt idx="23">
                        <c:v>0.3</c:v>
                      </c:pt>
                      <c:pt idx="24">
                        <c:v>0.13</c:v>
                      </c:pt>
                      <c:pt idx="25">
                        <c:v>0.37</c:v>
                      </c:pt>
                      <c:pt idx="26">
                        <c:v>0.12</c:v>
                      </c:pt>
                      <c:pt idx="27">
                        <c:v>0.42</c:v>
                      </c:pt>
                    </c:numCache>
                  </c:numRef>
                </c:val>
                <c:extLst xmlns:c15="http://schemas.microsoft.com/office/drawing/2012/chart">
                  <c:ext xmlns:c16="http://schemas.microsoft.com/office/drawing/2014/chart" uri="{C3380CC4-5D6E-409C-BE32-E72D297353CC}">
                    <c16:uniqueId val="{00000009-232A-496F-90CA-3767D32FB8BC}"/>
                  </c:ext>
                </c:extLst>
              </c15:ser>
            </c15:filteredBarSeries>
            <c15:filteredBarSeries>
              <c15:ser>
                <c:idx val="1"/>
                <c:order val="5"/>
                <c:tx>
                  <c:strRef>
                    <c:extLst xmlns:c15="http://schemas.microsoft.com/office/drawing/2012/chart">
                      <c:ext xmlns:c15="http://schemas.microsoft.com/office/drawing/2012/chart" uri="{02D57815-91ED-43cb-92C2-25804820EDAC}">
                        <c15:formulaRef>
                          <c15:sqref>'S0 EU Serbia'!$R$2</c15:sqref>
                        </c15:formulaRef>
                      </c:ext>
                    </c:extLst>
                    <c:strCache>
                      <c:ptCount val="1"/>
                      <c:pt idx="0">
                        <c:v>S0 2018</c:v>
                      </c:pt>
                    </c:strCache>
                  </c:strRef>
                </c:tx>
                <c:spPr>
                  <a:solidFill>
                    <a:srgbClr val="7030A0"/>
                  </a:solidFill>
                  <a:ln>
                    <a:noFill/>
                  </a:ln>
                  <a:effectLst/>
                </c:spPr>
                <c:invertIfNegative val="0"/>
                <c:cat>
                  <c:strRef>
                    <c:extLst xmlns:c15="http://schemas.microsoft.com/office/drawing/2012/chart">
                      <c:ext xmlns:c15="http://schemas.microsoft.com/office/drawing/2012/chart" uri="{02D57815-91ED-43cb-92C2-25804820EDAC}">
                        <c15:formulaRef>
                          <c15:sqref>'S0 EU Serbia'!$A$3:$A$30</c15:sqref>
                        </c15:formulaRef>
                      </c:ext>
                    </c:extLst>
                    <c:strCache>
                      <c:ptCount val="28"/>
                      <c:pt idx="0">
                        <c:v>Аустрија</c:v>
                      </c:pt>
                      <c:pt idx="1">
                        <c:v>Белгија</c:v>
                      </c:pt>
                      <c:pt idx="2">
                        <c:v>Бугарска</c:v>
                      </c:pt>
                      <c:pt idx="3">
                        <c:v>Чешка</c:v>
                      </c:pt>
                      <c:pt idx="4">
                        <c:v>Хрватска</c:v>
                      </c:pt>
                      <c:pt idx="5">
                        <c:v>Кипар</c:v>
                      </c:pt>
                      <c:pt idx="6">
                        <c:v>Данска</c:v>
                      </c:pt>
                      <c:pt idx="7">
                        <c:v>Естонија</c:v>
                      </c:pt>
                      <c:pt idx="8">
                        <c:v>Финска</c:v>
                      </c:pt>
                      <c:pt idx="9">
                        <c:v>Француска</c:v>
                      </c:pt>
                      <c:pt idx="10">
                        <c:v>Немачка</c:v>
                      </c:pt>
                      <c:pt idx="11">
                        <c:v>Мађарска</c:v>
                      </c:pt>
                      <c:pt idx="12">
                        <c:v>Ирска</c:v>
                      </c:pt>
                      <c:pt idx="13">
                        <c:v>Италија</c:v>
                      </c:pt>
                      <c:pt idx="14">
                        <c:v>Летонија</c:v>
                      </c:pt>
                      <c:pt idx="15">
                        <c:v>Литванија</c:v>
                      </c:pt>
                      <c:pt idx="16">
                        <c:v>Луксембург</c:v>
                      </c:pt>
                      <c:pt idx="17">
                        <c:v>Малта</c:v>
                      </c:pt>
                      <c:pt idx="18">
                        <c:v>Холандија</c:v>
                      </c:pt>
                      <c:pt idx="19">
                        <c:v>Пољска</c:v>
                      </c:pt>
                      <c:pt idx="20">
                        <c:v>Португал</c:v>
                      </c:pt>
                      <c:pt idx="21">
                        <c:v>Румунија</c:v>
                      </c:pt>
                      <c:pt idx="22">
                        <c:v>Србија</c:v>
                      </c:pt>
                      <c:pt idx="23">
                        <c:v>Словачка</c:v>
                      </c:pt>
                      <c:pt idx="24">
                        <c:v>Словенија</c:v>
                      </c:pt>
                      <c:pt idx="25">
                        <c:v>Шпанија</c:v>
                      </c:pt>
                      <c:pt idx="26">
                        <c:v>Шведска</c:v>
                      </c:pt>
                      <c:pt idx="27">
                        <c:v>Уједињено Краљевство</c:v>
                      </c:pt>
                    </c:strCache>
                  </c:strRef>
                </c:cat>
                <c:val>
                  <c:numRef>
                    <c:extLst xmlns:c15="http://schemas.microsoft.com/office/drawing/2012/chart">
                      <c:ext xmlns:c15="http://schemas.microsoft.com/office/drawing/2012/chart" uri="{02D57815-91ED-43cb-92C2-25804820EDAC}">
                        <c15:formulaRef>
                          <c15:sqref>'S0 EU Serbia'!$R$3:$R$30</c15:sqref>
                        </c15:formulaRef>
                      </c:ext>
                    </c:extLst>
                    <c:numCache>
                      <c:formatCode>0.00</c:formatCode>
                      <c:ptCount val="28"/>
                      <c:pt idx="0">
                        <c:v>0.03</c:v>
                      </c:pt>
                      <c:pt idx="1">
                        <c:v>0.22</c:v>
                      </c:pt>
                      <c:pt idx="2">
                        <c:v>0.19</c:v>
                      </c:pt>
                      <c:pt idx="3">
                        <c:v>0.18</c:v>
                      </c:pt>
                      <c:pt idx="4">
                        <c:v>0.24</c:v>
                      </c:pt>
                      <c:pt idx="5">
                        <c:v>0.46</c:v>
                      </c:pt>
                      <c:pt idx="6">
                        <c:v>0.12</c:v>
                      </c:pt>
                      <c:pt idx="7">
                        <c:v>0.17</c:v>
                      </c:pt>
                      <c:pt idx="8">
                        <c:v>0.14000000000000001</c:v>
                      </c:pt>
                      <c:pt idx="9">
                        <c:v>0.28999999999999998</c:v>
                      </c:pt>
                      <c:pt idx="10">
                        <c:v>0</c:v>
                      </c:pt>
                      <c:pt idx="11">
                        <c:v>0.34</c:v>
                      </c:pt>
                      <c:pt idx="12">
                        <c:v>0.21</c:v>
                      </c:pt>
                      <c:pt idx="13">
                        <c:v>0.36</c:v>
                      </c:pt>
                      <c:pt idx="14">
                        <c:v>0.24</c:v>
                      </c:pt>
                      <c:pt idx="15">
                        <c:v>0.21</c:v>
                      </c:pt>
                      <c:pt idx="16">
                        <c:v>0.12</c:v>
                      </c:pt>
                      <c:pt idx="17">
                        <c:v>0.06</c:v>
                      </c:pt>
                      <c:pt idx="18">
                        <c:v>0.08</c:v>
                      </c:pt>
                      <c:pt idx="19">
                        <c:v>0.18</c:v>
                      </c:pt>
                      <c:pt idx="20">
                        <c:v>0.33</c:v>
                      </c:pt>
                      <c:pt idx="21">
                        <c:v>0.3</c:v>
                      </c:pt>
                      <c:pt idx="22">
                        <c:v>0.17745302713987476</c:v>
                      </c:pt>
                      <c:pt idx="23">
                        <c:v>0.27</c:v>
                      </c:pt>
                      <c:pt idx="24">
                        <c:v>0.13</c:v>
                      </c:pt>
                      <c:pt idx="25">
                        <c:v>0.37</c:v>
                      </c:pt>
                      <c:pt idx="26">
                        <c:v>0.2</c:v>
                      </c:pt>
                      <c:pt idx="27">
                        <c:v>0.42</c:v>
                      </c:pt>
                    </c:numCache>
                  </c:numRef>
                </c:val>
                <c:extLst xmlns:c15="http://schemas.microsoft.com/office/drawing/2012/chart">
                  <c:ext xmlns:c16="http://schemas.microsoft.com/office/drawing/2014/chart" uri="{C3380CC4-5D6E-409C-BE32-E72D297353CC}">
                    <c16:uniqueId val="{0000000A-232A-496F-90CA-3767D32FB8BC}"/>
                  </c:ext>
                </c:extLst>
              </c15:ser>
            </c15:filteredBarSeries>
            <c15:filteredBarSeries>
              <c15:ser>
                <c:idx val="4"/>
                <c:order val="6"/>
                <c:tx>
                  <c:strRef>
                    <c:extLst xmlns:c15="http://schemas.microsoft.com/office/drawing/2012/chart">
                      <c:ext xmlns:c15="http://schemas.microsoft.com/office/drawing/2012/chart" uri="{02D57815-91ED-43cb-92C2-25804820EDAC}">
                        <c15:formulaRef>
                          <c15:sqref>'S0 EU Serbia'!$U$2</c15:sqref>
                        </c15:formulaRef>
                      </c:ext>
                    </c:extLst>
                    <c:strCache>
                      <c:ptCount val="1"/>
                      <c:pt idx="0">
                        <c:v>S0 2019</c:v>
                      </c:pt>
                    </c:strCache>
                  </c:strRef>
                </c:tx>
                <c:spPr>
                  <a:solidFill>
                    <a:schemeClr val="accent5"/>
                  </a:solidFill>
                  <a:ln>
                    <a:noFill/>
                  </a:ln>
                  <a:effectLst/>
                </c:spPr>
                <c:invertIfNegative val="0"/>
                <c:val>
                  <c:numRef>
                    <c:extLst xmlns:c15="http://schemas.microsoft.com/office/drawing/2012/chart">
                      <c:ext xmlns:c15="http://schemas.microsoft.com/office/drawing/2012/chart" uri="{02D57815-91ED-43cb-92C2-25804820EDAC}">
                        <c15:formulaRef>
                          <c15:sqref>'S0 EU Serbia'!$U$3:$U$29</c15:sqref>
                        </c15:formulaRef>
                      </c:ext>
                    </c:extLst>
                    <c:numCache>
                      <c:formatCode>0.00</c:formatCode>
                      <c:ptCount val="27"/>
                      <c:pt idx="0">
                        <c:v>0.1</c:v>
                      </c:pt>
                      <c:pt idx="1">
                        <c:v>0.17</c:v>
                      </c:pt>
                      <c:pt idx="2">
                        <c:v>0.21</c:v>
                      </c:pt>
                      <c:pt idx="3">
                        <c:v>0.22</c:v>
                      </c:pt>
                      <c:pt idx="4">
                        <c:v>0.24</c:v>
                      </c:pt>
                      <c:pt idx="5">
                        <c:v>0.45</c:v>
                      </c:pt>
                      <c:pt idx="6">
                        <c:v>0.2</c:v>
                      </c:pt>
                      <c:pt idx="7">
                        <c:v>0.2</c:v>
                      </c:pt>
                      <c:pt idx="8">
                        <c:v>0.26</c:v>
                      </c:pt>
                      <c:pt idx="9">
                        <c:v>0.36</c:v>
                      </c:pt>
                      <c:pt idx="10">
                        <c:v>0.08</c:v>
                      </c:pt>
                      <c:pt idx="11">
                        <c:v>0.28999999999999998</c:v>
                      </c:pt>
                      <c:pt idx="12">
                        <c:v>0.14000000000000001</c:v>
                      </c:pt>
                      <c:pt idx="13">
                        <c:v>0.33</c:v>
                      </c:pt>
                      <c:pt idx="14">
                        <c:v>0.24</c:v>
                      </c:pt>
                      <c:pt idx="15">
                        <c:v>0.21</c:v>
                      </c:pt>
                      <c:pt idx="16">
                        <c:v>0.19</c:v>
                      </c:pt>
                      <c:pt idx="17">
                        <c:v>0.06</c:v>
                      </c:pt>
                      <c:pt idx="18">
                        <c:v>0.16</c:v>
                      </c:pt>
                      <c:pt idx="19">
                        <c:v>0.26</c:v>
                      </c:pt>
                      <c:pt idx="20">
                        <c:v>0.33</c:v>
                      </c:pt>
                      <c:pt idx="21">
                        <c:v>0.37</c:v>
                      </c:pt>
                      <c:pt idx="22">
                        <c:v>0.17745302713987476</c:v>
                      </c:pt>
                      <c:pt idx="23">
                        <c:v>0.27</c:v>
                      </c:pt>
                      <c:pt idx="24">
                        <c:v>0.05</c:v>
                      </c:pt>
                      <c:pt idx="25">
                        <c:v>0.37</c:v>
                      </c:pt>
                      <c:pt idx="26">
                        <c:v>0.24</c:v>
                      </c:pt>
                    </c:numCache>
                  </c:numRef>
                </c:val>
                <c:extLst xmlns:c15="http://schemas.microsoft.com/office/drawing/2012/chart">
                  <c:ext xmlns:c16="http://schemas.microsoft.com/office/drawing/2014/chart" uri="{C3380CC4-5D6E-409C-BE32-E72D297353CC}">
                    <c16:uniqueId val="{0000000B-232A-496F-90CA-3767D32FB8BC}"/>
                  </c:ext>
                </c:extLst>
              </c15:ser>
            </c15:filteredBarSeries>
          </c:ext>
        </c:extLst>
      </c:barChart>
      <c:lineChart>
        <c:grouping val="standard"/>
        <c:varyColors val="0"/>
        <c:ser>
          <c:idx val="2"/>
          <c:order val="0"/>
          <c:tx>
            <c:strRef>
              <c:f>'S0 EU Serbia'!$E$1</c:f>
              <c:strCache>
                <c:ptCount val="1"/>
                <c:pt idx="0">
                  <c:v>S0 праг</c:v>
                </c:pt>
              </c:strCache>
            </c:strRef>
          </c:tx>
          <c:spPr>
            <a:ln w="22225" cap="rnd">
              <a:solidFill>
                <a:schemeClr val="tx1"/>
              </a:solidFill>
              <a:prstDash val="dash"/>
              <a:round/>
            </a:ln>
            <a:effectLst/>
          </c:spPr>
          <c:marker>
            <c:symbol val="none"/>
          </c:marker>
          <c:dLbls>
            <c:dLbl>
              <c:idx val="15"/>
              <c:layout>
                <c:manualLayout>
                  <c:x val="1.7407978002306548E-2"/>
                  <c:y val="-0.1071466066741657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232A-496F-90CA-3767D32FB8BC}"/>
                </c:ext>
              </c:extLst>
            </c:dLbl>
            <c:spPr>
              <a:noFill/>
              <a:ln>
                <a:noFill/>
              </a:ln>
              <a:effectLst/>
            </c:spPr>
            <c:txPr>
              <a:bodyPr rot="0" spcFirstLastPara="1" vertOverflow="ellipsis" vert="horz" wrap="square" anchor="ctr" anchorCtr="1"/>
              <a:lstStyle/>
              <a:p>
                <a:pPr>
                  <a:defRPr sz="900" b="0" i="0" u="none" strike="noStrike" kern="1200" baseline="0">
                    <a:solidFill>
                      <a:srgbClr val="44546A"/>
                    </a:solidFill>
                    <a:latin typeface="Times New Roman" panose="02020603050405020304" pitchFamily="18" charset="0"/>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15:showLeaderLines val="0"/>
              </c:ext>
            </c:extLst>
          </c:dLbls>
          <c:cat>
            <c:strRef>
              <c:f>'S0 EU Serbia'!$A$3:$A$29</c:f>
              <c:strCache>
                <c:ptCount val="27"/>
                <c:pt idx="0">
                  <c:v>Аустрија</c:v>
                </c:pt>
                <c:pt idx="1">
                  <c:v>Белгија</c:v>
                </c:pt>
                <c:pt idx="2">
                  <c:v>Бугарска</c:v>
                </c:pt>
                <c:pt idx="3">
                  <c:v>Чешка</c:v>
                </c:pt>
                <c:pt idx="4">
                  <c:v>Хрватска</c:v>
                </c:pt>
                <c:pt idx="5">
                  <c:v>Кипар</c:v>
                </c:pt>
                <c:pt idx="6">
                  <c:v>Данска</c:v>
                </c:pt>
                <c:pt idx="7">
                  <c:v>Естонија</c:v>
                </c:pt>
                <c:pt idx="8">
                  <c:v>Финска</c:v>
                </c:pt>
                <c:pt idx="9">
                  <c:v>Француска</c:v>
                </c:pt>
                <c:pt idx="10">
                  <c:v>Немачка</c:v>
                </c:pt>
                <c:pt idx="11">
                  <c:v>Мађарска</c:v>
                </c:pt>
                <c:pt idx="12">
                  <c:v>Ирска</c:v>
                </c:pt>
                <c:pt idx="13">
                  <c:v>Италија</c:v>
                </c:pt>
                <c:pt idx="14">
                  <c:v>Летонија</c:v>
                </c:pt>
                <c:pt idx="15">
                  <c:v>Литванија</c:v>
                </c:pt>
                <c:pt idx="16">
                  <c:v>Луксембург</c:v>
                </c:pt>
                <c:pt idx="17">
                  <c:v>Малта</c:v>
                </c:pt>
                <c:pt idx="18">
                  <c:v>Холандија</c:v>
                </c:pt>
                <c:pt idx="19">
                  <c:v>Пољска</c:v>
                </c:pt>
                <c:pt idx="20">
                  <c:v>Португал</c:v>
                </c:pt>
                <c:pt idx="21">
                  <c:v>Румунија</c:v>
                </c:pt>
                <c:pt idx="22">
                  <c:v>Србија</c:v>
                </c:pt>
                <c:pt idx="23">
                  <c:v>Словачка</c:v>
                </c:pt>
                <c:pt idx="24">
                  <c:v>Словенија</c:v>
                </c:pt>
                <c:pt idx="25">
                  <c:v>Шпанија</c:v>
                </c:pt>
                <c:pt idx="26">
                  <c:v>Шведска</c:v>
                </c:pt>
              </c:strCache>
            </c:strRef>
          </c:cat>
          <c:val>
            <c:numRef>
              <c:f>'S0 EU Serbia'!$E$3:$E$29</c:f>
              <c:numCache>
                <c:formatCode>0.00</c:formatCode>
                <c:ptCount val="27"/>
                <c:pt idx="0">
                  <c:v>0.46</c:v>
                </c:pt>
                <c:pt idx="1">
                  <c:v>0.46</c:v>
                </c:pt>
                <c:pt idx="2">
                  <c:v>0.46</c:v>
                </c:pt>
                <c:pt idx="3">
                  <c:v>0.46</c:v>
                </c:pt>
                <c:pt idx="4">
                  <c:v>0.46</c:v>
                </c:pt>
                <c:pt idx="5">
                  <c:v>0.46</c:v>
                </c:pt>
                <c:pt idx="6">
                  <c:v>0.46</c:v>
                </c:pt>
                <c:pt idx="7">
                  <c:v>0.46</c:v>
                </c:pt>
                <c:pt idx="8">
                  <c:v>0.46</c:v>
                </c:pt>
                <c:pt idx="9">
                  <c:v>0.46</c:v>
                </c:pt>
                <c:pt idx="10">
                  <c:v>0.46</c:v>
                </c:pt>
                <c:pt idx="11">
                  <c:v>0.46</c:v>
                </c:pt>
                <c:pt idx="12">
                  <c:v>0.46</c:v>
                </c:pt>
                <c:pt idx="13">
                  <c:v>0.46</c:v>
                </c:pt>
                <c:pt idx="14">
                  <c:v>0.46</c:v>
                </c:pt>
                <c:pt idx="15">
                  <c:v>0.46</c:v>
                </c:pt>
                <c:pt idx="16">
                  <c:v>0.46</c:v>
                </c:pt>
                <c:pt idx="17">
                  <c:v>0.46</c:v>
                </c:pt>
                <c:pt idx="18">
                  <c:v>0.46</c:v>
                </c:pt>
                <c:pt idx="19">
                  <c:v>0.46</c:v>
                </c:pt>
                <c:pt idx="20">
                  <c:v>0.46</c:v>
                </c:pt>
                <c:pt idx="21">
                  <c:v>0.46</c:v>
                </c:pt>
                <c:pt idx="22">
                  <c:v>0.46</c:v>
                </c:pt>
                <c:pt idx="23">
                  <c:v>0.46</c:v>
                </c:pt>
                <c:pt idx="24">
                  <c:v>0.46</c:v>
                </c:pt>
                <c:pt idx="25">
                  <c:v>0.46</c:v>
                </c:pt>
                <c:pt idx="26">
                  <c:v>0.46</c:v>
                </c:pt>
              </c:numCache>
            </c:numRef>
          </c:val>
          <c:smooth val="0"/>
          <c:extLst>
            <c:ext xmlns:c16="http://schemas.microsoft.com/office/drawing/2014/chart" uri="{C3380CC4-5D6E-409C-BE32-E72D297353CC}">
              <c16:uniqueId val="{00000004-232A-496F-90CA-3767D32FB8BC}"/>
            </c:ext>
          </c:extLst>
        </c:ser>
        <c:dLbls>
          <c:showLegendKey val="0"/>
          <c:showVal val="0"/>
          <c:showCatName val="0"/>
          <c:showSerName val="0"/>
          <c:showPercent val="0"/>
          <c:showBubbleSize val="0"/>
        </c:dLbls>
        <c:marker val="1"/>
        <c:smooth val="0"/>
        <c:axId val="-486950096"/>
        <c:axId val="-486949552"/>
      </c:lineChart>
      <c:catAx>
        <c:axId val="-48695009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800" b="0" i="0" u="none" strike="noStrike" kern="1200" baseline="0">
                <a:solidFill>
                  <a:srgbClr val="44546A"/>
                </a:solidFill>
                <a:latin typeface="Times New Roman" panose="02020603050405020304" pitchFamily="18" charset="0"/>
                <a:ea typeface="+mn-ea"/>
                <a:cs typeface="+mn-cs"/>
              </a:defRPr>
            </a:pPr>
            <a:endParaRPr lang="en-US"/>
          </a:p>
        </c:txPr>
        <c:crossAx val="-486949552"/>
        <c:crosses val="autoZero"/>
        <c:auto val="1"/>
        <c:lblAlgn val="ctr"/>
        <c:lblOffset val="100"/>
        <c:noMultiLvlLbl val="0"/>
      </c:catAx>
      <c:valAx>
        <c:axId val="-486949552"/>
        <c:scaling>
          <c:orientation val="minMax"/>
          <c:max val="0.9"/>
        </c:scaling>
        <c:delete val="0"/>
        <c:axPos val="l"/>
        <c:majorGridlines>
          <c:spPr>
            <a:ln w="9525" cap="flat" cmpd="sng" algn="ctr">
              <a:solidFill>
                <a:schemeClr val="tx1">
                  <a:lumMod val="15000"/>
                  <a:lumOff val="85000"/>
                </a:schemeClr>
              </a:solidFill>
              <a:round/>
            </a:ln>
            <a:effectLst/>
          </c:spPr>
        </c:majorGridlines>
        <c:numFmt formatCode="0.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rgbClr val="44546A"/>
                </a:solidFill>
                <a:latin typeface="Times New Roman" panose="02020603050405020304" pitchFamily="18" charset="0"/>
                <a:ea typeface="+mn-ea"/>
                <a:cs typeface="+mn-cs"/>
              </a:defRPr>
            </a:pPr>
            <a:endParaRPr lang="en-US"/>
          </a:p>
        </c:txPr>
        <c:crossAx val="-486950096"/>
        <c:crosses val="autoZero"/>
        <c:crossBetween val="between"/>
      </c:valAx>
      <c:spPr>
        <a:noFill/>
        <a:ln>
          <a:noFill/>
        </a:ln>
        <a:effectLst/>
      </c:spPr>
    </c:plotArea>
    <c:legend>
      <c:legendPos val="b"/>
      <c:layout>
        <c:manualLayout>
          <c:xMode val="edge"/>
          <c:yMode val="edge"/>
          <c:x val="0.26068435717638111"/>
          <c:y val="0.91047869016372951"/>
          <c:w val="0.47863111117314633"/>
          <c:h val="7.7232429279673373E-2"/>
        </c:manualLayout>
      </c:layout>
      <c:overlay val="0"/>
      <c:spPr>
        <a:noFill/>
        <a:ln>
          <a:noFill/>
        </a:ln>
        <a:effectLst/>
      </c:spPr>
      <c:txPr>
        <a:bodyPr rot="0" spcFirstLastPara="1" vertOverflow="ellipsis" vert="horz" wrap="square" anchor="ctr" anchorCtr="1"/>
        <a:lstStyle/>
        <a:p>
          <a:pPr>
            <a:defRPr sz="900" b="0" i="0" u="none" strike="noStrike" kern="1200" baseline="0">
              <a:solidFill>
                <a:srgbClr val="44546A"/>
              </a:solidFill>
              <a:latin typeface="Times New Roman" panose="02020603050405020304" pitchFamily="18" charset="0"/>
              <a:ea typeface="+mn-ea"/>
              <a:cs typeface="+mn-cs"/>
            </a:defRPr>
          </a:pPr>
          <a:endParaRPr lang="en-US"/>
        </a:p>
      </c:txPr>
    </c:legend>
    <c:plotVisOnly val="1"/>
    <c:dispBlanksAs val="gap"/>
    <c:showDLblsOverMax val="0"/>
  </c:chart>
  <c:spPr>
    <a:noFill/>
    <a:ln w="9525" cap="flat" cmpd="sng" algn="ctr">
      <a:noFill/>
      <a:round/>
    </a:ln>
    <a:effectLst/>
  </c:spPr>
  <c:txPr>
    <a:bodyPr/>
    <a:lstStyle/>
    <a:p>
      <a:pPr>
        <a:defRPr sz="900">
          <a:latin typeface="+mn-lt"/>
        </a:defRPr>
      </a:pPr>
      <a:endParaRPr lang="en-US"/>
    </a:p>
  </c:txPr>
  <c:externalData r:id="rId4">
    <c:autoUpdate val="0"/>
  </c:externalData>
  <c:userShapes r:id="rId5"/>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12592596251691876"/>
          <c:y val="8.2473495136371477E-2"/>
          <c:w val="0.8183443819836197"/>
          <c:h val="0.81333285058353966"/>
        </c:manualLayout>
      </c:layout>
      <c:scatterChart>
        <c:scatterStyle val="smoothMarker"/>
        <c:varyColors val="0"/>
        <c:ser>
          <c:idx val="1"/>
          <c:order val="1"/>
          <c:tx>
            <c:v>Prag fiskalnog podindeksa</c:v>
          </c:tx>
          <c:spPr>
            <a:ln w="12700" cap="rnd">
              <a:solidFill>
                <a:srgbClr val="7030A0"/>
              </a:solidFill>
              <a:round/>
            </a:ln>
            <a:effectLst/>
          </c:spPr>
          <c:marker>
            <c:symbol val="none"/>
          </c:marker>
          <c:xVal>
            <c:numRef>
              <c:f>'2023'!$F$4:$F$31</c:f>
              <c:numCache>
                <c:formatCode>0.00</c:formatCode>
                <c:ptCount val="28"/>
                <c:pt idx="0">
                  <c:v>0.36</c:v>
                </c:pt>
                <c:pt idx="1">
                  <c:v>0.36</c:v>
                </c:pt>
                <c:pt idx="2">
                  <c:v>0.36</c:v>
                </c:pt>
                <c:pt idx="3">
                  <c:v>0.36</c:v>
                </c:pt>
                <c:pt idx="4">
                  <c:v>0.36</c:v>
                </c:pt>
                <c:pt idx="5">
                  <c:v>0.36</c:v>
                </c:pt>
                <c:pt idx="6">
                  <c:v>0.36</c:v>
                </c:pt>
                <c:pt idx="7">
                  <c:v>0.36</c:v>
                </c:pt>
                <c:pt idx="8">
                  <c:v>0.36</c:v>
                </c:pt>
                <c:pt idx="9">
                  <c:v>0.36</c:v>
                </c:pt>
                <c:pt idx="10">
                  <c:v>0.36</c:v>
                </c:pt>
                <c:pt idx="11">
                  <c:v>0.36</c:v>
                </c:pt>
                <c:pt idx="12">
                  <c:v>0.36</c:v>
                </c:pt>
                <c:pt idx="13">
                  <c:v>0.36</c:v>
                </c:pt>
                <c:pt idx="14">
                  <c:v>0.36</c:v>
                </c:pt>
                <c:pt idx="15">
                  <c:v>0.36</c:v>
                </c:pt>
                <c:pt idx="16">
                  <c:v>0.36</c:v>
                </c:pt>
                <c:pt idx="17">
                  <c:v>0.36</c:v>
                </c:pt>
                <c:pt idx="18">
                  <c:v>0.36</c:v>
                </c:pt>
                <c:pt idx="19">
                  <c:v>0.36</c:v>
                </c:pt>
                <c:pt idx="20">
                  <c:v>0.36</c:v>
                </c:pt>
                <c:pt idx="21">
                  <c:v>0.36</c:v>
                </c:pt>
                <c:pt idx="22">
                  <c:v>0.36</c:v>
                </c:pt>
                <c:pt idx="23">
                  <c:v>0.36</c:v>
                </c:pt>
                <c:pt idx="24">
                  <c:v>0.36</c:v>
                </c:pt>
                <c:pt idx="25">
                  <c:v>0.36</c:v>
                </c:pt>
                <c:pt idx="26">
                  <c:v>0.36</c:v>
                </c:pt>
                <c:pt idx="27">
                  <c:v>0.36</c:v>
                </c:pt>
              </c:numCache>
            </c:numRef>
          </c:xVal>
          <c:yVal>
            <c:numRef>
              <c:f>'2023'!$G$4:$G$31</c:f>
              <c:numCache>
                <c:formatCode>0.00</c:formatCode>
                <c:ptCount val="28"/>
                <c:pt idx="0">
                  <c:v>0</c:v>
                </c:pt>
                <c:pt idx="1">
                  <c:v>2.2222222222222223E-2</c:v>
                </c:pt>
                <c:pt idx="2">
                  <c:v>4.4444444444444446E-2</c:v>
                </c:pt>
                <c:pt idx="3">
                  <c:v>6.6666666666666666E-2</c:v>
                </c:pt>
                <c:pt idx="4">
                  <c:v>8.8888888888888892E-2</c:v>
                </c:pt>
                <c:pt idx="5">
                  <c:v>0.11111111111111112</c:v>
                </c:pt>
                <c:pt idx="6">
                  <c:v>0.13333333333333333</c:v>
                </c:pt>
                <c:pt idx="7">
                  <c:v>0.15555555555555556</c:v>
                </c:pt>
                <c:pt idx="8">
                  <c:v>0.17777777777777778</c:v>
                </c:pt>
                <c:pt idx="9">
                  <c:v>0.2</c:v>
                </c:pt>
                <c:pt idx="10">
                  <c:v>0.22222222222222224</c:v>
                </c:pt>
                <c:pt idx="11">
                  <c:v>0.24444444444444446</c:v>
                </c:pt>
                <c:pt idx="12">
                  <c:v>0.26666666666666666</c:v>
                </c:pt>
                <c:pt idx="13">
                  <c:v>0.28888888888888886</c:v>
                </c:pt>
                <c:pt idx="14">
                  <c:v>0.31111111111111106</c:v>
                </c:pt>
                <c:pt idx="15">
                  <c:v>0.33333333333333326</c:v>
                </c:pt>
                <c:pt idx="16">
                  <c:v>0.35555555555555546</c:v>
                </c:pt>
                <c:pt idx="17">
                  <c:v>0.37777777777777766</c:v>
                </c:pt>
                <c:pt idx="18">
                  <c:v>0.39999999999999986</c:v>
                </c:pt>
                <c:pt idx="19">
                  <c:v>0.42222222222222205</c:v>
                </c:pt>
                <c:pt idx="20">
                  <c:v>0.44444444444444425</c:v>
                </c:pt>
                <c:pt idx="21">
                  <c:v>0.46666666666666645</c:v>
                </c:pt>
                <c:pt idx="22">
                  <c:v>0.48888888888888865</c:v>
                </c:pt>
                <c:pt idx="23">
                  <c:v>0.51111111111111085</c:v>
                </c:pt>
                <c:pt idx="24">
                  <c:v>0.5333333333333331</c:v>
                </c:pt>
                <c:pt idx="25">
                  <c:v>0.55555555555555536</c:v>
                </c:pt>
                <c:pt idx="26">
                  <c:v>0.57777777777777761</c:v>
                </c:pt>
                <c:pt idx="27">
                  <c:v>0.59999999999999987</c:v>
                </c:pt>
              </c:numCache>
            </c:numRef>
          </c:yVal>
          <c:smooth val="1"/>
          <c:extLst>
            <c:ext xmlns:c16="http://schemas.microsoft.com/office/drawing/2014/chart" uri="{C3380CC4-5D6E-409C-BE32-E72D297353CC}">
              <c16:uniqueId val="{00000000-132A-46A3-B546-56CD82AD14C5}"/>
            </c:ext>
          </c:extLst>
        </c:ser>
        <c:ser>
          <c:idx val="2"/>
          <c:order val="2"/>
          <c:tx>
            <c:v>Prag finansijskog podindeksa</c:v>
          </c:tx>
          <c:spPr>
            <a:ln w="12700" cap="rnd">
              <a:solidFill>
                <a:srgbClr val="7030A0"/>
              </a:solidFill>
              <a:round/>
            </a:ln>
            <a:effectLst/>
          </c:spPr>
          <c:marker>
            <c:symbol val="none"/>
          </c:marker>
          <c:xVal>
            <c:numRef>
              <c:f>'2023'!$H$4:$H$31</c:f>
              <c:numCache>
                <c:formatCode>0.00</c:formatCode>
                <c:ptCount val="28"/>
                <c:pt idx="0">
                  <c:v>0</c:v>
                </c:pt>
                <c:pt idx="1">
                  <c:v>2.9629629629629631E-2</c:v>
                </c:pt>
                <c:pt idx="2">
                  <c:v>5.9259259259259262E-2</c:v>
                </c:pt>
                <c:pt idx="3">
                  <c:v>8.8888888888888892E-2</c:v>
                </c:pt>
                <c:pt idx="4">
                  <c:v>0.11851851851851852</c:v>
                </c:pt>
                <c:pt idx="5">
                  <c:v>0.14814814814814814</c:v>
                </c:pt>
                <c:pt idx="6">
                  <c:v>0.17777777777777776</c:v>
                </c:pt>
                <c:pt idx="7">
                  <c:v>0.20740740740740737</c:v>
                </c:pt>
                <c:pt idx="8">
                  <c:v>0.23703703703703699</c:v>
                </c:pt>
                <c:pt idx="9">
                  <c:v>0.26666666666666661</c:v>
                </c:pt>
                <c:pt idx="10">
                  <c:v>0.29629629629629622</c:v>
                </c:pt>
                <c:pt idx="11">
                  <c:v>0.32592592592592584</c:v>
                </c:pt>
                <c:pt idx="12">
                  <c:v>0.35555555555555546</c:v>
                </c:pt>
                <c:pt idx="13">
                  <c:v>0.38518518518518507</c:v>
                </c:pt>
                <c:pt idx="14">
                  <c:v>0.41481481481481469</c:v>
                </c:pt>
                <c:pt idx="15">
                  <c:v>0.44444444444444431</c:v>
                </c:pt>
                <c:pt idx="16">
                  <c:v>0.47407407407407393</c:v>
                </c:pt>
                <c:pt idx="17">
                  <c:v>0.50370370370370354</c:v>
                </c:pt>
                <c:pt idx="18">
                  <c:v>0.53333333333333321</c:v>
                </c:pt>
                <c:pt idx="19">
                  <c:v>0.56296296296296289</c:v>
                </c:pt>
                <c:pt idx="20">
                  <c:v>0.59259259259259256</c:v>
                </c:pt>
                <c:pt idx="21">
                  <c:v>0.62222222222222223</c:v>
                </c:pt>
                <c:pt idx="22">
                  <c:v>0.6518518518518519</c:v>
                </c:pt>
                <c:pt idx="23">
                  <c:v>0.68148148148148158</c:v>
                </c:pt>
                <c:pt idx="24">
                  <c:v>0.71111111111111125</c:v>
                </c:pt>
                <c:pt idx="25">
                  <c:v>0.74074074074074092</c:v>
                </c:pt>
                <c:pt idx="26">
                  <c:v>0.77037037037037059</c:v>
                </c:pt>
                <c:pt idx="27">
                  <c:v>0.80000000000000027</c:v>
                </c:pt>
              </c:numCache>
            </c:numRef>
          </c:xVal>
          <c:yVal>
            <c:numRef>
              <c:f>'2023'!$I$4:$I$31</c:f>
              <c:numCache>
                <c:formatCode>0.00</c:formatCode>
                <c:ptCount val="28"/>
                <c:pt idx="0">
                  <c:v>0.49</c:v>
                </c:pt>
                <c:pt idx="1">
                  <c:v>0.49</c:v>
                </c:pt>
                <c:pt idx="2">
                  <c:v>0.49</c:v>
                </c:pt>
                <c:pt idx="3">
                  <c:v>0.49</c:v>
                </c:pt>
                <c:pt idx="4">
                  <c:v>0.49</c:v>
                </c:pt>
                <c:pt idx="5">
                  <c:v>0.49</c:v>
                </c:pt>
                <c:pt idx="6">
                  <c:v>0.49</c:v>
                </c:pt>
                <c:pt idx="7">
                  <c:v>0.49</c:v>
                </c:pt>
                <c:pt idx="8">
                  <c:v>0.49</c:v>
                </c:pt>
                <c:pt idx="9">
                  <c:v>0.49</c:v>
                </c:pt>
                <c:pt idx="10">
                  <c:v>0.49</c:v>
                </c:pt>
                <c:pt idx="11">
                  <c:v>0.49</c:v>
                </c:pt>
                <c:pt idx="12">
                  <c:v>0.49</c:v>
                </c:pt>
                <c:pt idx="13">
                  <c:v>0.49</c:v>
                </c:pt>
                <c:pt idx="14">
                  <c:v>0.49</c:v>
                </c:pt>
                <c:pt idx="15">
                  <c:v>0.49</c:v>
                </c:pt>
                <c:pt idx="16">
                  <c:v>0.49</c:v>
                </c:pt>
                <c:pt idx="17">
                  <c:v>0.49</c:v>
                </c:pt>
                <c:pt idx="18">
                  <c:v>0.49</c:v>
                </c:pt>
                <c:pt idx="19">
                  <c:v>0.49</c:v>
                </c:pt>
                <c:pt idx="20">
                  <c:v>0.49</c:v>
                </c:pt>
                <c:pt idx="21">
                  <c:v>0.49</c:v>
                </c:pt>
                <c:pt idx="22">
                  <c:v>0.49</c:v>
                </c:pt>
                <c:pt idx="23">
                  <c:v>0.49</c:v>
                </c:pt>
                <c:pt idx="24">
                  <c:v>0.49</c:v>
                </c:pt>
                <c:pt idx="25">
                  <c:v>0.49</c:v>
                </c:pt>
                <c:pt idx="26">
                  <c:v>0.49</c:v>
                </c:pt>
                <c:pt idx="27">
                  <c:v>0.49</c:v>
                </c:pt>
              </c:numCache>
            </c:numRef>
          </c:yVal>
          <c:smooth val="1"/>
          <c:extLst>
            <c:ext xmlns:c16="http://schemas.microsoft.com/office/drawing/2014/chart" uri="{C3380CC4-5D6E-409C-BE32-E72D297353CC}">
              <c16:uniqueId val="{00000001-132A-46A3-B546-56CD82AD14C5}"/>
            </c:ext>
          </c:extLst>
        </c:ser>
        <c:dLbls>
          <c:showLegendKey val="0"/>
          <c:showVal val="0"/>
          <c:showCatName val="0"/>
          <c:showSerName val="0"/>
          <c:showPercent val="0"/>
          <c:showBubbleSize val="0"/>
        </c:dLbls>
        <c:axId val="-262788736"/>
        <c:axId val="-262793088"/>
      </c:scatterChart>
      <c:scatterChart>
        <c:scatterStyle val="lineMarker"/>
        <c:varyColors val="0"/>
        <c:ser>
          <c:idx val="0"/>
          <c:order val="0"/>
          <c:spPr>
            <a:ln w="25400" cap="rnd">
              <a:noFill/>
              <a:round/>
            </a:ln>
            <a:effectLst/>
          </c:spPr>
          <c:marker>
            <c:symbol val="circle"/>
            <c:size val="5"/>
            <c:spPr>
              <a:solidFill>
                <a:srgbClr val="5297AC"/>
              </a:solidFill>
              <a:ln w="9525">
                <a:noFill/>
              </a:ln>
              <a:effectLst/>
            </c:spPr>
          </c:marker>
          <c:dLbls>
            <c:dLbl>
              <c:idx val="0"/>
              <c:layout>
                <c:manualLayout>
                  <c:x val="-3.5948417288263687E-2"/>
                  <c:y val="3.2900160952131545E-2"/>
                </c:manualLayout>
              </c:layout>
              <c:tx>
                <c:rich>
                  <a:bodyPr/>
                  <a:lstStyle/>
                  <a:p>
                    <a:fld id="{0829ADA8-0845-4F30-BE79-6D17A8A760C7}" type="CELLRANGE">
                      <a:rPr lang="sr-Cyrl-RS"/>
                      <a:pPr/>
                      <a:t>[CELLRANGE]</a:t>
                    </a:fld>
                    <a:endParaRPr lang="en-US"/>
                  </a:p>
                </c:rich>
              </c:tx>
              <c:showLegendKey val="0"/>
              <c:showVal val="0"/>
              <c:showCatName val="0"/>
              <c:showSerName val="0"/>
              <c:showPercent val="0"/>
              <c:showBubbleSize val="0"/>
              <c:extLst>
                <c:ext xmlns:c15="http://schemas.microsoft.com/office/drawing/2012/chart" uri="{CE6537A1-D6FC-4f65-9D91-7224C49458BB}">
                  <c15:dlblFieldTable/>
                  <c15:showDataLabelsRange val="1"/>
                </c:ext>
                <c:ext xmlns:c16="http://schemas.microsoft.com/office/drawing/2014/chart" uri="{C3380CC4-5D6E-409C-BE32-E72D297353CC}">
                  <c16:uniqueId val="{00000002-132A-46A3-B546-56CD82AD14C5}"/>
                </c:ext>
              </c:extLst>
            </c:dLbl>
            <c:dLbl>
              <c:idx val="1"/>
              <c:layout>
                <c:manualLayout>
                  <c:x val="3.5938394891456365E-3"/>
                  <c:y val="3.0580750586474564E-2"/>
                </c:manualLayout>
              </c:layout>
              <c:tx>
                <c:rich>
                  <a:bodyPr/>
                  <a:lstStyle/>
                  <a:p>
                    <a:fld id="{1884F11C-5597-4BBC-B326-BD0282A38F91}" type="CELLRANGE">
                      <a:rPr lang="sr-Cyrl-RS"/>
                      <a:pPr/>
                      <a:t>[CELLRANGE]</a:t>
                    </a:fld>
                    <a:endParaRPr lang="en-US"/>
                  </a:p>
                </c:rich>
              </c:tx>
              <c:showLegendKey val="0"/>
              <c:showVal val="0"/>
              <c:showCatName val="0"/>
              <c:showSerName val="0"/>
              <c:showPercent val="0"/>
              <c:showBubbleSize val="0"/>
              <c:extLst>
                <c:ext xmlns:c15="http://schemas.microsoft.com/office/drawing/2012/chart" uri="{CE6537A1-D6FC-4f65-9D91-7224C49458BB}">
                  <c15:dlblFieldTable/>
                  <c15:showDataLabelsRange val="1"/>
                </c:ext>
                <c:ext xmlns:c16="http://schemas.microsoft.com/office/drawing/2014/chart" uri="{C3380CC4-5D6E-409C-BE32-E72D297353CC}">
                  <c16:uniqueId val="{00000003-132A-46A3-B546-56CD82AD14C5}"/>
                </c:ext>
              </c:extLst>
            </c:dLbl>
            <c:dLbl>
              <c:idx val="2"/>
              <c:layout>
                <c:manualLayout>
                  <c:x val="1.0809429674157153E-2"/>
                  <c:y val="9.6898709679296511E-3"/>
                </c:manualLayout>
              </c:layout>
              <c:tx>
                <c:rich>
                  <a:bodyPr/>
                  <a:lstStyle/>
                  <a:p>
                    <a:fld id="{DB611478-E70E-4D8C-859E-ADAE351B2F06}" type="CELLRANGE">
                      <a:rPr lang="sr-Cyrl-RS"/>
                      <a:pPr/>
                      <a:t>[CELLRANGE]</a:t>
                    </a:fld>
                    <a:endParaRPr lang="en-US"/>
                  </a:p>
                </c:rich>
              </c:tx>
              <c:showLegendKey val="0"/>
              <c:showVal val="0"/>
              <c:showCatName val="0"/>
              <c:showSerName val="0"/>
              <c:showPercent val="0"/>
              <c:showBubbleSize val="0"/>
              <c:extLst>
                <c:ext xmlns:c15="http://schemas.microsoft.com/office/drawing/2012/chart" uri="{CE6537A1-D6FC-4f65-9D91-7224C49458BB}">
                  <c15:dlblFieldTable/>
                  <c15:showDataLabelsRange val="1"/>
                </c:ext>
                <c:ext xmlns:c16="http://schemas.microsoft.com/office/drawing/2014/chart" uri="{C3380CC4-5D6E-409C-BE32-E72D297353CC}">
                  <c16:uniqueId val="{00000004-132A-46A3-B546-56CD82AD14C5}"/>
                </c:ext>
              </c:extLst>
            </c:dLbl>
            <c:dLbl>
              <c:idx val="3"/>
              <c:layout>
                <c:manualLayout>
                  <c:x val="6.3333549712019637E-3"/>
                  <c:y val="1.2874617493600062E-2"/>
                </c:manualLayout>
              </c:layout>
              <c:tx>
                <c:rich>
                  <a:bodyPr/>
                  <a:lstStyle/>
                  <a:p>
                    <a:fld id="{BD228FD7-06ED-43FE-93BC-243AC85449B3}" type="CELLRANGE">
                      <a:rPr lang="sr-Cyrl-RS"/>
                      <a:pPr/>
                      <a:t>[CELLRANGE]</a:t>
                    </a:fld>
                    <a:endParaRPr lang="en-US"/>
                  </a:p>
                </c:rich>
              </c:tx>
              <c:showLegendKey val="0"/>
              <c:showVal val="0"/>
              <c:showCatName val="0"/>
              <c:showSerName val="0"/>
              <c:showPercent val="0"/>
              <c:showBubbleSize val="0"/>
              <c:extLst>
                <c:ext xmlns:c15="http://schemas.microsoft.com/office/drawing/2012/chart" uri="{CE6537A1-D6FC-4f65-9D91-7224C49458BB}">
                  <c15:dlblFieldTable/>
                  <c15:showDataLabelsRange val="1"/>
                </c:ext>
                <c:ext xmlns:c16="http://schemas.microsoft.com/office/drawing/2014/chart" uri="{C3380CC4-5D6E-409C-BE32-E72D297353CC}">
                  <c16:uniqueId val="{00000005-132A-46A3-B546-56CD82AD14C5}"/>
                </c:ext>
              </c:extLst>
            </c:dLbl>
            <c:dLbl>
              <c:idx val="4"/>
              <c:layout>
                <c:manualLayout>
                  <c:x val="-1.9355619600312755E-2"/>
                  <c:y val="1.3611227561390301E-2"/>
                </c:manualLayout>
              </c:layout>
              <c:tx>
                <c:rich>
                  <a:bodyPr/>
                  <a:lstStyle/>
                  <a:p>
                    <a:fld id="{D04F2B39-C3B3-4C3E-AD6E-43E42362C909}" type="CELLRANGE">
                      <a:rPr lang="sr-Cyrl-RS"/>
                      <a:pPr/>
                      <a:t>[CELLRANGE]</a:t>
                    </a:fld>
                    <a:endParaRPr lang="en-US"/>
                  </a:p>
                </c:rich>
              </c:tx>
              <c:showLegendKey val="0"/>
              <c:showVal val="0"/>
              <c:showCatName val="0"/>
              <c:showSerName val="0"/>
              <c:showPercent val="0"/>
              <c:showBubbleSize val="0"/>
              <c:extLst>
                <c:ext xmlns:c15="http://schemas.microsoft.com/office/drawing/2012/chart" uri="{CE6537A1-D6FC-4f65-9D91-7224C49458BB}">
                  <c15:dlblFieldTable/>
                  <c15:showDataLabelsRange val="1"/>
                </c:ext>
                <c:ext xmlns:c16="http://schemas.microsoft.com/office/drawing/2014/chart" uri="{C3380CC4-5D6E-409C-BE32-E72D297353CC}">
                  <c16:uniqueId val="{00000006-132A-46A3-B546-56CD82AD14C5}"/>
                </c:ext>
              </c:extLst>
            </c:dLbl>
            <c:dLbl>
              <c:idx val="5"/>
              <c:layout>
                <c:manualLayout>
                  <c:x val="-0.12403553938807088"/>
                  <c:y val="-3.6321218921212026E-2"/>
                </c:manualLayout>
              </c:layout>
              <c:tx>
                <c:rich>
                  <a:bodyPr/>
                  <a:lstStyle/>
                  <a:p>
                    <a:fld id="{447F1A16-7BF7-431A-A901-8C9311AF4FDB}" type="CELLRANGE">
                      <a:rPr lang="sr-Cyrl-RS"/>
                      <a:pPr/>
                      <a:t>[CELLRANGE]</a:t>
                    </a:fld>
                    <a:endParaRPr lang="en-US"/>
                  </a:p>
                </c:rich>
              </c:tx>
              <c:showLegendKey val="0"/>
              <c:showVal val="0"/>
              <c:showCatName val="0"/>
              <c:showSerName val="0"/>
              <c:showPercent val="0"/>
              <c:showBubbleSize val="0"/>
              <c:extLst>
                <c:ext xmlns:c15="http://schemas.microsoft.com/office/drawing/2012/chart" uri="{CE6537A1-D6FC-4f65-9D91-7224C49458BB}">
                  <c15:dlblFieldTable/>
                  <c15:showDataLabelsRange val="1"/>
                </c:ext>
                <c:ext xmlns:c16="http://schemas.microsoft.com/office/drawing/2014/chart" uri="{C3380CC4-5D6E-409C-BE32-E72D297353CC}">
                  <c16:uniqueId val="{00000007-132A-46A3-B546-56CD82AD14C5}"/>
                </c:ext>
              </c:extLst>
            </c:dLbl>
            <c:dLbl>
              <c:idx val="6"/>
              <c:layout>
                <c:manualLayout>
                  <c:x val="-7.9182764181897319E-2"/>
                  <c:y val="3.5897549947903118E-2"/>
                </c:manualLayout>
              </c:layout>
              <c:tx>
                <c:rich>
                  <a:bodyPr/>
                  <a:lstStyle/>
                  <a:p>
                    <a:fld id="{5EDAA3BD-F77B-46B1-874E-1245F4202C0F}" type="CELLRANGE">
                      <a:rPr lang="sr-Cyrl-RS"/>
                      <a:pPr/>
                      <a:t>[CELLRANGE]</a:t>
                    </a:fld>
                    <a:endParaRPr lang="en-US"/>
                  </a:p>
                </c:rich>
              </c:tx>
              <c:showLegendKey val="0"/>
              <c:showVal val="0"/>
              <c:showCatName val="0"/>
              <c:showSerName val="0"/>
              <c:showPercent val="0"/>
              <c:showBubbleSize val="0"/>
              <c:extLst>
                <c:ext xmlns:c15="http://schemas.microsoft.com/office/drawing/2012/chart" uri="{CE6537A1-D6FC-4f65-9D91-7224C49458BB}">
                  <c15:dlblFieldTable/>
                  <c15:showDataLabelsRange val="1"/>
                </c:ext>
                <c:ext xmlns:c16="http://schemas.microsoft.com/office/drawing/2014/chart" uri="{C3380CC4-5D6E-409C-BE32-E72D297353CC}">
                  <c16:uniqueId val="{00000008-132A-46A3-B546-56CD82AD14C5}"/>
                </c:ext>
              </c:extLst>
            </c:dLbl>
            <c:dLbl>
              <c:idx val="7"/>
              <c:layout>
                <c:manualLayout>
                  <c:x val="-7.9589466800439032E-2"/>
                  <c:y val="2.3287019631624301E-2"/>
                </c:manualLayout>
              </c:layout>
              <c:tx>
                <c:rich>
                  <a:bodyPr/>
                  <a:lstStyle/>
                  <a:p>
                    <a:fld id="{46FA9162-0627-48EF-8BBF-DD3385C3A44B}" type="CELLRANGE">
                      <a:rPr lang="sr-Cyrl-RS"/>
                      <a:pPr/>
                      <a:t>[CELLRANGE]</a:t>
                    </a:fld>
                    <a:endParaRPr lang="en-US"/>
                  </a:p>
                </c:rich>
              </c:tx>
              <c:showLegendKey val="0"/>
              <c:showVal val="0"/>
              <c:showCatName val="0"/>
              <c:showSerName val="0"/>
              <c:showPercent val="0"/>
              <c:showBubbleSize val="0"/>
              <c:extLst>
                <c:ext xmlns:c15="http://schemas.microsoft.com/office/drawing/2012/chart" uri="{CE6537A1-D6FC-4f65-9D91-7224C49458BB}">
                  <c15:dlblFieldTable/>
                  <c15:showDataLabelsRange val="1"/>
                </c:ext>
                <c:ext xmlns:c16="http://schemas.microsoft.com/office/drawing/2014/chart" uri="{C3380CC4-5D6E-409C-BE32-E72D297353CC}">
                  <c16:uniqueId val="{00000009-132A-46A3-B546-56CD82AD14C5}"/>
                </c:ext>
              </c:extLst>
            </c:dLbl>
            <c:dLbl>
              <c:idx val="8"/>
              <c:layout>
                <c:manualLayout>
                  <c:x val="1.282501062222628E-2"/>
                  <c:y val="2.0553185351589367E-2"/>
                </c:manualLayout>
              </c:layout>
              <c:tx>
                <c:rich>
                  <a:bodyPr/>
                  <a:lstStyle/>
                  <a:p>
                    <a:fld id="{671E2E54-EE55-486B-9837-F1D41A6E7D04}" type="CELLRANGE">
                      <a:rPr lang="sr-Cyrl-RS"/>
                      <a:pPr/>
                      <a:t>[CELLRANGE]</a:t>
                    </a:fld>
                    <a:endParaRPr lang="en-US"/>
                  </a:p>
                </c:rich>
              </c:tx>
              <c:showLegendKey val="0"/>
              <c:showVal val="0"/>
              <c:showCatName val="0"/>
              <c:showSerName val="0"/>
              <c:showPercent val="0"/>
              <c:showBubbleSize val="0"/>
              <c:extLst>
                <c:ext xmlns:c15="http://schemas.microsoft.com/office/drawing/2012/chart" uri="{CE6537A1-D6FC-4f65-9D91-7224C49458BB}">
                  <c15:dlblFieldTable/>
                  <c15:showDataLabelsRange val="1"/>
                </c:ext>
                <c:ext xmlns:c16="http://schemas.microsoft.com/office/drawing/2014/chart" uri="{C3380CC4-5D6E-409C-BE32-E72D297353CC}">
                  <c16:uniqueId val="{0000000A-132A-46A3-B546-56CD82AD14C5}"/>
                </c:ext>
              </c:extLst>
            </c:dLbl>
            <c:dLbl>
              <c:idx val="9"/>
              <c:layout>
                <c:manualLayout>
                  <c:x val="1.995639888890369E-2"/>
                  <c:y val="1.2672324895787668E-2"/>
                </c:manualLayout>
              </c:layout>
              <c:tx>
                <c:rich>
                  <a:bodyPr/>
                  <a:lstStyle/>
                  <a:p>
                    <a:fld id="{46D78CAD-6B7D-4E61-BAD1-F27EF59D0057}" type="CELLRANGE">
                      <a:rPr lang="sr-Cyrl-RS"/>
                      <a:pPr/>
                      <a:t>[CELLRANGE]</a:t>
                    </a:fld>
                    <a:endParaRPr lang="en-US"/>
                  </a:p>
                </c:rich>
              </c:tx>
              <c:showLegendKey val="0"/>
              <c:showVal val="0"/>
              <c:showCatName val="0"/>
              <c:showSerName val="0"/>
              <c:showPercent val="0"/>
              <c:showBubbleSize val="0"/>
              <c:extLst>
                <c:ext xmlns:c15="http://schemas.microsoft.com/office/drawing/2012/chart" uri="{CE6537A1-D6FC-4f65-9D91-7224C49458BB}">
                  <c15:dlblFieldTable/>
                  <c15:showDataLabelsRange val="1"/>
                </c:ext>
                <c:ext xmlns:c16="http://schemas.microsoft.com/office/drawing/2014/chart" uri="{C3380CC4-5D6E-409C-BE32-E72D297353CC}">
                  <c16:uniqueId val="{0000000B-132A-46A3-B546-56CD82AD14C5}"/>
                </c:ext>
              </c:extLst>
            </c:dLbl>
            <c:dLbl>
              <c:idx val="10"/>
              <c:layout>
                <c:manualLayout>
                  <c:x val="2.0123524793484466E-2"/>
                  <c:y val="-2.1463880783247454E-2"/>
                </c:manualLayout>
              </c:layout>
              <c:tx>
                <c:rich>
                  <a:bodyPr/>
                  <a:lstStyle/>
                  <a:p>
                    <a:fld id="{F08242D6-83A1-4814-9B5F-74F0D0EA14C8}" type="CELLRANGE">
                      <a:rPr lang="sr-Cyrl-RS"/>
                      <a:pPr/>
                      <a:t>[CELLRANGE]</a:t>
                    </a:fld>
                    <a:endParaRPr lang="en-US"/>
                  </a:p>
                </c:rich>
              </c:tx>
              <c:showLegendKey val="0"/>
              <c:showVal val="0"/>
              <c:showCatName val="0"/>
              <c:showSerName val="0"/>
              <c:showPercent val="0"/>
              <c:showBubbleSize val="0"/>
              <c:extLst>
                <c:ext xmlns:c15="http://schemas.microsoft.com/office/drawing/2012/chart" uri="{CE6537A1-D6FC-4f65-9D91-7224C49458BB}">
                  <c15:dlblFieldTable/>
                  <c15:showDataLabelsRange val="1"/>
                </c:ext>
                <c:ext xmlns:c16="http://schemas.microsoft.com/office/drawing/2014/chart" uri="{C3380CC4-5D6E-409C-BE32-E72D297353CC}">
                  <c16:uniqueId val="{0000000C-132A-46A3-B546-56CD82AD14C5}"/>
                </c:ext>
              </c:extLst>
            </c:dLbl>
            <c:dLbl>
              <c:idx val="11"/>
              <c:layout>
                <c:manualLayout>
                  <c:x val="-2.2525507950891265E-2"/>
                  <c:y val="3.6893227634781776E-2"/>
                </c:manualLayout>
              </c:layout>
              <c:tx>
                <c:rich>
                  <a:bodyPr/>
                  <a:lstStyle/>
                  <a:p>
                    <a:fld id="{E75C2FF2-3B7F-4617-A327-8D35B053C2D0}" type="CELLRANGE">
                      <a:rPr lang="sr-Cyrl-RS"/>
                      <a:pPr/>
                      <a:t>[CELLRANGE]</a:t>
                    </a:fld>
                    <a:endParaRPr lang="en-US"/>
                  </a:p>
                </c:rich>
              </c:tx>
              <c:showLegendKey val="0"/>
              <c:showVal val="0"/>
              <c:showCatName val="0"/>
              <c:showSerName val="0"/>
              <c:showPercent val="0"/>
              <c:showBubbleSize val="0"/>
              <c:extLst>
                <c:ext xmlns:c15="http://schemas.microsoft.com/office/drawing/2012/chart" uri="{CE6537A1-D6FC-4f65-9D91-7224C49458BB}">
                  <c15:dlblFieldTable/>
                  <c15:showDataLabelsRange val="1"/>
                </c:ext>
                <c:ext xmlns:c16="http://schemas.microsoft.com/office/drawing/2014/chart" uri="{C3380CC4-5D6E-409C-BE32-E72D297353CC}">
                  <c16:uniqueId val="{0000000D-132A-46A3-B546-56CD82AD14C5}"/>
                </c:ext>
              </c:extLst>
            </c:dLbl>
            <c:dLbl>
              <c:idx val="12"/>
              <c:layout>
                <c:manualLayout>
                  <c:x val="-3.1530089533269308E-2"/>
                  <c:y val="-3.3033382568557867E-2"/>
                </c:manualLayout>
              </c:layout>
              <c:tx>
                <c:rich>
                  <a:bodyPr/>
                  <a:lstStyle/>
                  <a:p>
                    <a:fld id="{9D3B9787-1EED-4F68-846A-EDDF4648C5C7}" type="CELLRANGE">
                      <a:rPr lang="sr-Cyrl-RS"/>
                      <a:pPr/>
                      <a:t>[CELLRANGE]</a:t>
                    </a:fld>
                    <a:endParaRPr lang="en-US"/>
                  </a:p>
                </c:rich>
              </c:tx>
              <c:showLegendKey val="0"/>
              <c:showVal val="0"/>
              <c:showCatName val="0"/>
              <c:showSerName val="0"/>
              <c:showPercent val="0"/>
              <c:showBubbleSize val="0"/>
              <c:extLst>
                <c:ext xmlns:c15="http://schemas.microsoft.com/office/drawing/2012/chart" uri="{CE6537A1-D6FC-4f65-9D91-7224C49458BB}">
                  <c15:dlblFieldTable/>
                  <c15:showDataLabelsRange val="1"/>
                </c:ext>
                <c:ext xmlns:c16="http://schemas.microsoft.com/office/drawing/2014/chart" uri="{C3380CC4-5D6E-409C-BE32-E72D297353CC}">
                  <c16:uniqueId val="{0000000E-132A-46A3-B546-56CD82AD14C5}"/>
                </c:ext>
              </c:extLst>
            </c:dLbl>
            <c:dLbl>
              <c:idx val="13"/>
              <c:layout>
                <c:manualLayout>
                  <c:x val="-1.8455823340572185E-2"/>
                  <c:y val="3.5582243510810352E-2"/>
                </c:manualLayout>
              </c:layout>
              <c:tx>
                <c:rich>
                  <a:bodyPr/>
                  <a:lstStyle/>
                  <a:p>
                    <a:fld id="{8AEDF687-CA40-4789-A370-5141DA87A9CF}" type="CELLRANGE">
                      <a:rPr lang="sr-Cyrl-RS"/>
                      <a:pPr/>
                      <a:t>[CELLRANGE]</a:t>
                    </a:fld>
                    <a:endParaRPr lang="en-US"/>
                  </a:p>
                </c:rich>
              </c:tx>
              <c:showLegendKey val="0"/>
              <c:showVal val="0"/>
              <c:showCatName val="0"/>
              <c:showSerName val="0"/>
              <c:showPercent val="0"/>
              <c:showBubbleSize val="0"/>
              <c:extLst>
                <c:ext xmlns:c15="http://schemas.microsoft.com/office/drawing/2012/chart" uri="{CE6537A1-D6FC-4f65-9D91-7224C49458BB}">
                  <c15:dlblFieldTable/>
                  <c15:showDataLabelsRange val="1"/>
                </c:ext>
                <c:ext xmlns:c16="http://schemas.microsoft.com/office/drawing/2014/chart" uri="{C3380CC4-5D6E-409C-BE32-E72D297353CC}">
                  <c16:uniqueId val="{0000000F-132A-46A3-B546-56CD82AD14C5}"/>
                </c:ext>
              </c:extLst>
            </c:dLbl>
            <c:dLbl>
              <c:idx val="14"/>
              <c:layout>
                <c:manualLayout>
                  <c:x val="-2.3093405389137327E-2"/>
                  <c:y val="-7.6200590022984932E-2"/>
                </c:manualLayout>
              </c:layout>
              <c:tx>
                <c:rich>
                  <a:bodyPr/>
                  <a:lstStyle/>
                  <a:p>
                    <a:fld id="{4E082FE6-44DF-403E-B888-FCA4B4CD8C88}" type="CELLRANGE">
                      <a:rPr lang="sr-Cyrl-RS"/>
                      <a:pPr/>
                      <a:t>[CELLRANGE]</a:t>
                    </a:fld>
                    <a:endParaRPr lang="en-US"/>
                  </a:p>
                </c:rich>
              </c:tx>
              <c:showLegendKey val="0"/>
              <c:showVal val="0"/>
              <c:showCatName val="0"/>
              <c:showSerName val="0"/>
              <c:showPercent val="0"/>
              <c:showBubbleSize val="0"/>
              <c:extLst>
                <c:ext xmlns:c15="http://schemas.microsoft.com/office/drawing/2012/chart" uri="{CE6537A1-D6FC-4f65-9D91-7224C49458BB}">
                  <c15:dlblFieldTable/>
                  <c15:showDataLabelsRange val="1"/>
                </c:ext>
                <c:ext xmlns:c16="http://schemas.microsoft.com/office/drawing/2014/chart" uri="{C3380CC4-5D6E-409C-BE32-E72D297353CC}">
                  <c16:uniqueId val="{00000010-132A-46A3-B546-56CD82AD14C5}"/>
                </c:ext>
              </c:extLst>
            </c:dLbl>
            <c:dLbl>
              <c:idx val="15"/>
              <c:layout>
                <c:manualLayout>
                  <c:x val="-4.3539196066473641E-2"/>
                  <c:y val="2.5331503598749604E-2"/>
                </c:manualLayout>
              </c:layout>
              <c:tx>
                <c:rich>
                  <a:bodyPr/>
                  <a:lstStyle/>
                  <a:p>
                    <a:fld id="{C99ED8AC-87B5-452C-A6C9-E70C0F881FD8}" type="CELLRANGE">
                      <a:rPr lang="sr-Cyrl-RS"/>
                      <a:pPr/>
                      <a:t>[CELLRANGE]</a:t>
                    </a:fld>
                    <a:endParaRPr lang="en-US"/>
                  </a:p>
                </c:rich>
              </c:tx>
              <c:showLegendKey val="0"/>
              <c:showVal val="0"/>
              <c:showCatName val="0"/>
              <c:showSerName val="0"/>
              <c:showPercent val="0"/>
              <c:showBubbleSize val="0"/>
              <c:extLst>
                <c:ext xmlns:c15="http://schemas.microsoft.com/office/drawing/2012/chart" uri="{CE6537A1-D6FC-4f65-9D91-7224C49458BB}">
                  <c15:dlblFieldTable/>
                  <c15:showDataLabelsRange val="1"/>
                </c:ext>
                <c:ext xmlns:c16="http://schemas.microsoft.com/office/drawing/2014/chart" uri="{C3380CC4-5D6E-409C-BE32-E72D297353CC}">
                  <c16:uniqueId val="{00000011-132A-46A3-B546-56CD82AD14C5}"/>
                </c:ext>
              </c:extLst>
            </c:dLbl>
            <c:dLbl>
              <c:idx val="16"/>
              <c:layout>
                <c:manualLayout>
                  <c:x val="-9.2881981360140572E-2"/>
                  <c:y val="-2.1640477400429452E-2"/>
                </c:manualLayout>
              </c:layout>
              <c:tx>
                <c:rich>
                  <a:bodyPr/>
                  <a:lstStyle/>
                  <a:p>
                    <a:fld id="{9C08B7FC-896C-447E-8FD2-38462EC50DD2}" type="CELLRANGE">
                      <a:rPr lang="sr-Cyrl-RS"/>
                      <a:pPr/>
                      <a:t>[CELLRANGE]</a:t>
                    </a:fld>
                    <a:endParaRPr lang="en-US"/>
                  </a:p>
                </c:rich>
              </c:tx>
              <c:showLegendKey val="0"/>
              <c:showVal val="0"/>
              <c:showCatName val="0"/>
              <c:showSerName val="0"/>
              <c:showPercent val="0"/>
              <c:showBubbleSize val="0"/>
              <c:extLst>
                <c:ext xmlns:c15="http://schemas.microsoft.com/office/drawing/2012/chart" uri="{CE6537A1-D6FC-4f65-9D91-7224C49458BB}">
                  <c15:dlblFieldTable/>
                  <c15:showDataLabelsRange val="1"/>
                </c:ext>
                <c:ext xmlns:c16="http://schemas.microsoft.com/office/drawing/2014/chart" uri="{C3380CC4-5D6E-409C-BE32-E72D297353CC}">
                  <c16:uniqueId val="{00000012-132A-46A3-B546-56CD82AD14C5}"/>
                </c:ext>
              </c:extLst>
            </c:dLbl>
            <c:dLbl>
              <c:idx val="17"/>
              <c:layout>
                <c:manualLayout>
                  <c:x val="5.809617657947041E-3"/>
                  <c:y val="6.1220645582816632E-2"/>
                </c:manualLayout>
              </c:layout>
              <c:tx>
                <c:rich>
                  <a:bodyPr/>
                  <a:lstStyle/>
                  <a:p>
                    <a:fld id="{881D3C24-6443-4AF3-AE5B-D76CED27D3BC}" type="CELLRANGE">
                      <a:rPr lang="sr-Cyrl-RS"/>
                      <a:pPr/>
                      <a:t>[CELLRANGE]</a:t>
                    </a:fld>
                    <a:endParaRPr lang="en-US"/>
                  </a:p>
                </c:rich>
              </c:tx>
              <c:showLegendKey val="0"/>
              <c:showVal val="0"/>
              <c:showCatName val="0"/>
              <c:showSerName val="0"/>
              <c:showPercent val="0"/>
              <c:showBubbleSize val="0"/>
              <c:extLst>
                <c:ext xmlns:c15="http://schemas.microsoft.com/office/drawing/2012/chart" uri="{CE6537A1-D6FC-4f65-9D91-7224C49458BB}">
                  <c15:dlblFieldTable/>
                  <c15:showDataLabelsRange val="1"/>
                </c:ext>
                <c:ext xmlns:c16="http://schemas.microsoft.com/office/drawing/2014/chart" uri="{C3380CC4-5D6E-409C-BE32-E72D297353CC}">
                  <c16:uniqueId val="{00000013-132A-46A3-B546-56CD82AD14C5}"/>
                </c:ext>
              </c:extLst>
            </c:dLbl>
            <c:dLbl>
              <c:idx val="18"/>
              <c:layout>
                <c:manualLayout>
                  <c:x val="-3.4070660879404011E-2"/>
                  <c:y val="-3.139376035675949E-2"/>
                </c:manualLayout>
              </c:layout>
              <c:tx>
                <c:rich>
                  <a:bodyPr/>
                  <a:lstStyle/>
                  <a:p>
                    <a:fld id="{668D2095-123F-48F0-9495-F5A352442D50}" type="CELLRANGE">
                      <a:rPr lang="sr-Cyrl-RS"/>
                      <a:pPr/>
                      <a:t>[CELLRANGE]</a:t>
                    </a:fld>
                    <a:endParaRPr lang="en-US"/>
                  </a:p>
                </c:rich>
              </c:tx>
              <c:showLegendKey val="0"/>
              <c:showVal val="0"/>
              <c:showCatName val="0"/>
              <c:showSerName val="0"/>
              <c:showPercent val="0"/>
              <c:showBubbleSize val="0"/>
              <c:extLst>
                <c:ext xmlns:c15="http://schemas.microsoft.com/office/drawing/2012/chart" uri="{CE6537A1-D6FC-4f65-9D91-7224C49458BB}">
                  <c15:dlblFieldTable/>
                  <c15:showDataLabelsRange val="1"/>
                </c:ext>
                <c:ext xmlns:c16="http://schemas.microsoft.com/office/drawing/2014/chart" uri="{C3380CC4-5D6E-409C-BE32-E72D297353CC}">
                  <c16:uniqueId val="{00000014-132A-46A3-B546-56CD82AD14C5}"/>
                </c:ext>
              </c:extLst>
            </c:dLbl>
            <c:dLbl>
              <c:idx val="19"/>
              <c:layout>
                <c:manualLayout>
                  <c:x val="9.8022495515059961E-3"/>
                  <c:y val="3.8524846827577837E-3"/>
                </c:manualLayout>
              </c:layout>
              <c:tx>
                <c:rich>
                  <a:bodyPr/>
                  <a:lstStyle/>
                  <a:p>
                    <a:fld id="{D20850FD-F433-4C07-A495-1AA6C2EF06EA}" type="CELLRANGE">
                      <a:rPr lang="sr-Cyrl-RS"/>
                      <a:pPr/>
                      <a:t>[CELLRANGE]</a:t>
                    </a:fld>
                    <a:endParaRPr lang="en-US"/>
                  </a:p>
                </c:rich>
              </c:tx>
              <c:showLegendKey val="0"/>
              <c:showVal val="0"/>
              <c:showCatName val="0"/>
              <c:showSerName val="0"/>
              <c:showPercent val="0"/>
              <c:showBubbleSize val="0"/>
              <c:extLst>
                <c:ext xmlns:c15="http://schemas.microsoft.com/office/drawing/2012/chart" uri="{CE6537A1-D6FC-4f65-9D91-7224C49458BB}">
                  <c15:dlblFieldTable/>
                  <c15:showDataLabelsRange val="1"/>
                </c:ext>
                <c:ext xmlns:c16="http://schemas.microsoft.com/office/drawing/2014/chart" uri="{C3380CC4-5D6E-409C-BE32-E72D297353CC}">
                  <c16:uniqueId val="{00000015-132A-46A3-B546-56CD82AD14C5}"/>
                </c:ext>
              </c:extLst>
            </c:dLbl>
            <c:dLbl>
              <c:idx val="20"/>
              <c:layout>
                <c:manualLayout>
                  <c:x val="1.758140756302521E-2"/>
                  <c:y val="6.2059072984831237E-3"/>
                </c:manualLayout>
              </c:layout>
              <c:tx>
                <c:rich>
                  <a:bodyPr/>
                  <a:lstStyle/>
                  <a:p>
                    <a:fld id="{D759B8B7-EA64-47E8-A0E1-1F7AD856D1F8}" type="CELLRANGE">
                      <a:rPr lang="sr-Cyrl-RS"/>
                      <a:pPr/>
                      <a:t>[CELLRANGE]</a:t>
                    </a:fld>
                    <a:endParaRPr lang="en-US"/>
                  </a:p>
                </c:rich>
              </c:tx>
              <c:showLegendKey val="0"/>
              <c:showVal val="0"/>
              <c:showCatName val="0"/>
              <c:showSerName val="0"/>
              <c:showPercent val="0"/>
              <c:showBubbleSize val="0"/>
              <c:extLst>
                <c:ext xmlns:c15="http://schemas.microsoft.com/office/drawing/2012/chart" uri="{CE6537A1-D6FC-4f65-9D91-7224C49458BB}">
                  <c15:dlblFieldTable/>
                  <c15:showDataLabelsRange val="1"/>
                </c:ext>
                <c:ext xmlns:c16="http://schemas.microsoft.com/office/drawing/2014/chart" uri="{C3380CC4-5D6E-409C-BE32-E72D297353CC}">
                  <c16:uniqueId val="{00000016-132A-46A3-B546-56CD82AD14C5}"/>
                </c:ext>
              </c:extLst>
            </c:dLbl>
            <c:dLbl>
              <c:idx val="21"/>
              <c:layout>
                <c:manualLayout>
                  <c:x val="-4.5538664904163979E-2"/>
                  <c:y val="-3.5392385611100745E-2"/>
                </c:manualLayout>
              </c:layout>
              <c:tx>
                <c:rich>
                  <a:bodyPr/>
                  <a:lstStyle/>
                  <a:p>
                    <a:fld id="{AB11C73B-DD17-4AE3-9FCF-641EB7445275}" type="CELLRANGE">
                      <a:rPr lang="sr-Cyrl-RS"/>
                      <a:pPr/>
                      <a:t>[CELLRANGE]</a:t>
                    </a:fld>
                    <a:endParaRPr lang="en-US"/>
                  </a:p>
                </c:rich>
              </c:tx>
              <c:showLegendKey val="0"/>
              <c:showVal val="0"/>
              <c:showCatName val="0"/>
              <c:showSerName val="0"/>
              <c:showPercent val="0"/>
              <c:showBubbleSize val="0"/>
              <c:extLst>
                <c:ext xmlns:c15="http://schemas.microsoft.com/office/drawing/2012/chart" uri="{CE6537A1-D6FC-4f65-9D91-7224C49458BB}">
                  <c15:dlblFieldTable/>
                  <c15:showDataLabelsRange val="1"/>
                </c:ext>
                <c:ext xmlns:c16="http://schemas.microsoft.com/office/drawing/2014/chart" uri="{C3380CC4-5D6E-409C-BE32-E72D297353CC}">
                  <c16:uniqueId val="{00000017-132A-46A3-B546-56CD82AD14C5}"/>
                </c:ext>
              </c:extLst>
            </c:dLbl>
            <c:dLbl>
              <c:idx val="22"/>
              <c:layout>
                <c:manualLayout>
                  <c:x val="-0.11300824402794826"/>
                  <c:y val="-2.3395618242742926E-2"/>
                </c:manualLayout>
              </c:layout>
              <c:tx>
                <c:rich>
                  <a:bodyPr/>
                  <a:lstStyle/>
                  <a:p>
                    <a:fld id="{01AA4F0E-F632-4A99-9AFE-F3573492C6BB}" type="CELLRANGE">
                      <a:rPr lang="sr-Cyrl-RS">
                        <a:solidFill>
                          <a:schemeClr val="tx1">
                            <a:lumMod val="50000"/>
                            <a:lumOff val="50000"/>
                          </a:schemeClr>
                        </a:solidFill>
                      </a:rPr>
                      <a:pPr/>
                      <a:t>[CELLRANGE]</a:t>
                    </a:fld>
                    <a:endParaRPr lang="en-US"/>
                  </a:p>
                </c:rich>
              </c:tx>
              <c:showLegendKey val="0"/>
              <c:showVal val="0"/>
              <c:showCatName val="0"/>
              <c:showSerName val="0"/>
              <c:showPercent val="0"/>
              <c:showBubbleSize val="0"/>
              <c:extLst>
                <c:ext xmlns:c15="http://schemas.microsoft.com/office/drawing/2012/chart" uri="{CE6537A1-D6FC-4f65-9D91-7224C49458BB}">
                  <c15:dlblFieldTable/>
                  <c15:showDataLabelsRange val="1"/>
                </c:ext>
                <c:ext xmlns:c16="http://schemas.microsoft.com/office/drawing/2014/chart" uri="{C3380CC4-5D6E-409C-BE32-E72D297353CC}">
                  <c16:uniqueId val="{00000018-132A-46A3-B546-56CD82AD14C5}"/>
                </c:ext>
              </c:extLst>
            </c:dLbl>
            <c:dLbl>
              <c:idx val="23"/>
              <c:layout>
                <c:manualLayout>
                  <c:x val="9.9795705097595975E-3"/>
                  <c:y val="1.4204692050936149E-2"/>
                </c:manualLayout>
              </c:layout>
              <c:tx>
                <c:rich>
                  <a:bodyPr/>
                  <a:lstStyle/>
                  <a:p>
                    <a:fld id="{9E754691-3CF2-4FE7-BA9A-1C76531E36EE}" type="CELLRANGE">
                      <a:rPr lang="sr-Cyrl-RS">
                        <a:solidFill>
                          <a:schemeClr val="tx1">
                            <a:lumMod val="50000"/>
                            <a:lumOff val="50000"/>
                          </a:schemeClr>
                        </a:solidFill>
                      </a:rPr>
                      <a:pPr/>
                      <a:t>[CELLRANGE]</a:t>
                    </a:fld>
                    <a:endParaRPr lang="en-US"/>
                  </a:p>
                </c:rich>
              </c:tx>
              <c:showLegendKey val="0"/>
              <c:showVal val="0"/>
              <c:showCatName val="0"/>
              <c:showSerName val="0"/>
              <c:showPercent val="0"/>
              <c:showBubbleSize val="0"/>
              <c:extLst>
                <c:ext xmlns:c15="http://schemas.microsoft.com/office/drawing/2012/chart" uri="{CE6537A1-D6FC-4f65-9D91-7224C49458BB}">
                  <c15:dlblFieldTable/>
                  <c15:showDataLabelsRange val="1"/>
                </c:ext>
                <c:ext xmlns:c16="http://schemas.microsoft.com/office/drawing/2014/chart" uri="{C3380CC4-5D6E-409C-BE32-E72D297353CC}">
                  <c16:uniqueId val="{00000019-132A-46A3-B546-56CD82AD14C5}"/>
                </c:ext>
              </c:extLst>
            </c:dLbl>
            <c:dLbl>
              <c:idx val="24"/>
              <c:layout>
                <c:manualLayout>
                  <c:x val="-8.3391411339816826E-2"/>
                  <c:y val="-3.411424204086759E-2"/>
                </c:manualLayout>
              </c:layout>
              <c:tx>
                <c:rich>
                  <a:bodyPr rot="0" spcFirstLastPara="1" vertOverflow="ellipsis" vert="horz" wrap="square" lIns="38100" tIns="19050" rIns="38100" bIns="19050" anchor="ctr" anchorCtr="1">
                    <a:noAutofit/>
                  </a:bodyPr>
                  <a:lstStyle/>
                  <a:p>
                    <a:pPr>
                      <a:defRPr sz="800" b="0" i="0" u="none" strike="noStrike" kern="1200" baseline="0">
                        <a:solidFill>
                          <a:schemeClr val="tx1">
                            <a:lumMod val="50000"/>
                            <a:lumOff val="50000"/>
                          </a:schemeClr>
                        </a:solidFill>
                        <a:latin typeface="Times New Roman" panose="02020603050405020304" pitchFamily="18" charset="0"/>
                        <a:ea typeface="+mn-ea"/>
                        <a:cs typeface="+mn-cs"/>
                      </a:defRPr>
                    </a:pPr>
                    <a:r>
                      <a:rPr lang="sr-Cyrl-RS" sz="800" baseline="0">
                        <a:solidFill>
                          <a:schemeClr val="tx1">
                            <a:lumMod val="50000"/>
                            <a:lumOff val="50000"/>
                          </a:schemeClr>
                        </a:solidFill>
                        <a:latin typeface="Times New Roman" panose="02020603050405020304" pitchFamily="18" charset="0"/>
                      </a:rPr>
                      <a:t>Кипар</a:t>
                    </a:r>
                  </a:p>
                </c:rich>
              </c:tx>
              <c:spPr>
                <a:noFill/>
                <a:ln>
                  <a:noFill/>
                </a:ln>
                <a:effectLst/>
              </c:spPr>
              <c:txPr>
                <a:bodyPr rot="0" spcFirstLastPara="1" vertOverflow="ellipsis" vert="horz" wrap="square" lIns="38100" tIns="19050" rIns="38100" bIns="19050" anchor="ctr" anchorCtr="1">
                  <a:noAutofit/>
                </a:bodyPr>
                <a:lstStyle/>
                <a:p>
                  <a:pPr>
                    <a:defRPr sz="800" b="0" i="0" u="none" strike="noStrike" kern="1200" baseline="0">
                      <a:solidFill>
                        <a:schemeClr val="tx1">
                          <a:lumMod val="50000"/>
                          <a:lumOff val="50000"/>
                        </a:schemeClr>
                      </a:solidFill>
                      <a:latin typeface="Times New Roman" panose="02020603050405020304" pitchFamily="18" charset="0"/>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15:layout>
                    <c:manualLayout>
                      <c:w val="0.13100275293998009"/>
                      <c:h val="3.706857368218909E-2"/>
                    </c:manualLayout>
                  </c15:layout>
                </c:ext>
                <c:ext xmlns:c16="http://schemas.microsoft.com/office/drawing/2014/chart" uri="{C3380CC4-5D6E-409C-BE32-E72D297353CC}">
                  <c16:uniqueId val="{0000001A-132A-46A3-B546-56CD82AD14C5}"/>
                </c:ext>
              </c:extLst>
            </c:dLbl>
            <c:dLbl>
              <c:idx val="25"/>
              <c:layout>
                <c:manualLayout>
                  <c:x val="-1.2791431814687476E-2"/>
                  <c:y val="5.0931460145649237E-3"/>
                </c:manualLayout>
              </c:layout>
              <c:tx>
                <c:rich>
                  <a:bodyPr/>
                  <a:lstStyle/>
                  <a:p>
                    <a:r>
                      <a:rPr lang="sr-Cyrl-RS"/>
                      <a:t>Грчка</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B-132A-46A3-B546-56CD82AD14C5}"/>
                </c:ext>
              </c:extLst>
            </c:dLbl>
            <c:dLbl>
              <c:idx val="26"/>
              <c:layout>
                <c:manualLayout>
                  <c:x val="-3.444518166269947E-2"/>
                  <c:y val="2.8828407288985936E-2"/>
                </c:manualLayout>
              </c:layout>
              <c:tx>
                <c:rich>
                  <a:bodyPr/>
                  <a:lstStyle/>
                  <a:p>
                    <a:r>
                      <a:rPr lang="sr-Cyrl-RS" baseline="0"/>
                      <a:t>Португал </a:t>
                    </a:r>
                    <a:endParaRPr lang="sr-Cyrl-RS"/>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C-132A-46A3-B546-56CD82AD14C5}"/>
                </c:ext>
              </c:extLst>
            </c:dLbl>
            <c:dLbl>
              <c:idx val="27"/>
              <c:layout>
                <c:manualLayout>
                  <c:x val="0"/>
                  <c:y val="-1.5089509800541984E-2"/>
                </c:manualLayout>
              </c:layout>
              <c:tx>
                <c:rich>
                  <a:bodyPr rot="0" spcFirstLastPara="1" vertOverflow="ellipsis" vert="horz" wrap="square" lIns="38100" tIns="19050" rIns="38100" bIns="19050" anchor="ctr" anchorCtr="1">
                    <a:spAutoFit/>
                  </a:bodyPr>
                  <a:lstStyle/>
                  <a:p>
                    <a:pPr>
                      <a:defRPr sz="800" b="0" i="0" u="none" strike="noStrike" kern="1200" baseline="0">
                        <a:solidFill>
                          <a:srgbClr val="FF0000"/>
                        </a:solidFill>
                        <a:latin typeface="Times New Roman" panose="02020603050405020304" pitchFamily="18" charset="0"/>
                        <a:ea typeface="+mn-ea"/>
                        <a:cs typeface="+mn-cs"/>
                      </a:defRPr>
                    </a:pPr>
                    <a:r>
                      <a:rPr lang="sr-Cyrl-RS" sz="800" baseline="0">
                        <a:solidFill>
                          <a:srgbClr val="FF0000"/>
                        </a:solidFill>
                        <a:latin typeface="Times New Roman" panose="02020603050405020304" pitchFamily="18" charset="0"/>
                      </a:rPr>
                      <a:t>Србија</a:t>
                    </a:r>
                  </a:p>
                </c:rich>
              </c:tx>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rgbClr val="FF0000"/>
                      </a:solidFill>
                      <a:latin typeface="Times New Roman" panose="02020603050405020304" pitchFamily="18" charset="0"/>
                      <a:ea typeface="+mn-ea"/>
                      <a:cs typeface="+mn-cs"/>
                    </a:defRPr>
                  </a:pPr>
                  <a:endParaRPr lang="en-US"/>
                </a:p>
              </c:txP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D-132A-46A3-B546-56CD82AD14C5}"/>
                </c:ext>
              </c:extLst>
            </c:dLbl>
            <c:dLbl>
              <c:idx val="28"/>
              <c:tx>
                <c:rich>
                  <a:bodyPr/>
                  <a:lstStyle/>
                  <a:p>
                    <a:endParaRPr lang="en-US"/>
                  </a:p>
                </c:rich>
              </c:tx>
              <c:showLegendKey val="0"/>
              <c:showVal val="0"/>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E-132A-46A3-B546-56CD82AD14C5}"/>
                </c:ext>
              </c:extLst>
            </c:dLbl>
            <c:dLbl>
              <c:idx val="29"/>
              <c:layout>
                <c:manualLayout>
                  <c:x val="0.27121180204981443"/>
                  <c:y val="-0.10981647825182873"/>
                </c:manualLayout>
              </c:layout>
              <c:tx>
                <c:rich>
                  <a:bodyPr/>
                  <a:lstStyle/>
                  <a:p>
                    <a:endParaRPr lang="en-US"/>
                  </a:p>
                </c:rich>
              </c:tx>
              <c:showLegendKey val="0"/>
              <c:showVal val="0"/>
              <c:showCatName val="0"/>
              <c:showSerName val="0"/>
              <c:showPercent val="0"/>
              <c:showBubbleSize val="0"/>
              <c:extLst>
                <c:ext xmlns:c15="http://schemas.microsoft.com/office/drawing/2012/chart" uri="{CE6537A1-D6FC-4f65-9D91-7224C49458BB}">
                  <c15:layout>
                    <c:manualLayout>
                      <c:w val="6.4583536111454121E-2"/>
                      <c:h val="3.6566409796610792E-2"/>
                    </c:manualLayout>
                  </c15:layout>
                </c:ext>
                <c:ext xmlns:c16="http://schemas.microsoft.com/office/drawing/2014/chart" uri="{C3380CC4-5D6E-409C-BE32-E72D297353CC}">
                  <c16:uniqueId val="{0000001F-132A-46A3-B546-56CD82AD14C5}"/>
                </c:ext>
              </c:extLst>
            </c:dLbl>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chemeClr val="tx1">
                        <a:lumMod val="50000"/>
                        <a:lumOff val="50000"/>
                      </a:schemeClr>
                    </a:solidFill>
                    <a:latin typeface="Times New Roman" panose="02020603050405020304" pitchFamily="18" charset="0"/>
                    <a:ea typeface="+mn-ea"/>
                    <a:cs typeface="+mn-cs"/>
                  </a:defRPr>
                </a:pPr>
                <a:endParaRPr lang="en-US"/>
              </a:p>
            </c:txPr>
            <c:showLegendKey val="0"/>
            <c:showVal val="0"/>
            <c:showCatName val="0"/>
            <c:showSerName val="0"/>
            <c:showPercent val="0"/>
            <c:showBubbleSize val="0"/>
            <c:showLeaderLines val="0"/>
            <c:extLst>
              <c:ext xmlns:c15="http://schemas.microsoft.com/office/drawing/2012/chart" uri="{CE6537A1-D6FC-4f65-9D91-7224C49458BB}">
                <c15:showDataLabelsRange val="1"/>
                <c15:showLeaderLines val="1"/>
                <c15:leaderLines>
                  <c:spPr>
                    <a:ln w="9525" cap="flat" cmpd="sng" algn="ctr">
                      <a:solidFill>
                        <a:schemeClr val="tx1">
                          <a:lumMod val="35000"/>
                          <a:lumOff val="65000"/>
                        </a:schemeClr>
                      </a:solidFill>
                      <a:round/>
                    </a:ln>
                    <a:effectLst/>
                  </c:spPr>
                </c15:leaderLines>
              </c:ext>
            </c:extLst>
          </c:dLbls>
          <c:xVal>
            <c:numRef>
              <c:f>'2023'!$D$4:$D$31</c:f>
              <c:numCache>
                <c:formatCode>0.00</c:formatCode>
                <c:ptCount val="28"/>
                <c:pt idx="0">
                  <c:v>0.15</c:v>
                </c:pt>
                <c:pt idx="1">
                  <c:v>0.56999999999999995</c:v>
                </c:pt>
                <c:pt idx="2">
                  <c:v>0.22</c:v>
                </c:pt>
                <c:pt idx="3">
                  <c:v>0.22</c:v>
                </c:pt>
                <c:pt idx="4">
                  <c:v>0</c:v>
                </c:pt>
                <c:pt idx="5">
                  <c:v>0.11</c:v>
                </c:pt>
                <c:pt idx="6">
                  <c:v>0.18</c:v>
                </c:pt>
                <c:pt idx="7">
                  <c:v>0.15</c:v>
                </c:pt>
                <c:pt idx="8">
                  <c:v>0.56999999999999995</c:v>
                </c:pt>
                <c:pt idx="9">
                  <c:v>0.41</c:v>
                </c:pt>
                <c:pt idx="10">
                  <c:v>0</c:v>
                </c:pt>
                <c:pt idx="11">
                  <c:v>0.69</c:v>
                </c:pt>
                <c:pt idx="12">
                  <c:v>0.22</c:v>
                </c:pt>
                <c:pt idx="13">
                  <c:v>0.23</c:v>
                </c:pt>
                <c:pt idx="14">
                  <c:v>0.12</c:v>
                </c:pt>
                <c:pt idx="15">
                  <c:v>0.18</c:v>
                </c:pt>
                <c:pt idx="16">
                  <c:v>0.22</c:v>
                </c:pt>
                <c:pt idx="17">
                  <c:v>0</c:v>
                </c:pt>
                <c:pt idx="18">
                  <c:v>0.28000000000000003</c:v>
                </c:pt>
                <c:pt idx="19">
                  <c:v>0.22</c:v>
                </c:pt>
                <c:pt idx="20">
                  <c:v>0.28000000000000003</c:v>
                </c:pt>
                <c:pt idx="21">
                  <c:v>0.28999999999999998</c:v>
                </c:pt>
                <c:pt idx="22">
                  <c:v>0.56999999999999995</c:v>
                </c:pt>
                <c:pt idx="23">
                  <c:v>0</c:v>
                </c:pt>
                <c:pt idx="24">
                  <c:v>0.11</c:v>
                </c:pt>
                <c:pt idx="25">
                  <c:v>0.24</c:v>
                </c:pt>
                <c:pt idx="26">
                  <c:v>0.31</c:v>
                </c:pt>
                <c:pt idx="27">
                  <c:v>7.7844311377245498E-2</c:v>
                </c:pt>
              </c:numCache>
            </c:numRef>
          </c:xVal>
          <c:yVal>
            <c:numRef>
              <c:f>'2023'!$E$4:$E$31</c:f>
              <c:numCache>
                <c:formatCode>0.00</c:formatCode>
                <c:ptCount val="28"/>
                <c:pt idx="0">
                  <c:v>0.06</c:v>
                </c:pt>
                <c:pt idx="1">
                  <c:v>0.12</c:v>
                </c:pt>
                <c:pt idx="2">
                  <c:v>0.21</c:v>
                </c:pt>
                <c:pt idx="3">
                  <c:v>0.25</c:v>
                </c:pt>
                <c:pt idx="4">
                  <c:v>0.33</c:v>
                </c:pt>
                <c:pt idx="5">
                  <c:v>0.36</c:v>
                </c:pt>
                <c:pt idx="6">
                  <c:v>0.36</c:v>
                </c:pt>
                <c:pt idx="7">
                  <c:v>0.23</c:v>
                </c:pt>
                <c:pt idx="8">
                  <c:v>0.28000000000000003</c:v>
                </c:pt>
                <c:pt idx="9">
                  <c:v>0.48</c:v>
                </c:pt>
                <c:pt idx="10">
                  <c:v>0.21</c:v>
                </c:pt>
                <c:pt idx="11">
                  <c:v>0.18</c:v>
                </c:pt>
                <c:pt idx="12">
                  <c:v>0.37</c:v>
                </c:pt>
                <c:pt idx="13">
                  <c:v>0.12</c:v>
                </c:pt>
                <c:pt idx="14">
                  <c:v>0.35</c:v>
                </c:pt>
                <c:pt idx="15">
                  <c:v>0.2</c:v>
                </c:pt>
                <c:pt idx="16">
                  <c:v>0.14000000000000001</c:v>
                </c:pt>
                <c:pt idx="17">
                  <c:v>0.18</c:v>
                </c:pt>
                <c:pt idx="18">
                  <c:v>0.45</c:v>
                </c:pt>
                <c:pt idx="19">
                  <c:v>0.37</c:v>
                </c:pt>
                <c:pt idx="20">
                  <c:v>0.44</c:v>
                </c:pt>
                <c:pt idx="21">
                  <c:v>0.14000000000000001</c:v>
                </c:pt>
                <c:pt idx="22">
                  <c:v>0.33</c:v>
                </c:pt>
                <c:pt idx="23">
                  <c:v>0.19</c:v>
                </c:pt>
                <c:pt idx="24">
                  <c:v>0.44</c:v>
                </c:pt>
                <c:pt idx="25">
                  <c:v>0.35</c:v>
                </c:pt>
                <c:pt idx="26">
                  <c:v>0.33</c:v>
                </c:pt>
                <c:pt idx="27">
                  <c:v>0.27243589743589747</c:v>
                </c:pt>
              </c:numCache>
            </c:numRef>
          </c:yVal>
          <c:smooth val="0"/>
          <c:extLst>
            <c:ext xmlns:c15="http://schemas.microsoft.com/office/drawing/2012/chart" uri="{02D57815-91ED-43cb-92C2-25804820EDAC}">
              <c15:datalabelsRange>
                <c15:f>'2023'!$B$4:$B$34</c15:f>
                <c15:dlblRangeCache>
                  <c:ptCount val="31"/>
                  <c:pt idx="0">
                    <c:v>Аустрија</c:v>
                  </c:pt>
                  <c:pt idx="1">
                    <c:v>Белгија</c:v>
                  </c:pt>
                  <c:pt idx="2">
                    <c:v>Бугарска</c:v>
                  </c:pt>
                  <c:pt idx="3">
                    <c:v>Чешка</c:v>
                  </c:pt>
                  <c:pt idx="4">
                    <c:v>Хрватска</c:v>
                  </c:pt>
                  <c:pt idx="5">
                    <c:v>Данска</c:v>
                  </c:pt>
                  <c:pt idx="6">
                    <c:v>Естонија</c:v>
                  </c:pt>
                  <c:pt idx="7">
                    <c:v>Финска</c:v>
                  </c:pt>
                  <c:pt idx="8">
                    <c:v>Француска</c:v>
                  </c:pt>
                  <c:pt idx="9">
                    <c:v>Мађарска</c:v>
                  </c:pt>
                  <c:pt idx="10">
                    <c:v>Ирска</c:v>
                  </c:pt>
                  <c:pt idx="11">
                    <c:v>Италија</c:v>
                  </c:pt>
                  <c:pt idx="12">
                    <c:v>Летонија</c:v>
                  </c:pt>
                  <c:pt idx="13">
                    <c:v>Немачка</c:v>
                  </c:pt>
                  <c:pt idx="14">
                    <c:v>Литванија</c:v>
                  </c:pt>
                  <c:pt idx="15">
                    <c:v>Луксембург</c:v>
                  </c:pt>
                  <c:pt idx="16">
                    <c:v>Малта</c:v>
                  </c:pt>
                  <c:pt idx="17">
                    <c:v>Холандија</c:v>
                  </c:pt>
                  <c:pt idx="18">
                    <c:v>Пољска</c:v>
                  </c:pt>
                  <c:pt idx="19">
                    <c:v>Румунија</c:v>
                  </c:pt>
                  <c:pt idx="20">
                    <c:v>Словачка</c:v>
                  </c:pt>
                  <c:pt idx="21">
                    <c:v>Словенија</c:v>
                  </c:pt>
                  <c:pt idx="22">
                    <c:v>Шпанија</c:v>
                  </c:pt>
                  <c:pt idx="23">
                    <c:v>Шведска</c:v>
                  </c:pt>
                  <c:pt idx="24">
                    <c:v>Кипар</c:v>
                  </c:pt>
                  <c:pt idx="25">
                    <c:v>Грчка</c:v>
                  </c:pt>
                  <c:pt idx="26">
                    <c:v>Португал</c:v>
                  </c:pt>
                  <c:pt idx="27">
                    <c:v>Србија</c:v>
                  </c:pt>
                  <c:pt idx="29">
                    <c:v>Србија 2020</c:v>
                  </c:pt>
                  <c:pt idx="30">
                    <c:v>Србија 2019,2018,2017</c:v>
                  </c:pt>
                </c15:dlblRangeCache>
              </c15:datalabelsRange>
            </c:ext>
            <c:ext xmlns:c16="http://schemas.microsoft.com/office/drawing/2014/chart" uri="{C3380CC4-5D6E-409C-BE32-E72D297353CC}">
              <c16:uniqueId val="{00000020-132A-46A3-B546-56CD82AD14C5}"/>
            </c:ext>
          </c:extLst>
        </c:ser>
        <c:dLbls>
          <c:showLegendKey val="0"/>
          <c:showVal val="0"/>
          <c:showCatName val="0"/>
          <c:showSerName val="0"/>
          <c:showPercent val="0"/>
          <c:showBubbleSize val="0"/>
        </c:dLbls>
        <c:axId val="2099147520"/>
        <c:axId val="2099146272"/>
      </c:scatterChart>
      <c:valAx>
        <c:axId val="-262788736"/>
        <c:scaling>
          <c:orientation val="minMax"/>
          <c:max val="0.8"/>
        </c:scaling>
        <c:delete val="0"/>
        <c:axPos val="b"/>
        <c:title>
          <c:tx>
            <c:rich>
              <a:bodyPr rot="0" spcFirstLastPara="1" vertOverflow="ellipsis" vert="horz" wrap="square" anchor="ctr" anchorCtr="1"/>
              <a:lstStyle/>
              <a:p>
                <a:pPr>
                  <a:defRPr sz="900" b="0" i="0" u="none" strike="noStrike" kern="1200" baseline="0">
                    <a:solidFill>
                      <a:schemeClr val="tx1">
                        <a:lumMod val="65000"/>
                        <a:lumOff val="35000"/>
                      </a:schemeClr>
                    </a:solidFill>
                    <a:latin typeface="+mj-lt"/>
                    <a:ea typeface="+mn-ea"/>
                    <a:cs typeface="+mn-cs"/>
                  </a:defRPr>
                </a:pPr>
                <a:r>
                  <a:rPr lang="sr-Cyrl-RS" sz="900" baseline="0">
                    <a:latin typeface="Times New Roman" panose="02020603050405020304" pitchFamily="18" charset="0"/>
                  </a:rPr>
                  <a:t>Фискални подиндекс</a:t>
                </a:r>
                <a:endParaRPr lang="en-US" sz="900" baseline="0">
                  <a:latin typeface="Times New Roman" panose="02020603050405020304" pitchFamily="18" charset="0"/>
                </a:endParaRPr>
              </a:p>
            </c:rich>
          </c:tx>
          <c:layout>
            <c:manualLayout>
              <c:xMode val="edge"/>
              <c:yMode val="edge"/>
              <c:x val="0.32836641954038248"/>
              <c:y val="0.94716745751186271"/>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j-lt"/>
                  <a:ea typeface="+mn-ea"/>
                  <a:cs typeface="+mn-cs"/>
                </a:defRPr>
              </a:pPr>
              <a:endParaRPr lang="en-US"/>
            </a:p>
          </c:txPr>
        </c:title>
        <c:numFmt formatCode="0.0" sourceLinked="0"/>
        <c:majorTickMark val="none"/>
        <c:minorTickMark val="none"/>
        <c:tickLblPos val="nextTo"/>
        <c:spPr>
          <a:noFill/>
          <a:ln w="6350" cap="flat" cmpd="sng" algn="ctr">
            <a:solidFill>
              <a:schemeClr val="tx1">
                <a:lumMod val="25000"/>
                <a:lumOff val="75000"/>
              </a:schemeClr>
            </a:solidFill>
            <a:round/>
          </a:ln>
          <a:effectLst/>
        </c:spPr>
        <c:txPr>
          <a:bodyPr rot="-60000000" spcFirstLastPara="1" vertOverflow="ellipsis" vert="horz" wrap="square" anchor="ctr" anchorCtr="1"/>
          <a:lstStyle/>
          <a:p>
            <a:pPr>
              <a:defRPr sz="800" b="0" i="0" u="none" strike="noStrike" kern="1200" baseline="0">
                <a:solidFill>
                  <a:schemeClr val="tx1">
                    <a:lumMod val="65000"/>
                    <a:lumOff val="35000"/>
                  </a:schemeClr>
                </a:solidFill>
                <a:latin typeface="Times New Roman" panose="02020603050405020304" pitchFamily="18" charset="0"/>
                <a:ea typeface="+mn-ea"/>
                <a:cs typeface="+mn-cs"/>
              </a:defRPr>
            </a:pPr>
            <a:endParaRPr lang="en-US"/>
          </a:p>
        </c:txPr>
        <c:crossAx val="-262793088"/>
        <c:crosses val="autoZero"/>
        <c:crossBetween val="midCat"/>
      </c:valAx>
      <c:valAx>
        <c:axId val="-262793088"/>
        <c:scaling>
          <c:orientation val="minMax"/>
          <c:max val="0.60000000000000009"/>
        </c:scaling>
        <c:delete val="0"/>
        <c:axPos val="l"/>
        <c:title>
          <c:tx>
            <c:rich>
              <a:bodyPr rot="-54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mn-cs"/>
                  </a:defRPr>
                </a:pPr>
                <a:r>
                  <a:rPr lang="sr-Cyrl-RS" sz="900" baseline="0">
                    <a:latin typeface="Times New Roman" panose="02020603050405020304" pitchFamily="18" charset="0"/>
                  </a:rPr>
                  <a:t>Подиндекс макро-финансијске конкурентности</a:t>
                </a:r>
                <a:endParaRPr lang="en-US" sz="900" baseline="0">
                  <a:latin typeface="Times New Roman" panose="02020603050405020304" pitchFamily="18" charset="0"/>
                </a:endParaRPr>
              </a:p>
            </c:rich>
          </c:tx>
          <c:layout>
            <c:manualLayout>
              <c:xMode val="edge"/>
              <c:yMode val="edge"/>
              <c:x val="7.5251868585250346E-3"/>
              <c:y val="0.15476829195481337"/>
            </c:manualLayout>
          </c:layout>
          <c:overlay val="0"/>
          <c:spPr>
            <a:noFill/>
            <a:ln>
              <a:noFill/>
            </a:ln>
            <a:effectLst/>
          </c:spPr>
          <c:txPr>
            <a:bodyPr rot="-54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mn-cs"/>
                </a:defRPr>
              </a:pPr>
              <a:endParaRPr lang="en-US"/>
            </a:p>
          </c:txPr>
        </c:title>
        <c:numFmt formatCode="0.0" sourceLinked="0"/>
        <c:majorTickMark val="none"/>
        <c:minorTickMark val="none"/>
        <c:tickLblPos val="nextTo"/>
        <c:spPr>
          <a:noFill/>
          <a:ln w="6350" cap="flat" cmpd="sng" algn="ctr">
            <a:solidFill>
              <a:schemeClr val="tx1">
                <a:lumMod val="25000"/>
                <a:lumOff val="75000"/>
              </a:schemeClr>
            </a:solidFill>
            <a:round/>
          </a:ln>
          <a:effectLst/>
        </c:spPr>
        <c:txPr>
          <a:bodyPr rot="-60000000" spcFirstLastPara="1" vertOverflow="ellipsis" vert="horz" wrap="square" anchor="ctr" anchorCtr="1"/>
          <a:lstStyle/>
          <a:p>
            <a:pPr>
              <a:defRPr sz="800" b="0" i="0" u="none" strike="noStrike" kern="1200" baseline="0">
                <a:solidFill>
                  <a:schemeClr val="tx1">
                    <a:lumMod val="65000"/>
                    <a:lumOff val="35000"/>
                  </a:schemeClr>
                </a:solidFill>
                <a:latin typeface="Times New Roman" panose="02020603050405020304" pitchFamily="18" charset="0"/>
                <a:ea typeface="+mn-ea"/>
                <a:cs typeface="+mn-cs"/>
              </a:defRPr>
            </a:pPr>
            <a:endParaRPr lang="en-US"/>
          </a:p>
        </c:txPr>
        <c:crossAx val="-262788736"/>
        <c:crosses val="autoZero"/>
        <c:crossBetween val="midCat"/>
      </c:valAx>
      <c:valAx>
        <c:axId val="2099146272"/>
        <c:scaling>
          <c:orientation val="minMax"/>
        </c:scaling>
        <c:delete val="1"/>
        <c:axPos val="r"/>
        <c:numFmt formatCode="0.00" sourceLinked="1"/>
        <c:majorTickMark val="out"/>
        <c:minorTickMark val="none"/>
        <c:tickLblPos val="nextTo"/>
        <c:crossAx val="2099147520"/>
        <c:crosses val="max"/>
        <c:crossBetween val="midCat"/>
      </c:valAx>
      <c:valAx>
        <c:axId val="2099147520"/>
        <c:scaling>
          <c:orientation val="minMax"/>
        </c:scaling>
        <c:delete val="1"/>
        <c:axPos val="t"/>
        <c:numFmt formatCode="0.00" sourceLinked="1"/>
        <c:majorTickMark val="out"/>
        <c:minorTickMark val="none"/>
        <c:tickLblPos val="nextTo"/>
        <c:crossAx val="2099146272"/>
        <c:crosses val="max"/>
        <c:crossBetween val="midCat"/>
      </c:valAx>
      <c:spPr>
        <a:noFill/>
        <a:ln>
          <a:noFill/>
        </a:ln>
        <a:effectLst/>
      </c:spPr>
    </c:plotArea>
    <c:plotVisOnly val="1"/>
    <c:dispBlanksAs val="gap"/>
    <c:showDLblsOverMax val="0"/>
  </c:chart>
  <c:spPr>
    <a:no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userShapes r:id="rId5"/>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35"/>
    </mc:Choice>
    <mc:Fallback>
      <c:style val="35"/>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7.9033714179804967E-2"/>
          <c:y val="3.1105144115050137E-2"/>
          <c:w val="0.86085801063022016"/>
          <c:h val="0.71522333901810664"/>
        </c:manualLayout>
      </c:layout>
      <c:barChart>
        <c:barDir val="col"/>
        <c:grouping val="clustered"/>
        <c:varyColors val="0"/>
        <c:ser>
          <c:idx val="0"/>
          <c:order val="0"/>
          <c:tx>
            <c:strRef>
              <c:f>'мемо 2011-2016'!$D$50</c:f>
              <c:strCache>
                <c:ptCount val="1"/>
                <c:pt idx="0">
                  <c:v>дуг</c:v>
                </c:pt>
              </c:strCache>
            </c:strRef>
          </c:tx>
          <c:spPr>
            <a:solidFill>
              <a:schemeClr val="tx2"/>
            </a:solidFill>
          </c:spPr>
          <c:invertIfNegative val="0"/>
          <c:dLbls>
            <c:numFmt formatCode="#,##0.0" sourceLinked="0"/>
            <c:spPr>
              <a:noFill/>
              <a:ln>
                <a:noFill/>
              </a:ln>
              <a:effectLst/>
            </c:spPr>
            <c:txPr>
              <a:bodyPr/>
              <a:lstStyle/>
              <a:p>
                <a:pPr>
                  <a:defRPr>
                    <a:solidFill>
                      <a:schemeClr val="bg1"/>
                    </a:solidFill>
                  </a:defRPr>
                </a:pPr>
                <a:endParaRPr lang="en-US"/>
              </a:p>
            </c:txPr>
            <c:dLblPos val="inBase"/>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'мемо 2011-2016'!$J$48:$V$48</c:f>
              <c:numCache>
                <c:formatCode>General</c:formatCode>
                <c:ptCount val="13"/>
                <c:pt idx="0">
                  <c:v>2015</c:v>
                </c:pt>
                <c:pt idx="1">
                  <c:v>2016</c:v>
                </c:pt>
                <c:pt idx="2">
                  <c:v>2017</c:v>
                </c:pt>
                <c:pt idx="3">
                  <c:v>2018</c:v>
                </c:pt>
                <c:pt idx="4">
                  <c:v>2019</c:v>
                </c:pt>
                <c:pt idx="5">
                  <c:v>2020</c:v>
                </c:pt>
                <c:pt idx="6">
                  <c:v>2021</c:v>
                </c:pt>
                <c:pt idx="7">
                  <c:v>2022</c:v>
                </c:pt>
                <c:pt idx="8">
                  <c:v>2023</c:v>
                </c:pt>
                <c:pt idx="9">
                  <c:v>2024</c:v>
                </c:pt>
                <c:pt idx="10">
                  <c:v>2025</c:v>
                </c:pt>
                <c:pt idx="11">
                  <c:v>2026</c:v>
                </c:pt>
                <c:pt idx="12">
                  <c:v>2027</c:v>
                </c:pt>
              </c:numCache>
            </c:numRef>
          </c:cat>
          <c:val>
            <c:numRef>
              <c:f>'мемо 2011-2016'!$J$50:$V$50</c:f>
              <c:numCache>
                <c:formatCode>#,##0.0</c:formatCode>
                <c:ptCount val="13"/>
                <c:pt idx="0">
                  <c:v>68.3698246708542</c:v>
                </c:pt>
                <c:pt idx="1">
                  <c:v>66.204612229090003</c:v>
                </c:pt>
                <c:pt idx="2">
                  <c:v>56.328463654534431</c:v>
                </c:pt>
                <c:pt idx="3" formatCode="0.0">
                  <c:v>52.142562046645665</c:v>
                </c:pt>
                <c:pt idx="4" formatCode="0.0">
                  <c:v>50.517490084354399</c:v>
                </c:pt>
                <c:pt idx="5" formatCode="0.0">
                  <c:v>55.189879391575488</c:v>
                </c:pt>
                <c:pt idx="6" formatCode="0.0">
                  <c:v>54.46703770748725</c:v>
                </c:pt>
                <c:pt idx="7" formatCode="0.0">
                  <c:v>52.901616882676905</c:v>
                </c:pt>
                <c:pt idx="8" formatCode="0.0">
                  <c:v>48.386002589196323</c:v>
                </c:pt>
                <c:pt idx="9" formatCode="General">
                  <c:v>47.9</c:v>
                </c:pt>
                <c:pt idx="10" formatCode="General">
                  <c:v>47.5</c:v>
                </c:pt>
                <c:pt idx="11" formatCode="General">
                  <c:v>47</c:v>
                </c:pt>
                <c:pt idx="12" formatCode="General">
                  <c:v>46.5</c:v>
                </c:pt>
              </c:numCache>
            </c:numRef>
          </c:val>
          <c:extLst>
            <c:ext xmlns:c16="http://schemas.microsoft.com/office/drawing/2014/chart" uri="{C3380CC4-5D6E-409C-BE32-E72D297353CC}">
              <c16:uniqueId val="{00000000-DE73-4AAC-B591-72B3330A9231}"/>
            </c:ext>
          </c:extLst>
        </c:ser>
        <c:dLbls>
          <c:showLegendKey val="0"/>
          <c:showVal val="0"/>
          <c:showCatName val="0"/>
          <c:showSerName val="0"/>
          <c:showPercent val="0"/>
          <c:showBubbleSize val="0"/>
        </c:dLbls>
        <c:gapWidth val="34"/>
        <c:overlap val="50"/>
        <c:axId val="430644800"/>
        <c:axId val="430645584"/>
      </c:barChart>
      <c:lineChart>
        <c:grouping val="standard"/>
        <c:varyColors val="0"/>
        <c:ser>
          <c:idx val="2"/>
          <c:order val="1"/>
          <c:tx>
            <c:strRef>
              <c:f>'мемо 2011-2016'!$D$49</c:f>
              <c:strCache>
                <c:ptCount val="1"/>
                <c:pt idx="0">
                  <c:v>резултат (десна скала)</c:v>
                </c:pt>
              </c:strCache>
            </c:strRef>
          </c:tx>
          <c:spPr>
            <a:ln>
              <a:solidFill>
                <a:srgbClr val="FF0000"/>
              </a:solidFill>
            </a:ln>
          </c:spPr>
          <c:marker>
            <c:symbol val="none"/>
          </c:marker>
          <c:dLbls>
            <c:dLbl>
              <c:idx val="0"/>
              <c:layout>
                <c:manualLayout>
                  <c:x val="-4.4133346613009029E-2"/>
                  <c:y val="-0.1828720628671416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DE73-4AAC-B591-72B3330A9231}"/>
                </c:ext>
              </c:extLst>
            </c:dLbl>
            <c:dLbl>
              <c:idx val="1"/>
              <c:layout>
                <c:manualLayout>
                  <c:x val="-1.2918623503493709E-4"/>
                  <c:y val="9.5417760279960457E-4"/>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DE73-4AAC-B591-72B3330A9231}"/>
                </c:ext>
              </c:extLst>
            </c:dLbl>
            <c:dLbl>
              <c:idx val="2"/>
              <c:layout>
                <c:manualLayout>
                  <c:x val="-2.7120391267855901E-2"/>
                  <c:y val="-4.1059320709911258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DE73-4AAC-B591-72B3330A9231}"/>
                </c:ext>
              </c:extLst>
            </c:dLbl>
            <c:dLbl>
              <c:idx val="3"/>
              <c:layout>
                <c:manualLayout>
                  <c:x val="-2.9741101802715976E-2"/>
                  <c:y val="-3.480111861017373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DE73-4AAC-B591-72B3330A9231}"/>
                </c:ext>
              </c:extLst>
            </c:dLbl>
            <c:dLbl>
              <c:idx val="4"/>
              <c:layout>
                <c:manualLayout>
                  <c:x val="1.2897678417884782E-2"/>
                  <c:y val="3.9840637450199202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DE73-4AAC-B591-72B3330A9231}"/>
                </c:ext>
              </c:extLst>
            </c:dLbl>
            <c:dLbl>
              <c:idx val="5"/>
              <c:layout>
                <c:manualLayout>
                  <c:x val="-2.2819738030908168E-2"/>
                  <c:y val="-0.2461274371953505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DE73-4AAC-B591-72B3330A9231}"/>
                </c:ext>
              </c:extLst>
            </c:dLbl>
            <c:dLbl>
              <c:idx val="6"/>
              <c:layout>
                <c:manualLayout>
                  <c:x val="-4.8128609256022019E-2"/>
                  <c:y val="-0.10044096050493694"/>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DE73-4AAC-B591-72B3330A9231}"/>
                </c:ext>
              </c:extLst>
            </c:dLbl>
            <c:dLbl>
              <c:idx val="7"/>
              <c:layout>
                <c:manualLayout>
                  <c:x val="-3.5962383293181688E-2"/>
                  <c:y val="4.472175353080865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DE73-4AAC-B591-72B3330A9231}"/>
                </c:ext>
              </c:extLst>
            </c:dLbl>
            <c:dLbl>
              <c:idx val="8"/>
              <c:layout>
                <c:manualLayout>
                  <c:x val="-4.6972009384891232E-2"/>
                  <c:y val="-5.4563492063492064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DE73-4AAC-B591-72B3330A9231}"/>
                </c:ext>
              </c:extLst>
            </c:dLbl>
            <c:dLbl>
              <c:idx val="9"/>
              <c:layout>
                <c:manualLayout>
                  <c:x val="-5.5883746126064102E-2"/>
                  <c:y val="-6.4484126984127033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A-DE73-4AAC-B591-72B3330A9231}"/>
                </c:ext>
              </c:extLst>
            </c:dLbl>
            <c:dLbl>
              <c:idx val="10"/>
              <c:layout>
                <c:manualLayout>
                  <c:x val="-5.4676837747560297E-2"/>
                  <c:y val="-4.4642857142857185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B-DE73-4AAC-B591-72B3330A9231}"/>
                </c:ext>
              </c:extLst>
            </c:dLbl>
            <c:dLbl>
              <c:idx val="11"/>
              <c:layout>
                <c:manualLayout>
                  <c:x val="-5.0327152912383467E-2"/>
                  <c:y val="-3.968253968253968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C-DE73-4AAC-B591-72B3330A9231}"/>
                </c:ext>
              </c:extLst>
            </c:dLbl>
            <c:dLbl>
              <c:idx val="12"/>
              <c:layout>
                <c:manualLayout>
                  <c:x val="-3.3551435274922312E-2"/>
                  <c:y val="-3.4722222222222265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D-DE73-4AAC-B591-72B3330A9231}"/>
                </c:ext>
              </c:extLst>
            </c:dLbl>
            <c:numFmt formatCode="#,##0.0" sourceLinked="0"/>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val>
            <c:numRef>
              <c:f>'мемо 2011-2016'!$J$49:$V$49</c:f>
              <c:numCache>
                <c:formatCode>#,##0.0</c:formatCode>
                <c:ptCount val="13"/>
                <c:pt idx="0">
                  <c:v>-3.3187939284991876</c:v>
                </c:pt>
                <c:pt idx="1">
                  <c:v>-1.1493979760759792</c:v>
                </c:pt>
                <c:pt idx="2">
                  <c:v>1.055768609693301</c:v>
                </c:pt>
                <c:pt idx="3" formatCode="0.0">
                  <c:v>0.60940162463873881</c:v>
                </c:pt>
                <c:pt idx="4">
                  <c:v>-0.19603223337184297</c:v>
                </c:pt>
                <c:pt idx="5">
                  <c:v>-7.6817157912618654</c:v>
                </c:pt>
                <c:pt idx="6">
                  <c:v>-3.944488655583605</c:v>
                </c:pt>
                <c:pt idx="7">
                  <c:v>-3.0145096000432612</c:v>
                </c:pt>
                <c:pt idx="8" formatCode="0.0">
                  <c:v>-2.0537459179069328</c:v>
                </c:pt>
                <c:pt idx="9" formatCode="General">
                  <c:v>-2.7</c:v>
                </c:pt>
                <c:pt idx="10" formatCode="General">
                  <c:v>-3</c:v>
                </c:pt>
                <c:pt idx="11" formatCode="General">
                  <c:v>-3</c:v>
                </c:pt>
                <c:pt idx="12" formatCode="General">
                  <c:v>-3</c:v>
                </c:pt>
              </c:numCache>
            </c:numRef>
          </c:val>
          <c:smooth val="1"/>
          <c:extLst>
            <c:ext xmlns:c16="http://schemas.microsoft.com/office/drawing/2014/chart" uri="{C3380CC4-5D6E-409C-BE32-E72D297353CC}">
              <c16:uniqueId val="{0000000E-DE73-4AAC-B591-72B3330A9231}"/>
            </c:ext>
          </c:extLst>
        </c:ser>
        <c:ser>
          <c:idx val="1"/>
          <c:order val="2"/>
          <c:tx>
            <c:strRef>
              <c:f>'мемо 2011-2016'!$D$51</c:f>
              <c:strCache>
                <c:ptCount val="1"/>
                <c:pt idx="0">
                  <c:v>баланс</c:v>
                </c:pt>
              </c:strCache>
            </c:strRef>
          </c:tx>
          <c:spPr>
            <a:ln w="22225">
              <a:solidFill>
                <a:schemeClr val="tx1"/>
              </a:solidFill>
            </a:ln>
          </c:spPr>
          <c:marker>
            <c:symbol val="none"/>
          </c:marker>
          <c:val>
            <c:numRef>
              <c:f>'мемо 2011-2016'!$J$51:$V$51</c:f>
              <c:numCache>
                <c:formatCode>#,##0.0</c:formatCode>
                <c:ptCount val="13"/>
                <c:pt idx="0">
                  <c:v>0</c:v>
                </c:pt>
                <c:pt idx="1">
                  <c:v>0</c:v>
                </c:pt>
                <c:pt idx="2">
                  <c:v>0</c:v>
                </c:pt>
                <c:pt idx="3">
                  <c:v>0</c:v>
                </c:pt>
                <c:pt idx="4">
                  <c:v>0</c:v>
                </c:pt>
                <c:pt idx="5">
                  <c:v>0</c:v>
                </c:pt>
                <c:pt idx="6">
                  <c:v>0</c:v>
                </c:pt>
                <c:pt idx="7">
                  <c:v>0</c:v>
                </c:pt>
                <c:pt idx="8" formatCode="General">
                  <c:v>0</c:v>
                </c:pt>
                <c:pt idx="9" formatCode="General">
                  <c:v>0</c:v>
                </c:pt>
                <c:pt idx="10" formatCode="General">
                  <c:v>0</c:v>
                </c:pt>
                <c:pt idx="11" formatCode="General">
                  <c:v>0</c:v>
                </c:pt>
                <c:pt idx="12" formatCode="General">
                  <c:v>0</c:v>
                </c:pt>
              </c:numCache>
            </c:numRef>
          </c:val>
          <c:smooth val="0"/>
          <c:extLst>
            <c:ext xmlns:c16="http://schemas.microsoft.com/office/drawing/2014/chart" uri="{C3380CC4-5D6E-409C-BE32-E72D297353CC}">
              <c16:uniqueId val="{0000000F-DE73-4AAC-B591-72B3330A9231}"/>
            </c:ext>
          </c:extLst>
        </c:ser>
        <c:dLbls>
          <c:showLegendKey val="0"/>
          <c:showVal val="0"/>
          <c:showCatName val="0"/>
          <c:showSerName val="0"/>
          <c:showPercent val="0"/>
          <c:showBubbleSize val="0"/>
        </c:dLbls>
        <c:marker val="1"/>
        <c:smooth val="0"/>
        <c:axId val="426079336"/>
        <c:axId val="426078160"/>
      </c:lineChart>
      <c:catAx>
        <c:axId val="430644800"/>
        <c:scaling>
          <c:orientation val="minMax"/>
        </c:scaling>
        <c:delete val="0"/>
        <c:axPos val="b"/>
        <c:numFmt formatCode="General" sourceLinked="1"/>
        <c:majorTickMark val="out"/>
        <c:minorTickMark val="none"/>
        <c:tickLblPos val="nextTo"/>
        <c:spPr>
          <a:ln>
            <a:noFill/>
          </a:ln>
        </c:spPr>
        <c:crossAx val="430645584"/>
        <c:crossesAt val="0"/>
        <c:auto val="1"/>
        <c:lblAlgn val="ctr"/>
        <c:lblOffset val="100"/>
        <c:noMultiLvlLbl val="0"/>
      </c:catAx>
      <c:valAx>
        <c:axId val="430645584"/>
        <c:scaling>
          <c:orientation val="minMax"/>
          <c:max val="80"/>
          <c:min val="40"/>
        </c:scaling>
        <c:delete val="0"/>
        <c:axPos val="l"/>
        <c:majorGridlines>
          <c:spPr>
            <a:ln>
              <a:noFill/>
            </a:ln>
          </c:spPr>
        </c:majorGridlines>
        <c:numFmt formatCode="#,##0" sourceLinked="0"/>
        <c:majorTickMark val="out"/>
        <c:minorTickMark val="none"/>
        <c:tickLblPos val="nextTo"/>
        <c:spPr>
          <a:ln>
            <a:noFill/>
          </a:ln>
        </c:spPr>
        <c:crossAx val="430644800"/>
        <c:crosses val="autoZero"/>
        <c:crossBetween val="between"/>
        <c:majorUnit val="5"/>
      </c:valAx>
      <c:valAx>
        <c:axId val="426078160"/>
        <c:scaling>
          <c:orientation val="minMax"/>
        </c:scaling>
        <c:delete val="0"/>
        <c:axPos val="r"/>
        <c:numFmt formatCode="#,##0" sourceLinked="0"/>
        <c:majorTickMark val="out"/>
        <c:minorTickMark val="none"/>
        <c:tickLblPos val="nextTo"/>
        <c:spPr>
          <a:ln>
            <a:noFill/>
          </a:ln>
        </c:spPr>
        <c:crossAx val="426079336"/>
        <c:crosses val="max"/>
        <c:crossBetween val="between"/>
      </c:valAx>
      <c:catAx>
        <c:axId val="426079336"/>
        <c:scaling>
          <c:orientation val="minMax"/>
        </c:scaling>
        <c:delete val="1"/>
        <c:axPos val="b"/>
        <c:majorTickMark val="out"/>
        <c:minorTickMark val="none"/>
        <c:tickLblPos val="nextTo"/>
        <c:crossAx val="426078160"/>
        <c:crosses val="autoZero"/>
        <c:auto val="1"/>
        <c:lblAlgn val="ctr"/>
        <c:lblOffset val="100"/>
        <c:noMultiLvlLbl val="0"/>
      </c:catAx>
      <c:spPr>
        <a:noFill/>
        <a:ln>
          <a:noFill/>
        </a:ln>
      </c:spPr>
    </c:plotArea>
    <c:legend>
      <c:legendPos val="b"/>
      <c:overlay val="0"/>
    </c:legend>
    <c:plotVisOnly val="1"/>
    <c:dispBlanksAs val="gap"/>
    <c:showDLblsOverMax val="0"/>
  </c:chart>
  <c:spPr>
    <a:ln>
      <a:noFill/>
    </a:ln>
  </c:spPr>
  <c:txPr>
    <a:bodyPr/>
    <a:lstStyle/>
    <a:p>
      <a:pPr>
        <a:defRPr sz="900" baseline="0">
          <a:latin typeface="Times New Roman" panose="02020603050405020304" pitchFamily="18" charset="0"/>
        </a:defRPr>
      </a:pPr>
      <a:endParaRPr lang="en-US"/>
    </a:p>
  </c:txPr>
  <c:externalData r:id="rId2">
    <c:autoUpdate val="0"/>
  </c:externalData>
  <c:userShapes r:id="rId3"/>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5"/>
    </mc:Choice>
    <mc:Fallback>
      <c:style val="5"/>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8.5694913857576771E-2"/>
          <c:y val="0.12195169524878018"/>
          <c:w val="0.89742630688838176"/>
          <c:h val="0.72252618511373012"/>
        </c:manualLayout>
      </c:layout>
      <c:areaChart>
        <c:grouping val="stacked"/>
        <c:varyColors val="0"/>
        <c:ser>
          <c:idx val="2"/>
          <c:order val="2"/>
          <c:tx>
            <c:strRef>
              <c:f>'Grafikoni, CAB, Karakter'!$G$10</c:f>
              <c:strCache>
                <c:ptCount val="1"/>
                <c:pt idx="0">
                  <c:v>Производни јаз </c:v>
                </c:pt>
              </c:strCache>
            </c:strRef>
          </c:tx>
          <c:spPr>
            <a:solidFill>
              <a:srgbClr val="29489A"/>
            </a:solidFill>
            <a:ln w="9525" cap="rnd" cmpd="sng" algn="ctr">
              <a:solidFill>
                <a:srgbClr val="29489A"/>
              </a:solidFill>
              <a:prstDash val="solid"/>
              <a:round/>
            </a:ln>
            <a:effectLst/>
          </c:spPr>
          <c:cat>
            <c:numRef>
              <c:f>'Grafikoni, CAB, Karakter'!$F$11:$F$23</c:f>
              <c:numCache>
                <c:formatCode>General</c:formatCode>
                <c:ptCount val="13"/>
                <c:pt idx="0">
                  <c:v>2005</c:v>
                </c:pt>
                <c:pt idx="1">
                  <c:v>2006</c:v>
                </c:pt>
                <c:pt idx="2">
                  <c:v>2007</c:v>
                </c:pt>
                <c:pt idx="3">
                  <c:v>2008</c:v>
                </c:pt>
                <c:pt idx="4">
                  <c:v>2009</c:v>
                </c:pt>
                <c:pt idx="5">
                  <c:v>2010</c:v>
                </c:pt>
                <c:pt idx="6">
                  <c:v>2011</c:v>
                </c:pt>
                <c:pt idx="7">
                  <c:v>2012</c:v>
                </c:pt>
                <c:pt idx="8">
                  <c:v>2013</c:v>
                </c:pt>
                <c:pt idx="9">
                  <c:v>2014</c:v>
                </c:pt>
                <c:pt idx="10">
                  <c:v>2015</c:v>
                </c:pt>
                <c:pt idx="11">
                  <c:v>2016</c:v>
                </c:pt>
                <c:pt idx="12">
                  <c:v>2017</c:v>
                </c:pt>
              </c:numCache>
            </c:numRef>
          </c:cat>
          <c:val>
            <c:numRef>
              <c:f>('Grafikoni, CAB, Karakter'!$G$11:$G$29,'Grafikoni, CAB, Karakter'!$G$30,'Grafikoni, CAB, Karakter'!$G$31,'Grafikoni, CAB, Karakter'!$G$32,'Grafikoni, CAB, Karakter'!$G$33)</c:f>
              <c:numCache>
                <c:formatCode>#,##0.0</c:formatCode>
                <c:ptCount val="23"/>
                <c:pt idx="0">
                  <c:v>3.4939700056136114E-2</c:v>
                </c:pt>
                <c:pt idx="1">
                  <c:v>-3.3305407298974736</c:v>
                </c:pt>
                <c:pt idx="2">
                  <c:v>1.3050262370980286</c:v>
                </c:pt>
                <c:pt idx="3">
                  <c:v>4.1480120629277737</c:v>
                </c:pt>
                <c:pt idx="4">
                  <c:v>-0.52239416685725348</c:v>
                </c:pt>
                <c:pt idx="5">
                  <c:v>0.41026810927007673</c:v>
                </c:pt>
                <c:pt idx="6">
                  <c:v>0.30816389137498656</c:v>
                </c:pt>
                <c:pt idx="7">
                  <c:v>-4.2047696415254333E-2</c:v>
                </c:pt>
                <c:pt idx="8">
                  <c:v>0.44931713815385776</c:v>
                </c:pt>
                <c:pt idx="9">
                  <c:v>-1.6994305213717809</c:v>
                </c:pt>
                <c:pt idx="10">
                  <c:v>-1.4483637557084184</c:v>
                </c:pt>
                <c:pt idx="11">
                  <c:v>-0.37146480294039352</c:v>
                </c:pt>
                <c:pt idx="12">
                  <c:v>-0.60490750659722714</c:v>
                </c:pt>
                <c:pt idx="13">
                  <c:v>0.84074852090008867</c:v>
                </c:pt>
                <c:pt idx="14">
                  <c:v>2.1005160752801477</c:v>
                </c:pt>
                <c:pt idx="15">
                  <c:v>-2.4229218701431403</c:v>
                </c:pt>
                <c:pt idx="16">
                  <c:v>1.4366579762151328</c:v>
                </c:pt>
                <c:pt idx="17">
                  <c:v>0.16991588223105497</c:v>
                </c:pt>
                <c:pt idx="18">
                  <c:v>5.7502423509462011E-2</c:v>
                </c:pt>
                <c:pt idx="19">
                  <c:v>-0.17380968574343295</c:v>
                </c:pt>
                <c:pt idx="20">
                  <c:v>3.1517516398859306E-3</c:v>
                </c:pt>
                <c:pt idx="21">
                  <c:v>0</c:v>
                </c:pt>
                <c:pt idx="22">
                  <c:v>0.7</c:v>
                </c:pt>
              </c:numCache>
            </c:numRef>
          </c:val>
          <c:extLst>
            <c:ext xmlns:c16="http://schemas.microsoft.com/office/drawing/2014/chart" uri="{C3380CC4-5D6E-409C-BE32-E72D297353CC}">
              <c16:uniqueId val="{00000000-502E-4A13-A9E1-95AB6FAD976F}"/>
            </c:ext>
          </c:extLst>
        </c:ser>
        <c:dLbls>
          <c:showLegendKey val="0"/>
          <c:showVal val="0"/>
          <c:showCatName val="0"/>
          <c:showSerName val="0"/>
          <c:showPercent val="0"/>
          <c:showBubbleSize val="0"/>
        </c:dLbls>
        <c:axId val="342946768"/>
        <c:axId val="410610880"/>
      </c:areaChart>
      <c:lineChart>
        <c:grouping val="standard"/>
        <c:varyColors val="0"/>
        <c:ser>
          <c:idx val="0"/>
          <c:order val="0"/>
          <c:tx>
            <c:strRef>
              <c:f>'Grafikoni, CAB, Karakter'!$H$10</c:f>
              <c:strCache>
                <c:ptCount val="1"/>
                <c:pt idx="0">
                  <c:v>Фискални 
биланс</c:v>
                </c:pt>
              </c:strCache>
            </c:strRef>
          </c:tx>
          <c:spPr>
            <a:ln w="22225" cap="rnd" cmpd="sng" algn="ctr">
              <a:solidFill>
                <a:schemeClr val="accent3">
                  <a:shade val="53000"/>
                  <a:shade val="95000"/>
                  <a:satMod val="105000"/>
                </a:schemeClr>
              </a:solidFill>
              <a:prstDash val="solid"/>
              <a:round/>
            </a:ln>
            <a:effectLst/>
          </c:spPr>
          <c:marker>
            <c:symbol val="none"/>
          </c:marker>
          <c:cat>
            <c:numRef>
              <c:f>('Grafikoni, CAB, Karakter'!$F$11:$F$29,'Grafikoni, CAB, Karakter'!$F$30,'Grafikoni, CAB, Karakter'!$F$31,'Grafikoni, CAB, Karakter'!$F$32,'Grafikoni, CAB, Karakter'!$F$33)</c:f>
              <c:numCache>
                <c:formatCode>General</c:formatCode>
                <c:ptCount val="23"/>
                <c:pt idx="0">
                  <c:v>2005</c:v>
                </c:pt>
                <c:pt idx="1">
                  <c:v>2006</c:v>
                </c:pt>
                <c:pt idx="2">
                  <c:v>2007</c:v>
                </c:pt>
                <c:pt idx="3">
                  <c:v>2008</c:v>
                </c:pt>
                <c:pt idx="4">
                  <c:v>2009</c:v>
                </c:pt>
                <c:pt idx="5">
                  <c:v>2010</c:v>
                </c:pt>
                <c:pt idx="6">
                  <c:v>2011</c:v>
                </c:pt>
                <c:pt idx="7">
                  <c:v>2012</c:v>
                </c:pt>
                <c:pt idx="8">
                  <c:v>2013</c:v>
                </c:pt>
                <c:pt idx="9">
                  <c:v>2014</c:v>
                </c:pt>
                <c:pt idx="10">
                  <c:v>2015</c:v>
                </c:pt>
                <c:pt idx="11">
                  <c:v>2016</c:v>
                </c:pt>
                <c:pt idx="12">
                  <c:v>2017</c:v>
                </c:pt>
                <c:pt idx="13">
                  <c:v>2018</c:v>
                </c:pt>
                <c:pt idx="14">
                  <c:v>2019</c:v>
                </c:pt>
                <c:pt idx="15">
                  <c:v>2020</c:v>
                </c:pt>
                <c:pt idx="16">
                  <c:v>2021</c:v>
                </c:pt>
                <c:pt idx="17">
                  <c:v>2022</c:v>
                </c:pt>
                <c:pt idx="18">
                  <c:v>2023</c:v>
                </c:pt>
                <c:pt idx="19">
                  <c:v>2024</c:v>
                </c:pt>
                <c:pt idx="20">
                  <c:v>2025</c:v>
                </c:pt>
                <c:pt idx="21">
                  <c:v>2026</c:v>
                </c:pt>
                <c:pt idx="22">
                  <c:v>2027</c:v>
                </c:pt>
              </c:numCache>
            </c:numRef>
          </c:cat>
          <c:val>
            <c:numRef>
              <c:f>('Grafikoni, CAB, Karakter'!$H$11:$H$29,'Grafikoni, CAB, Karakter'!$H$30,'Grafikoni, CAB, Karakter'!$H$31,'Grafikoni, CAB, Karakter'!$H$32,'Grafikoni, CAB, Karakter'!$H$33)</c:f>
              <c:numCache>
                <c:formatCode>#,##0.0</c:formatCode>
                <c:ptCount val="23"/>
                <c:pt idx="0">
                  <c:v>1.097149537133171</c:v>
                </c:pt>
                <c:pt idx="1">
                  <c:v>-1.3625763034532159</c:v>
                </c:pt>
                <c:pt idx="2">
                  <c:v>-1.7163418836484468</c:v>
                </c:pt>
                <c:pt idx="3">
                  <c:v>-2.3843270097170652</c:v>
                </c:pt>
                <c:pt idx="4">
                  <c:v>-4.0064360419983007</c:v>
                </c:pt>
                <c:pt idx="5">
                  <c:v>-4.1670689119148951</c:v>
                </c:pt>
                <c:pt idx="6">
                  <c:v>-4.3498075491803787</c:v>
                </c:pt>
                <c:pt idx="7">
                  <c:v>-6.1793158693056833</c:v>
                </c:pt>
                <c:pt idx="8">
                  <c:v>-4.9362245543274472</c:v>
                </c:pt>
                <c:pt idx="9">
                  <c:v>-5.9449190577246052</c:v>
                </c:pt>
                <c:pt idx="10">
                  <c:v>-3.3187939284991961</c:v>
                </c:pt>
                <c:pt idx="11">
                  <c:v>-1.149397976075984</c:v>
                </c:pt>
                <c:pt idx="12">
                  <c:v>1.0557686096933128</c:v>
                </c:pt>
                <c:pt idx="13">
                  <c:v>0.60940162463875103</c:v>
                </c:pt>
                <c:pt idx="14">
                  <c:v>-0.196032233371843</c:v>
                </c:pt>
                <c:pt idx="15">
                  <c:v>-7.6817157912618725</c:v>
                </c:pt>
                <c:pt idx="16">
                  <c:v>-3.944488655583605</c:v>
                </c:pt>
                <c:pt idx="17">
                  <c:v>-3.0145095743510497</c:v>
                </c:pt>
                <c:pt idx="18">
                  <c:v>-2.0537459179069364</c:v>
                </c:pt>
                <c:pt idx="19">
                  <c:v>-2.7</c:v>
                </c:pt>
                <c:pt idx="20">
                  <c:v>-3</c:v>
                </c:pt>
                <c:pt idx="21">
                  <c:v>-3</c:v>
                </c:pt>
                <c:pt idx="22">
                  <c:v>-3</c:v>
                </c:pt>
              </c:numCache>
            </c:numRef>
          </c:val>
          <c:smooth val="0"/>
          <c:extLst>
            <c:ext xmlns:c16="http://schemas.microsoft.com/office/drawing/2014/chart" uri="{C3380CC4-5D6E-409C-BE32-E72D297353CC}">
              <c16:uniqueId val="{00000001-502E-4A13-A9E1-95AB6FAD976F}"/>
            </c:ext>
          </c:extLst>
        </c:ser>
        <c:ser>
          <c:idx val="1"/>
          <c:order val="1"/>
          <c:tx>
            <c:strRef>
              <c:f>'Grafikoni, CAB, Karakter'!$K$10</c:f>
              <c:strCache>
                <c:ptCount val="1"/>
                <c:pt idx="0">
                  <c:v>Циклично 
прилагођени  фискални биланс</c:v>
                </c:pt>
              </c:strCache>
            </c:strRef>
          </c:tx>
          <c:spPr>
            <a:ln w="22225" cap="rnd" cmpd="sng" algn="ctr">
              <a:solidFill>
                <a:schemeClr val="tx1"/>
              </a:solidFill>
              <a:prstDash val="solid"/>
              <a:round/>
            </a:ln>
            <a:effectLst/>
          </c:spPr>
          <c:marker>
            <c:symbol val="none"/>
          </c:marker>
          <c:cat>
            <c:numRef>
              <c:f>('Grafikoni, CAB, Karakter'!$F$11:$F$29,'Grafikoni, CAB, Karakter'!$F$30,'Grafikoni, CAB, Karakter'!$F$31,'Grafikoni, CAB, Karakter'!$F$32,'Grafikoni, CAB, Karakter'!$F$33)</c:f>
              <c:numCache>
                <c:formatCode>General</c:formatCode>
                <c:ptCount val="23"/>
                <c:pt idx="0">
                  <c:v>2005</c:v>
                </c:pt>
                <c:pt idx="1">
                  <c:v>2006</c:v>
                </c:pt>
                <c:pt idx="2">
                  <c:v>2007</c:v>
                </c:pt>
                <c:pt idx="3">
                  <c:v>2008</c:v>
                </c:pt>
                <c:pt idx="4">
                  <c:v>2009</c:v>
                </c:pt>
                <c:pt idx="5">
                  <c:v>2010</c:v>
                </c:pt>
                <c:pt idx="6">
                  <c:v>2011</c:v>
                </c:pt>
                <c:pt idx="7">
                  <c:v>2012</c:v>
                </c:pt>
                <c:pt idx="8">
                  <c:v>2013</c:v>
                </c:pt>
                <c:pt idx="9">
                  <c:v>2014</c:v>
                </c:pt>
                <c:pt idx="10">
                  <c:v>2015</c:v>
                </c:pt>
                <c:pt idx="11">
                  <c:v>2016</c:v>
                </c:pt>
                <c:pt idx="12">
                  <c:v>2017</c:v>
                </c:pt>
                <c:pt idx="13">
                  <c:v>2018</c:v>
                </c:pt>
                <c:pt idx="14">
                  <c:v>2019</c:v>
                </c:pt>
                <c:pt idx="15">
                  <c:v>2020</c:v>
                </c:pt>
                <c:pt idx="16">
                  <c:v>2021</c:v>
                </c:pt>
                <c:pt idx="17">
                  <c:v>2022</c:v>
                </c:pt>
                <c:pt idx="18">
                  <c:v>2023</c:v>
                </c:pt>
                <c:pt idx="19">
                  <c:v>2024</c:v>
                </c:pt>
                <c:pt idx="20">
                  <c:v>2025</c:v>
                </c:pt>
                <c:pt idx="21">
                  <c:v>2026</c:v>
                </c:pt>
                <c:pt idx="22">
                  <c:v>2027</c:v>
                </c:pt>
              </c:numCache>
            </c:numRef>
          </c:cat>
          <c:val>
            <c:numRef>
              <c:f>('Grafikoni, CAB, Karakter'!$K$11:$K$29,'Grafikoni, CAB, Karakter'!$K$30,'Grafikoni, CAB, Karakter'!$K$31,'Grafikoni, CAB, Karakter'!$K$32,'Grafikoni, CAB, Karakter'!$K$33)</c:f>
              <c:numCache>
                <c:formatCode>#,##0.0</c:formatCode>
                <c:ptCount val="23"/>
                <c:pt idx="0">
                  <c:v>1.0847517432934535</c:v>
                </c:pt>
                <c:pt idx="1">
                  <c:v>-0.1807871845509228</c:v>
                </c:pt>
                <c:pt idx="2">
                  <c:v>-2.1794095750415892</c:v>
                </c:pt>
                <c:pt idx="3">
                  <c:v>-3.8561827588567557</c:v>
                </c:pt>
                <c:pt idx="4">
                  <c:v>-3.82107282556079</c:v>
                </c:pt>
                <c:pt idx="5">
                  <c:v>-4.3126459898396918</c:v>
                </c:pt>
                <c:pt idx="6">
                  <c:v>-4.4591545781466806</c:v>
                </c:pt>
                <c:pt idx="7">
                  <c:v>-6.1643959166228095</c:v>
                </c:pt>
                <c:pt idx="8">
                  <c:v>-5.0956575557136494</c:v>
                </c:pt>
                <c:pt idx="9">
                  <c:v>-5.3419033130261617</c:v>
                </c:pt>
                <c:pt idx="10">
                  <c:v>-2.8048652107557084</c:v>
                </c:pt>
                <c:pt idx="11">
                  <c:v>-1.0175896308936523</c:v>
                </c:pt>
                <c:pt idx="12">
                  <c:v>1.270410365256208</c:v>
                </c:pt>
                <c:pt idx="13">
                  <c:v>0.31107545651424107</c:v>
                </c:pt>
                <c:pt idx="14">
                  <c:v>-0.94136677306439465</c:v>
                </c:pt>
                <c:pt idx="15">
                  <c:v>-6.8219807108943957</c:v>
                </c:pt>
                <c:pt idx="16">
                  <c:v>-4.4542637646625138</c:v>
                </c:pt>
                <c:pt idx="17">
                  <c:v>-3.0748015080141835</c:v>
                </c:pt>
                <c:pt idx="18">
                  <c:v>-2.0741497333606769</c:v>
                </c:pt>
                <c:pt idx="19">
                  <c:v>-2.6383264124268075</c:v>
                </c:pt>
                <c:pt idx="20">
                  <c:v>-3.0011183486693507</c:v>
                </c:pt>
                <c:pt idx="21">
                  <c:v>-3</c:v>
                </c:pt>
                <c:pt idx="22">
                  <c:v>-3.2483838062106725</c:v>
                </c:pt>
              </c:numCache>
            </c:numRef>
          </c:val>
          <c:smooth val="1"/>
          <c:extLst>
            <c:ext xmlns:c16="http://schemas.microsoft.com/office/drawing/2014/chart" uri="{C3380CC4-5D6E-409C-BE32-E72D297353CC}">
              <c16:uniqueId val="{00000002-502E-4A13-A9E1-95AB6FAD976F}"/>
            </c:ext>
          </c:extLst>
        </c:ser>
        <c:ser>
          <c:idx val="4"/>
          <c:order val="3"/>
          <c:tx>
            <c:strRef>
              <c:f>'Grafikoni, CAB, Karakter'!$N$10</c:f>
              <c:strCache>
                <c:ptCount val="1"/>
                <c:pt idx="0">
                  <c:v>Структурни примарни фискални биланс</c:v>
                </c:pt>
              </c:strCache>
            </c:strRef>
          </c:tx>
          <c:spPr>
            <a:ln w="22225" cap="rnd" cmpd="sng" algn="ctr">
              <a:solidFill>
                <a:srgbClr val="FF0000"/>
              </a:solidFill>
              <a:prstDash val="solid"/>
              <a:round/>
            </a:ln>
            <a:effectLst/>
          </c:spPr>
          <c:marker>
            <c:symbol val="none"/>
          </c:marker>
          <c:cat>
            <c:numRef>
              <c:f>('Grafikoni, CAB, Karakter'!$F$11:$F$29,'Grafikoni, CAB, Karakter'!$F$30,'Grafikoni, CAB, Karakter'!$F$31,'Grafikoni, CAB, Karakter'!$F$32,'Grafikoni, CAB, Karakter'!$F$33)</c:f>
              <c:numCache>
                <c:formatCode>General</c:formatCode>
                <c:ptCount val="23"/>
                <c:pt idx="0">
                  <c:v>2005</c:v>
                </c:pt>
                <c:pt idx="1">
                  <c:v>2006</c:v>
                </c:pt>
                <c:pt idx="2">
                  <c:v>2007</c:v>
                </c:pt>
                <c:pt idx="3">
                  <c:v>2008</c:v>
                </c:pt>
                <c:pt idx="4">
                  <c:v>2009</c:v>
                </c:pt>
                <c:pt idx="5">
                  <c:v>2010</c:v>
                </c:pt>
                <c:pt idx="6">
                  <c:v>2011</c:v>
                </c:pt>
                <c:pt idx="7">
                  <c:v>2012</c:v>
                </c:pt>
                <c:pt idx="8">
                  <c:v>2013</c:v>
                </c:pt>
                <c:pt idx="9">
                  <c:v>2014</c:v>
                </c:pt>
                <c:pt idx="10">
                  <c:v>2015</c:v>
                </c:pt>
                <c:pt idx="11">
                  <c:v>2016</c:v>
                </c:pt>
                <c:pt idx="12">
                  <c:v>2017</c:v>
                </c:pt>
                <c:pt idx="13">
                  <c:v>2018</c:v>
                </c:pt>
                <c:pt idx="14">
                  <c:v>2019</c:v>
                </c:pt>
                <c:pt idx="15">
                  <c:v>2020</c:v>
                </c:pt>
                <c:pt idx="16">
                  <c:v>2021</c:v>
                </c:pt>
                <c:pt idx="17">
                  <c:v>2022</c:v>
                </c:pt>
                <c:pt idx="18">
                  <c:v>2023</c:v>
                </c:pt>
                <c:pt idx="19">
                  <c:v>2024</c:v>
                </c:pt>
                <c:pt idx="20">
                  <c:v>2025</c:v>
                </c:pt>
                <c:pt idx="21">
                  <c:v>2026</c:v>
                </c:pt>
                <c:pt idx="22">
                  <c:v>2027</c:v>
                </c:pt>
              </c:numCache>
            </c:numRef>
          </c:cat>
          <c:val>
            <c:numRef>
              <c:f>('Grafikoni, CAB, Karakter'!$N$11:$N$29,'Grafikoni, CAB, Karakter'!$N$30,'Grafikoni, CAB, Karakter'!$N$31,'Grafikoni, CAB, Karakter'!$N$32,'Grafikoni, CAB, Karakter'!$N$33)</c:f>
              <c:numCache>
                <c:formatCode>#,##0.0</c:formatCode>
                <c:ptCount val="23"/>
                <c:pt idx="0">
                  <c:v>2.1796124198770381</c:v>
                </c:pt>
                <c:pt idx="1">
                  <c:v>1.6937991843397544</c:v>
                </c:pt>
                <c:pt idx="2">
                  <c:v>-1.3308754596022945</c:v>
                </c:pt>
                <c:pt idx="3">
                  <c:v>-3.393243275541677</c:v>
                </c:pt>
                <c:pt idx="4">
                  <c:v>-3.3060400176263092</c:v>
                </c:pt>
                <c:pt idx="5">
                  <c:v>-3.5061406706314022</c:v>
                </c:pt>
                <c:pt idx="6">
                  <c:v>-3.5523326208334871</c:v>
                </c:pt>
                <c:pt idx="7">
                  <c:v>-4.4795136915114826</c:v>
                </c:pt>
                <c:pt idx="8">
                  <c:v>-2.733227666564376</c:v>
                </c:pt>
                <c:pt idx="9">
                  <c:v>-1.9552266229578894</c:v>
                </c:pt>
                <c:pt idx="10">
                  <c:v>0.86315519347935765</c:v>
                </c:pt>
                <c:pt idx="11">
                  <c:v>1.8489834156859188</c:v>
                </c:pt>
                <c:pt idx="12">
                  <c:v>3.568310073850709</c:v>
                </c:pt>
                <c:pt idx="13">
                  <c:v>2.1956540477013227</c:v>
                </c:pt>
                <c:pt idx="14">
                  <c:v>0.79347978996048951</c:v>
                </c:pt>
                <c:pt idx="15">
                  <c:v>1.8184134432245775</c:v>
                </c:pt>
                <c:pt idx="16">
                  <c:v>1.0862273591028111</c:v>
                </c:pt>
                <c:pt idx="17">
                  <c:v>1.5742664617676576</c:v>
                </c:pt>
                <c:pt idx="18">
                  <c:v>0.15705740066282092</c:v>
                </c:pt>
                <c:pt idx="19">
                  <c:v>-0.36460403044448758</c:v>
                </c:pt>
                <c:pt idx="20">
                  <c:v>-0.28758524798499585</c:v>
                </c:pt>
                <c:pt idx="21">
                  <c:v>0.31768434865640138</c:v>
                </c:pt>
                <c:pt idx="22">
                  <c:v>0.16498999180799423</c:v>
                </c:pt>
              </c:numCache>
            </c:numRef>
          </c:val>
          <c:smooth val="0"/>
          <c:extLst>
            <c:ext xmlns:c16="http://schemas.microsoft.com/office/drawing/2014/chart" uri="{C3380CC4-5D6E-409C-BE32-E72D297353CC}">
              <c16:uniqueId val="{00000003-502E-4A13-A9E1-95AB6FAD976F}"/>
            </c:ext>
          </c:extLst>
        </c:ser>
        <c:ser>
          <c:idx val="3"/>
          <c:order val="4"/>
          <c:tx>
            <c:strRef>
              <c:f>'Grafikoni, CAB, Karakter'!$M$10</c:f>
              <c:strCache>
                <c:ptCount val="1"/>
                <c:pt idx="0">
                  <c:v>Структурни  фискални биланс</c:v>
                </c:pt>
              </c:strCache>
            </c:strRef>
          </c:tx>
          <c:spPr>
            <a:ln w="22225" cap="rnd" cmpd="sng" algn="ctr">
              <a:solidFill>
                <a:schemeClr val="accent6"/>
              </a:solidFill>
              <a:prstDash val="solid"/>
              <a:round/>
            </a:ln>
            <a:effectLst/>
          </c:spPr>
          <c:marker>
            <c:symbol val="none"/>
          </c:marker>
          <c:cat>
            <c:numRef>
              <c:f>('Grafikoni, CAB, Karakter'!$F$11:$F$29,'Grafikoni, CAB, Karakter'!$F$30,'Grafikoni, CAB, Karakter'!$F$31,'Grafikoni, CAB, Karakter'!$F$32,'Grafikoni, CAB, Karakter'!$F$33)</c:f>
              <c:numCache>
                <c:formatCode>General</c:formatCode>
                <c:ptCount val="23"/>
                <c:pt idx="0">
                  <c:v>2005</c:v>
                </c:pt>
                <c:pt idx="1">
                  <c:v>2006</c:v>
                </c:pt>
                <c:pt idx="2">
                  <c:v>2007</c:v>
                </c:pt>
                <c:pt idx="3">
                  <c:v>2008</c:v>
                </c:pt>
                <c:pt idx="4">
                  <c:v>2009</c:v>
                </c:pt>
                <c:pt idx="5">
                  <c:v>2010</c:v>
                </c:pt>
                <c:pt idx="6">
                  <c:v>2011</c:v>
                </c:pt>
                <c:pt idx="7">
                  <c:v>2012</c:v>
                </c:pt>
                <c:pt idx="8">
                  <c:v>2013</c:v>
                </c:pt>
                <c:pt idx="9">
                  <c:v>2014</c:v>
                </c:pt>
                <c:pt idx="10">
                  <c:v>2015</c:v>
                </c:pt>
                <c:pt idx="11">
                  <c:v>2016</c:v>
                </c:pt>
                <c:pt idx="12">
                  <c:v>2017</c:v>
                </c:pt>
                <c:pt idx="13">
                  <c:v>2018</c:v>
                </c:pt>
                <c:pt idx="14">
                  <c:v>2019</c:v>
                </c:pt>
                <c:pt idx="15">
                  <c:v>2020</c:v>
                </c:pt>
                <c:pt idx="16">
                  <c:v>2021</c:v>
                </c:pt>
                <c:pt idx="17">
                  <c:v>2022</c:v>
                </c:pt>
                <c:pt idx="18">
                  <c:v>2023</c:v>
                </c:pt>
                <c:pt idx="19">
                  <c:v>2024</c:v>
                </c:pt>
                <c:pt idx="20">
                  <c:v>2025</c:v>
                </c:pt>
                <c:pt idx="21">
                  <c:v>2026</c:v>
                </c:pt>
                <c:pt idx="22">
                  <c:v>2027</c:v>
                </c:pt>
              </c:numCache>
            </c:numRef>
          </c:cat>
          <c:val>
            <c:numRef>
              <c:f>('Grafikoni, CAB, Karakter'!$M$11:$M$29,'Grafikoni, CAB, Karakter'!$M$30,'Grafikoni, CAB, Karakter'!$M$31,'Grafikoni, CAB, Karakter'!$M$32,'Grafikoni, CAB, Karakter'!$M$33)</c:f>
              <c:numCache>
                <c:formatCode>#,##0.0</c:formatCode>
                <c:ptCount val="23"/>
                <c:pt idx="0">
                  <c:v>1.2963599412259406</c:v>
                </c:pt>
                <c:pt idx="1">
                  <c:v>0.47668833523708953</c:v>
                </c:pt>
                <c:pt idx="2">
                  <c:v>-1.8554596650373918</c:v>
                </c:pt>
                <c:pt idx="3">
                  <c:v>-3.9124487380849549</c:v>
                </c:pt>
                <c:pt idx="4">
                  <c:v>-3.8904009881670256</c:v>
                </c:pt>
                <c:pt idx="5">
                  <c:v>-4.4249373323431849</c:v>
                </c:pt>
                <c:pt idx="6">
                  <c:v>-4.6613673535308324</c:v>
                </c:pt>
                <c:pt idx="7">
                  <c:v>-6.1190316812176544</c:v>
                </c:pt>
                <c:pt idx="8">
                  <c:v>-4.8373220100000003</c:v>
                </c:pt>
                <c:pt idx="9">
                  <c:v>-4.5081797387132028</c:v>
                </c:pt>
                <c:pt idx="10">
                  <c:v>-2.0037311791871728</c:v>
                </c:pt>
                <c:pt idx="11">
                  <c:v>-0.94310193244440421</c:v>
                </c:pt>
                <c:pt idx="12">
                  <c:v>1.1311284077734454</c:v>
                </c:pt>
                <c:pt idx="13">
                  <c:v>0.16924472971767737</c:v>
                </c:pt>
                <c:pt idx="14">
                  <c:v>-1.1159935036261699</c:v>
                </c:pt>
                <c:pt idx="15">
                  <c:v>-9.245139346118858E-2</c:v>
                </c:pt>
                <c:pt idx="16">
                  <c:v>-0.56589595792512215</c:v>
                </c:pt>
                <c:pt idx="17">
                  <c:v>0.14154996978111223</c:v>
                </c:pt>
                <c:pt idx="18">
                  <c:v>-1.4277273060170026</c:v>
                </c:pt>
                <c:pt idx="19">
                  <c:v>-2.1646040304444876</c:v>
                </c:pt>
                <c:pt idx="20">
                  <c:v>-2.2875852479849956</c:v>
                </c:pt>
                <c:pt idx="21">
                  <c:v>-1.6823156513435986</c:v>
                </c:pt>
                <c:pt idx="22">
                  <c:v>-1.7350100081920059</c:v>
                </c:pt>
              </c:numCache>
            </c:numRef>
          </c:val>
          <c:smooth val="0"/>
          <c:extLst>
            <c:ext xmlns:c16="http://schemas.microsoft.com/office/drawing/2014/chart" uri="{C3380CC4-5D6E-409C-BE32-E72D297353CC}">
              <c16:uniqueId val="{00000004-502E-4A13-A9E1-95AB6FAD976F}"/>
            </c:ext>
          </c:extLst>
        </c:ser>
        <c:dLbls>
          <c:showLegendKey val="0"/>
          <c:showVal val="0"/>
          <c:showCatName val="0"/>
          <c:showSerName val="0"/>
          <c:showPercent val="0"/>
          <c:showBubbleSize val="0"/>
        </c:dLbls>
        <c:marker val="1"/>
        <c:smooth val="0"/>
        <c:axId val="342946768"/>
        <c:axId val="410610880"/>
      </c:lineChart>
      <c:catAx>
        <c:axId val="342946768"/>
        <c:scaling>
          <c:orientation val="minMax"/>
        </c:scaling>
        <c:delete val="0"/>
        <c:axPos val="b"/>
        <c:majorGridlines>
          <c:spPr>
            <a:ln w="9525" cap="flat" cmpd="sng" algn="ctr">
              <a:noFill/>
              <a:prstDash val="sysDot"/>
              <a:round/>
            </a:ln>
            <a:effectLst/>
          </c:spPr>
        </c:majorGridlines>
        <c:numFmt formatCode="General" sourceLinked="1"/>
        <c:majorTickMark val="out"/>
        <c:minorTickMark val="none"/>
        <c:tickLblPos val="nextTo"/>
        <c:spPr>
          <a:noFill/>
          <a:ln w="9525" cap="flat" cmpd="sng" algn="ctr">
            <a:solidFill>
              <a:schemeClr val="dk1">
                <a:tint val="75000"/>
                <a:shade val="95000"/>
                <a:satMod val="105000"/>
              </a:schemeClr>
            </a:solidFill>
            <a:prstDash val="solid"/>
            <a:round/>
          </a:ln>
          <a:effectLst/>
        </c:spPr>
        <c:txPr>
          <a:bodyPr rot="-60000000" spcFirstLastPara="1" vertOverflow="ellipsis" vert="horz" wrap="square" anchor="ctr" anchorCtr="1"/>
          <a:lstStyle/>
          <a:p>
            <a:pPr>
              <a:defRPr sz="900" b="0" i="0" u="none" strike="noStrike" kern="1200" baseline="0">
                <a:solidFill>
                  <a:srgbClr val="44546A"/>
                </a:solidFill>
                <a:latin typeface="Times New Roman" panose="02020603050405020304" pitchFamily="18" charset="0"/>
                <a:ea typeface="+mn-ea"/>
                <a:cs typeface="+mn-cs"/>
              </a:defRPr>
            </a:pPr>
            <a:endParaRPr lang="en-US"/>
          </a:p>
        </c:txPr>
        <c:crossAx val="410610880"/>
        <c:crosses val="autoZero"/>
        <c:auto val="1"/>
        <c:lblAlgn val="ctr"/>
        <c:lblOffset val="100"/>
        <c:noMultiLvlLbl val="0"/>
      </c:catAx>
      <c:valAx>
        <c:axId val="410610880"/>
        <c:scaling>
          <c:orientation val="minMax"/>
          <c:max val="5"/>
          <c:min val="-9"/>
        </c:scaling>
        <c:delete val="0"/>
        <c:axPos val="l"/>
        <c:majorGridlines>
          <c:spPr>
            <a:ln w="9525" cap="flat" cmpd="sng" algn="ctr">
              <a:noFill/>
              <a:prstDash val="sysDot"/>
              <a:round/>
            </a:ln>
            <a:effectLst/>
          </c:spPr>
        </c:majorGridlines>
        <c:title>
          <c:tx>
            <c:rich>
              <a:bodyPr rot="-5400000" spcFirstLastPara="1" vertOverflow="ellipsis" vert="horz" wrap="square" anchor="ctr" anchorCtr="1"/>
              <a:lstStyle/>
              <a:p>
                <a:pPr>
                  <a:defRPr sz="900" b="0" i="0" u="none" strike="noStrike" kern="1200" baseline="0">
                    <a:solidFill>
                      <a:srgbClr val="44546A"/>
                    </a:solidFill>
                    <a:latin typeface="Times New Roman" panose="02020603050405020304" pitchFamily="18" charset="0"/>
                    <a:ea typeface="+mn-ea"/>
                    <a:cs typeface="+mn-cs"/>
                  </a:defRPr>
                </a:pPr>
                <a:r>
                  <a:rPr lang="sr-Cyrl-CS" sz="900" b="0" baseline="0">
                    <a:solidFill>
                      <a:srgbClr val="44546A"/>
                    </a:solidFill>
                    <a:latin typeface="Times New Roman" panose="02020603050405020304" pitchFamily="18" charset="0"/>
                  </a:rPr>
                  <a:t>% БДП</a:t>
                </a:r>
              </a:p>
            </c:rich>
          </c:tx>
          <c:layout>
            <c:manualLayout>
              <c:xMode val="edge"/>
              <c:yMode val="edge"/>
              <c:x val="1.8249303997202707E-2"/>
              <c:y val="0.36845081615794045"/>
            </c:manualLayout>
          </c:layout>
          <c:overlay val="0"/>
          <c:spPr>
            <a:noFill/>
            <a:ln>
              <a:noFill/>
            </a:ln>
            <a:effectLst/>
          </c:spPr>
          <c:txPr>
            <a:bodyPr rot="-5400000" spcFirstLastPara="1" vertOverflow="ellipsis" vert="horz" wrap="square" anchor="ctr" anchorCtr="1"/>
            <a:lstStyle/>
            <a:p>
              <a:pPr>
                <a:defRPr sz="900" b="0" i="0" u="none" strike="noStrike" kern="1200" baseline="0">
                  <a:solidFill>
                    <a:srgbClr val="44546A"/>
                  </a:solidFill>
                  <a:latin typeface="Times New Roman" panose="02020603050405020304" pitchFamily="18" charset="0"/>
                  <a:ea typeface="+mn-ea"/>
                  <a:cs typeface="+mn-cs"/>
                </a:defRPr>
              </a:pPr>
              <a:endParaRPr lang="en-US"/>
            </a:p>
          </c:txPr>
        </c:title>
        <c:numFmt formatCode="#,##0" sourceLinked="0"/>
        <c:majorTickMark val="out"/>
        <c:minorTickMark val="none"/>
        <c:tickLblPos val="nextTo"/>
        <c:spPr>
          <a:noFill/>
          <a:ln w="9525" cap="flat" cmpd="sng" algn="ctr">
            <a:solidFill>
              <a:schemeClr val="dk1">
                <a:tint val="75000"/>
                <a:shade val="95000"/>
                <a:satMod val="105000"/>
              </a:schemeClr>
            </a:solidFill>
            <a:prstDash val="solid"/>
            <a:round/>
          </a:ln>
          <a:effectLst/>
        </c:spPr>
        <c:txPr>
          <a:bodyPr rot="-60000000" spcFirstLastPara="1" vertOverflow="ellipsis" vert="horz" wrap="square" anchor="ctr" anchorCtr="1"/>
          <a:lstStyle/>
          <a:p>
            <a:pPr>
              <a:defRPr sz="900" b="0" i="0" u="none" strike="noStrike" kern="1200" baseline="0">
                <a:solidFill>
                  <a:srgbClr val="44546A"/>
                </a:solidFill>
                <a:latin typeface="Times New Roman" panose="02020603050405020304" pitchFamily="18" charset="0"/>
                <a:ea typeface="+mn-ea"/>
                <a:cs typeface="+mn-cs"/>
              </a:defRPr>
            </a:pPr>
            <a:endParaRPr lang="en-US"/>
          </a:p>
        </c:txPr>
        <c:crossAx val="342946768"/>
        <c:crosses val="autoZero"/>
        <c:crossBetween val="between"/>
      </c:valAx>
      <c:spPr>
        <a:noFill/>
        <a:ln>
          <a:noFill/>
        </a:ln>
        <a:effectLst/>
      </c:spPr>
    </c:plotArea>
    <c:legend>
      <c:legendPos val="r"/>
      <c:layout>
        <c:manualLayout>
          <c:xMode val="edge"/>
          <c:yMode val="edge"/>
          <c:x val="9.1358234520853523E-2"/>
          <c:y val="0.75151713990296665"/>
          <c:w val="0.90426082068577873"/>
          <c:h val="0.24848286009703333"/>
        </c:manualLayout>
      </c:layout>
      <c:overlay val="0"/>
      <c:spPr>
        <a:noFill/>
        <a:ln>
          <a:noFill/>
        </a:ln>
        <a:effectLst/>
      </c:spPr>
      <c:txPr>
        <a:bodyPr rot="0" spcFirstLastPara="1" vertOverflow="ellipsis" vert="horz" wrap="square" anchor="ctr" anchorCtr="1"/>
        <a:lstStyle/>
        <a:p>
          <a:pPr>
            <a:defRPr sz="800" b="0" i="0" u="none" strike="noStrike" kern="1200" baseline="0">
              <a:solidFill>
                <a:srgbClr val="44546A"/>
              </a:solidFill>
              <a:latin typeface="Times New Roman" panose="02020603050405020304" pitchFamily="18" charset="0"/>
              <a:ea typeface="+mn-ea"/>
              <a:cs typeface="+mn-cs"/>
            </a:defRPr>
          </a:pPr>
          <a:endParaRPr lang="en-US"/>
        </a:p>
      </c:txPr>
    </c:legend>
    <c:plotVisOnly val="1"/>
    <c:dispBlanksAs val="gap"/>
    <c:showDLblsOverMax val="0"/>
  </c:chart>
  <c:spPr>
    <a:solidFill>
      <a:schemeClr val="lt1"/>
    </a:solidFill>
    <a:ln w="9525" cap="flat" cmpd="sng" algn="ctr">
      <a:noFill/>
      <a:prstDash val="solid"/>
      <a:round/>
    </a:ln>
    <a:effectLst/>
  </c:spPr>
  <c:txPr>
    <a:bodyPr/>
    <a:lstStyle/>
    <a:p>
      <a:pPr>
        <a:defRPr/>
      </a:pPr>
      <a:endParaRPr lang="en-US"/>
    </a:p>
  </c:txPr>
  <c:externalData r:id="rId4">
    <c:autoUpdate val="0"/>
  </c:externalData>
  <c:userShapes r:id="rId5"/>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5"/>
    </mc:Choice>
    <mc:Fallback>
      <c:style val="5"/>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7.3618440989179343E-2"/>
          <c:y val="5.7086964129483823E-2"/>
          <c:w val="0.91635877205946437"/>
          <c:h val="0.82967423338395085"/>
        </c:manualLayout>
      </c:layout>
      <c:barChart>
        <c:barDir val="col"/>
        <c:grouping val="clustered"/>
        <c:varyColors val="0"/>
        <c:ser>
          <c:idx val="0"/>
          <c:order val="0"/>
          <c:tx>
            <c:strRef>
              <c:f>'Grafikoni, CAB, Karakter'!$O$10</c:f>
              <c:strCache>
                <c:ptCount val="1"/>
                <c:pt idx="0">
                  <c:v>Фискални импулс</c:v>
                </c:pt>
              </c:strCache>
            </c:strRef>
          </c:tx>
          <c:spPr>
            <a:solidFill>
              <a:srgbClr val="29489A"/>
            </a:solidFill>
            <a:ln w="9525" cap="flat" cmpd="sng" algn="ctr">
              <a:solidFill>
                <a:schemeClr val="accent3">
                  <a:shade val="50000"/>
                  <a:shade val="95000"/>
                  <a:satMod val="105000"/>
                </a:schemeClr>
              </a:solidFill>
              <a:prstDash val="solid"/>
              <a:round/>
            </a:ln>
            <a:effectLst/>
          </c:spPr>
          <c:invertIfNegative val="0"/>
          <c:cat>
            <c:numRef>
              <c:f>'Grafikoni, CAB, Karakter'!$F$12:$F$33</c:f>
              <c:numCache>
                <c:formatCode>General</c:formatCode>
                <c:ptCount val="22"/>
                <c:pt idx="0">
                  <c:v>2006</c:v>
                </c:pt>
                <c:pt idx="1">
                  <c:v>2007</c:v>
                </c:pt>
                <c:pt idx="2">
                  <c:v>2008</c:v>
                </c:pt>
                <c:pt idx="3">
                  <c:v>2009</c:v>
                </c:pt>
                <c:pt idx="4">
                  <c:v>2010</c:v>
                </c:pt>
                <c:pt idx="5">
                  <c:v>2011</c:v>
                </c:pt>
                <c:pt idx="6">
                  <c:v>2012</c:v>
                </c:pt>
                <c:pt idx="7">
                  <c:v>2013</c:v>
                </c:pt>
                <c:pt idx="8">
                  <c:v>2014</c:v>
                </c:pt>
                <c:pt idx="9">
                  <c:v>2015</c:v>
                </c:pt>
                <c:pt idx="10">
                  <c:v>2016</c:v>
                </c:pt>
                <c:pt idx="11">
                  <c:v>2017</c:v>
                </c:pt>
                <c:pt idx="12">
                  <c:v>2018</c:v>
                </c:pt>
                <c:pt idx="13">
                  <c:v>2019</c:v>
                </c:pt>
                <c:pt idx="14">
                  <c:v>2020</c:v>
                </c:pt>
                <c:pt idx="15">
                  <c:v>2021</c:v>
                </c:pt>
                <c:pt idx="16">
                  <c:v>2022</c:v>
                </c:pt>
                <c:pt idx="17">
                  <c:v>2023</c:v>
                </c:pt>
                <c:pt idx="18">
                  <c:v>2024</c:v>
                </c:pt>
                <c:pt idx="19">
                  <c:v>2025</c:v>
                </c:pt>
                <c:pt idx="20">
                  <c:v>2026</c:v>
                </c:pt>
                <c:pt idx="21">
                  <c:v>2027</c:v>
                </c:pt>
              </c:numCache>
            </c:numRef>
          </c:cat>
          <c:val>
            <c:numRef>
              <c:f>('Grafikoni, CAB, Karakter'!$O$12:$O$29,'Grafikoni, CAB, Karakter'!$O$30,'Grafikoni, CAB, Karakter'!$O$31,'Grafikoni, CAB, Karakter'!$O$32,'Grafikoni, CAB, Karakter'!$O$33)</c:f>
              <c:numCache>
                <c:formatCode>#,##0.0</c:formatCode>
                <c:ptCount val="22"/>
                <c:pt idx="0">
                  <c:v>0.93168055739280864</c:v>
                </c:pt>
                <c:pt idx="1">
                  <c:v>2.6911490341582338</c:v>
                </c:pt>
                <c:pt idx="2">
                  <c:v>1.682151926706986</c:v>
                </c:pt>
                <c:pt idx="3">
                  <c:v>-0.10026544129340431</c:v>
                </c:pt>
                <c:pt idx="4">
                  <c:v>0.1571374731078361</c:v>
                </c:pt>
                <c:pt idx="5">
                  <c:v>-4.3729482678573905E-2</c:v>
                </c:pt>
                <c:pt idx="6">
                  <c:v>1.174758081467302</c:v>
                </c:pt>
                <c:pt idx="7">
                  <c:v>-1.5333147146386121</c:v>
                </c:pt>
                <c:pt idx="8">
                  <c:v>-0.20261301500717721</c:v>
                </c:pt>
                <c:pt idx="9">
                  <c:v>-2.8509713591816706</c:v>
                </c:pt>
                <c:pt idx="10">
                  <c:v>-1.7124745553258487</c:v>
                </c:pt>
                <c:pt idx="11">
                  <c:v>-1.9330963140968005</c:v>
                </c:pt>
                <c:pt idx="12">
                  <c:v>1.3701072568355852</c:v>
                </c:pt>
                <c:pt idx="13">
                  <c:v>1.3693782539756216</c:v>
                </c:pt>
                <c:pt idx="14">
                  <c:v>5.8792223947308946</c:v>
                </c:pt>
                <c:pt idx="15">
                  <c:v>-2.108975426574049</c:v>
                </c:pt>
                <c:pt idx="16">
                  <c:v>-1.1600554316069425</c:v>
                </c:pt>
                <c:pt idx="17">
                  <c:v>-1.1527199893467848</c:v>
                </c:pt>
                <c:pt idx="18">
                  <c:v>0.34896138574595426</c:v>
                </c:pt>
                <c:pt idx="19">
                  <c:v>0.16279193624254329</c:v>
                </c:pt>
                <c:pt idx="20">
                  <c:v>-1.1183486693508993E-3</c:v>
                </c:pt>
                <c:pt idx="21">
                  <c:v>0.34838380621067233</c:v>
                </c:pt>
              </c:numCache>
            </c:numRef>
          </c:val>
          <c:extLst>
            <c:ext xmlns:c16="http://schemas.microsoft.com/office/drawing/2014/chart" uri="{C3380CC4-5D6E-409C-BE32-E72D297353CC}">
              <c16:uniqueId val="{00000000-4C0C-47C3-8911-31054FAB466D}"/>
            </c:ext>
          </c:extLst>
        </c:ser>
        <c:dLbls>
          <c:showLegendKey val="0"/>
          <c:showVal val="0"/>
          <c:showCatName val="0"/>
          <c:showSerName val="0"/>
          <c:showPercent val="0"/>
          <c:showBubbleSize val="0"/>
        </c:dLbls>
        <c:gapWidth val="41"/>
        <c:overlap val="-12"/>
        <c:axId val="467546320"/>
        <c:axId val="467537360"/>
      </c:barChart>
      <c:lineChart>
        <c:grouping val="standard"/>
        <c:varyColors val="0"/>
        <c:ser>
          <c:idx val="1"/>
          <c:order val="1"/>
          <c:tx>
            <c:strRef>
              <c:f>'Grafikoni, CAB, Karakter'!$G$10</c:f>
              <c:strCache>
                <c:ptCount val="1"/>
                <c:pt idx="0">
                  <c:v>Производни јаз </c:v>
                </c:pt>
              </c:strCache>
            </c:strRef>
          </c:tx>
          <c:spPr>
            <a:ln w="22225" cap="rnd" cmpd="sng" algn="ctr">
              <a:solidFill>
                <a:srgbClr val="FF0000"/>
              </a:solidFill>
              <a:prstDash val="solid"/>
              <a:round/>
            </a:ln>
            <a:effectLst/>
          </c:spPr>
          <c:marker>
            <c:symbol val="none"/>
          </c:marker>
          <c:cat>
            <c:numRef>
              <c:f>('Grafikoni, CAB, Karakter'!$F$12:$F$29,'Grafikoni, CAB, Karakter'!$F$30,'Grafikoni, CAB, Karakter'!$F$31,'Grafikoni, CAB, Karakter'!$F$32,'Grafikoni, CAB, Karakter'!$F$33)</c:f>
              <c:numCache>
                <c:formatCode>General</c:formatCode>
                <c:ptCount val="22"/>
                <c:pt idx="0">
                  <c:v>2006</c:v>
                </c:pt>
                <c:pt idx="1">
                  <c:v>2007</c:v>
                </c:pt>
                <c:pt idx="2">
                  <c:v>2008</c:v>
                </c:pt>
                <c:pt idx="3">
                  <c:v>2009</c:v>
                </c:pt>
                <c:pt idx="4">
                  <c:v>2010</c:v>
                </c:pt>
                <c:pt idx="5">
                  <c:v>2011</c:v>
                </c:pt>
                <c:pt idx="6">
                  <c:v>2012</c:v>
                </c:pt>
                <c:pt idx="7">
                  <c:v>2013</c:v>
                </c:pt>
                <c:pt idx="8">
                  <c:v>2014</c:v>
                </c:pt>
                <c:pt idx="9">
                  <c:v>2015</c:v>
                </c:pt>
                <c:pt idx="10">
                  <c:v>2016</c:v>
                </c:pt>
                <c:pt idx="11">
                  <c:v>2017</c:v>
                </c:pt>
                <c:pt idx="12">
                  <c:v>2018</c:v>
                </c:pt>
                <c:pt idx="13">
                  <c:v>2019</c:v>
                </c:pt>
                <c:pt idx="14">
                  <c:v>2020</c:v>
                </c:pt>
                <c:pt idx="15">
                  <c:v>2021</c:v>
                </c:pt>
                <c:pt idx="16">
                  <c:v>2022</c:v>
                </c:pt>
                <c:pt idx="17">
                  <c:v>2023</c:v>
                </c:pt>
                <c:pt idx="18">
                  <c:v>2024</c:v>
                </c:pt>
                <c:pt idx="19">
                  <c:v>2025</c:v>
                </c:pt>
                <c:pt idx="20">
                  <c:v>2026</c:v>
                </c:pt>
                <c:pt idx="21">
                  <c:v>2027</c:v>
                </c:pt>
              </c:numCache>
            </c:numRef>
          </c:cat>
          <c:val>
            <c:numRef>
              <c:f>('Grafikoni, CAB, Karakter'!$G$12:$G$29,'Grafikoni, CAB, Karakter'!$G$30,'Grafikoni, CAB, Karakter'!$G$31,'Grafikoni, CAB, Karakter'!$G$32,'Grafikoni, CAB, Karakter'!$G$33)</c:f>
              <c:numCache>
                <c:formatCode>#,##0.0</c:formatCode>
                <c:ptCount val="22"/>
                <c:pt idx="0">
                  <c:v>-3.3305407298974736</c:v>
                </c:pt>
                <c:pt idx="1">
                  <c:v>1.3050262370980286</c:v>
                </c:pt>
                <c:pt idx="2">
                  <c:v>4.1480120629277737</c:v>
                </c:pt>
                <c:pt idx="3">
                  <c:v>-0.52239416685725348</c:v>
                </c:pt>
                <c:pt idx="4">
                  <c:v>0.41026810927007673</c:v>
                </c:pt>
                <c:pt idx="5">
                  <c:v>0.30816389137498656</c:v>
                </c:pt>
                <c:pt idx="6">
                  <c:v>-4.2047696415254333E-2</c:v>
                </c:pt>
                <c:pt idx="7">
                  <c:v>0.44931713815385776</c:v>
                </c:pt>
                <c:pt idx="8">
                  <c:v>-1.6994305213717809</c:v>
                </c:pt>
                <c:pt idx="9">
                  <c:v>-1.4483637557084184</c:v>
                </c:pt>
                <c:pt idx="10">
                  <c:v>-0.37146480294039352</c:v>
                </c:pt>
                <c:pt idx="11">
                  <c:v>-0.60490750659722714</c:v>
                </c:pt>
                <c:pt idx="12">
                  <c:v>0.84074852090008867</c:v>
                </c:pt>
                <c:pt idx="13">
                  <c:v>2.1005160752801477</c:v>
                </c:pt>
                <c:pt idx="14">
                  <c:v>-2.4229218701431403</c:v>
                </c:pt>
                <c:pt idx="15">
                  <c:v>1.4366579762151328</c:v>
                </c:pt>
                <c:pt idx="16">
                  <c:v>0.16991588223105497</c:v>
                </c:pt>
                <c:pt idx="17">
                  <c:v>5.7502423509462011E-2</c:v>
                </c:pt>
                <c:pt idx="18">
                  <c:v>-0.17380968574343295</c:v>
                </c:pt>
                <c:pt idx="19">
                  <c:v>3.1517516398859306E-3</c:v>
                </c:pt>
                <c:pt idx="20">
                  <c:v>0</c:v>
                </c:pt>
                <c:pt idx="21">
                  <c:v>0.7</c:v>
                </c:pt>
              </c:numCache>
            </c:numRef>
          </c:val>
          <c:smooth val="1"/>
          <c:extLst>
            <c:ext xmlns:c16="http://schemas.microsoft.com/office/drawing/2014/chart" uri="{C3380CC4-5D6E-409C-BE32-E72D297353CC}">
              <c16:uniqueId val="{00000001-4C0C-47C3-8911-31054FAB466D}"/>
            </c:ext>
          </c:extLst>
        </c:ser>
        <c:dLbls>
          <c:showLegendKey val="0"/>
          <c:showVal val="0"/>
          <c:showCatName val="0"/>
          <c:showSerName val="0"/>
          <c:showPercent val="0"/>
          <c:showBubbleSize val="0"/>
        </c:dLbls>
        <c:marker val="1"/>
        <c:smooth val="0"/>
        <c:axId val="467546320"/>
        <c:axId val="467537360"/>
      </c:lineChart>
      <c:catAx>
        <c:axId val="467546320"/>
        <c:scaling>
          <c:orientation val="minMax"/>
        </c:scaling>
        <c:delete val="0"/>
        <c:axPos val="b"/>
        <c:majorGridlines>
          <c:spPr>
            <a:ln w="9525" cap="flat" cmpd="sng" algn="ctr">
              <a:noFill/>
              <a:prstDash val="solid"/>
              <a:round/>
            </a:ln>
            <a:effectLst/>
          </c:spPr>
        </c:majorGridlines>
        <c:numFmt formatCode="General" sourceLinked="1"/>
        <c:majorTickMark val="out"/>
        <c:minorTickMark val="none"/>
        <c:tickLblPos val="low"/>
        <c:spPr>
          <a:noFill/>
          <a:ln w="6350" cap="flat" cmpd="sng" algn="ctr">
            <a:solidFill>
              <a:srgbClr val="898989"/>
            </a:solidFill>
            <a:prstDash val="solid"/>
            <a:round/>
          </a:ln>
          <a:effectLst/>
        </c:spPr>
        <c:txPr>
          <a:bodyPr rot="-60000000" spcFirstLastPara="1" vertOverflow="ellipsis" vert="horz" wrap="square" anchor="ctr" anchorCtr="1"/>
          <a:lstStyle/>
          <a:p>
            <a:pPr>
              <a:defRPr sz="800" b="0" i="0" u="none" strike="noStrike" kern="1200" baseline="0">
                <a:solidFill>
                  <a:schemeClr val="dk1"/>
                </a:solidFill>
                <a:latin typeface="Times New Roman" panose="02020603050405020304" pitchFamily="18" charset="0"/>
                <a:ea typeface="+mn-ea"/>
                <a:cs typeface="+mn-cs"/>
              </a:defRPr>
            </a:pPr>
            <a:endParaRPr lang="en-US"/>
          </a:p>
        </c:txPr>
        <c:crossAx val="467537360"/>
        <c:crosses val="autoZero"/>
        <c:auto val="1"/>
        <c:lblAlgn val="ctr"/>
        <c:lblOffset val="100"/>
        <c:noMultiLvlLbl val="0"/>
      </c:catAx>
      <c:valAx>
        <c:axId val="467537360"/>
        <c:scaling>
          <c:orientation val="minMax"/>
          <c:min val="-9"/>
        </c:scaling>
        <c:delete val="0"/>
        <c:axPos val="l"/>
        <c:majorGridlines>
          <c:spPr>
            <a:ln w="9525" cap="flat" cmpd="sng" algn="ctr">
              <a:noFill/>
              <a:prstDash val="solid"/>
              <a:round/>
            </a:ln>
            <a:effectLst/>
          </c:spPr>
        </c:majorGridlines>
        <c:title>
          <c:tx>
            <c:rich>
              <a:bodyPr rot="-5400000" spcFirstLastPara="1" vertOverflow="ellipsis" vert="horz" wrap="square" anchor="ctr" anchorCtr="1"/>
              <a:lstStyle/>
              <a:p>
                <a:pPr>
                  <a:defRPr sz="800" b="1" i="0" u="none" strike="noStrike" kern="1200" baseline="0">
                    <a:solidFill>
                      <a:schemeClr val="dk1"/>
                    </a:solidFill>
                    <a:latin typeface="Times New Roman" panose="02020603050405020304" pitchFamily="18" charset="0"/>
                    <a:ea typeface="+mn-ea"/>
                    <a:cs typeface="+mn-cs"/>
                  </a:defRPr>
                </a:pPr>
                <a:r>
                  <a:rPr lang="sr-Cyrl-CS"/>
                  <a:t>% БДП</a:t>
                </a:r>
                <a:endParaRPr lang="en-US"/>
              </a:p>
            </c:rich>
          </c:tx>
          <c:layout>
            <c:manualLayout>
              <c:xMode val="edge"/>
              <c:yMode val="edge"/>
              <c:x val="1.3115297148791293E-2"/>
              <c:y val="0.40264391253882104"/>
            </c:manualLayout>
          </c:layout>
          <c:overlay val="0"/>
          <c:spPr>
            <a:noFill/>
            <a:ln>
              <a:noFill/>
            </a:ln>
            <a:effectLst/>
          </c:spPr>
          <c:txPr>
            <a:bodyPr rot="-5400000" spcFirstLastPara="1" vertOverflow="ellipsis" vert="horz" wrap="square" anchor="ctr" anchorCtr="1"/>
            <a:lstStyle/>
            <a:p>
              <a:pPr>
                <a:defRPr sz="800" b="1" i="0" u="none" strike="noStrike" kern="1200" baseline="0">
                  <a:solidFill>
                    <a:schemeClr val="dk1"/>
                  </a:solidFill>
                  <a:latin typeface="Times New Roman" panose="02020603050405020304" pitchFamily="18" charset="0"/>
                  <a:ea typeface="+mn-ea"/>
                  <a:cs typeface="+mn-cs"/>
                </a:defRPr>
              </a:pPr>
              <a:endParaRPr lang="en-US"/>
            </a:p>
          </c:txPr>
        </c:title>
        <c:numFmt formatCode="0" sourceLinked="0"/>
        <c:majorTickMark val="out"/>
        <c:minorTickMark val="none"/>
        <c:tickLblPos val="nextTo"/>
        <c:spPr>
          <a:noFill/>
          <a:ln w="3175" cap="flat" cmpd="sng" algn="ctr">
            <a:noFill/>
            <a:prstDash val="solid"/>
            <a:round/>
          </a:ln>
          <a:effectLst/>
        </c:spPr>
        <c:txPr>
          <a:bodyPr rot="-60000000" spcFirstLastPara="1" vertOverflow="ellipsis" vert="horz" wrap="square" anchor="ctr" anchorCtr="1"/>
          <a:lstStyle/>
          <a:p>
            <a:pPr>
              <a:defRPr sz="800" b="0" i="0" u="none" strike="noStrike" kern="1200" baseline="0">
                <a:solidFill>
                  <a:schemeClr val="dk1"/>
                </a:solidFill>
                <a:latin typeface="Times New Roman" panose="02020603050405020304" pitchFamily="18" charset="0"/>
                <a:ea typeface="+mn-ea"/>
                <a:cs typeface="+mn-cs"/>
              </a:defRPr>
            </a:pPr>
            <a:endParaRPr lang="en-US"/>
          </a:p>
        </c:txPr>
        <c:crossAx val="467546320"/>
        <c:crosses val="autoZero"/>
        <c:crossBetween val="between"/>
      </c:valAx>
      <c:spPr>
        <a:noFill/>
        <a:ln>
          <a:noFill/>
        </a:ln>
        <a:effectLst/>
      </c:spPr>
    </c:plotArea>
    <c:legend>
      <c:legendPos val="r"/>
      <c:layout>
        <c:manualLayout>
          <c:xMode val="edge"/>
          <c:yMode val="edge"/>
          <c:x val="0.10575935617028157"/>
          <c:y val="0.82970027594333029"/>
          <c:w val="0.795961068391148"/>
          <c:h val="4.9573656234147202E-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dk1"/>
              </a:solidFill>
              <a:latin typeface="Times New Roman" panose="02020603050405020304" pitchFamily="18" charset="0"/>
              <a:ea typeface="+mn-ea"/>
              <a:cs typeface="+mn-cs"/>
            </a:defRPr>
          </a:pPr>
          <a:endParaRPr lang="en-US"/>
        </a:p>
      </c:txPr>
    </c:legend>
    <c:plotVisOnly val="1"/>
    <c:dispBlanksAs val="gap"/>
    <c:showDLblsOverMax val="0"/>
  </c:chart>
  <c:spPr>
    <a:solidFill>
      <a:schemeClr val="lt1"/>
    </a:solidFill>
    <a:ln w="9525" cap="flat" cmpd="sng" algn="ctr">
      <a:noFill/>
      <a:prstDash val="solid"/>
      <a:round/>
    </a:ln>
    <a:effectLst/>
  </c:spPr>
  <c:txPr>
    <a:bodyPr/>
    <a:lstStyle/>
    <a:p>
      <a:pPr>
        <a:defRPr sz="800" baseline="0">
          <a:latin typeface="Times New Roman" panose="02020603050405020304" pitchFamily="18" charset="0"/>
        </a:defRPr>
      </a:pPr>
      <a:endParaRPr lang="en-US"/>
    </a:p>
  </c:txPr>
  <c:externalData r:id="rId4">
    <c:autoUpdate val="0"/>
  </c:externalData>
  <c:userShapes r:id="rId5"/>
</c:chartSpace>
</file>

<file path=word/charts/chart1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4.0616161716296222E-2"/>
          <c:y val="6.7839909841778262E-2"/>
          <c:w val="0.93476377952755907"/>
          <c:h val="0.89864703352758868"/>
        </c:manualLayout>
      </c:layout>
      <c:scatterChart>
        <c:scatterStyle val="smoothMarker"/>
        <c:varyColors val="0"/>
        <c:ser>
          <c:idx val="1"/>
          <c:order val="0"/>
          <c:spPr>
            <a:ln w="19050" cap="rnd">
              <a:solidFill>
                <a:srgbClr val="FF0000"/>
              </a:solidFill>
              <a:round/>
            </a:ln>
            <a:effectLst/>
          </c:spPr>
          <c:marker>
            <c:symbol val="circle"/>
            <c:size val="6"/>
            <c:spPr>
              <a:gradFill rotWithShape="1">
                <a:gsLst>
                  <a:gs pos="0">
                    <a:schemeClr val="accent4">
                      <a:shade val="51000"/>
                      <a:satMod val="130000"/>
                    </a:schemeClr>
                  </a:gs>
                  <a:gs pos="80000">
                    <a:schemeClr val="accent4">
                      <a:shade val="93000"/>
                      <a:satMod val="130000"/>
                    </a:schemeClr>
                  </a:gs>
                  <a:gs pos="100000">
                    <a:schemeClr val="accent4">
                      <a:shade val="94000"/>
                      <a:satMod val="135000"/>
                    </a:schemeClr>
                  </a:gs>
                </a:gsLst>
                <a:lin ang="16200000" scaled="0"/>
              </a:gradFill>
              <a:ln w="9525" cap="rnd">
                <a:solidFill>
                  <a:schemeClr val="accent4"/>
                </a:solidFill>
                <a:round/>
              </a:ln>
              <a:effectLst/>
              <a:scene3d>
                <a:camera prst="orthographicFront">
                  <a:rot lat="0" lon="0" rev="0"/>
                </a:camera>
                <a:lightRig rig="threePt" dir="t">
                  <a:rot lat="0" lon="0" rev="1200000"/>
                </a:lightRig>
              </a:scene3d>
              <a:sp3d>
                <a:bevelT w="63500" h="25400"/>
              </a:sp3d>
            </c:spPr>
          </c:marker>
          <c:dLbls>
            <c:dLbl>
              <c:idx val="0"/>
              <c:layout>
                <c:manualLayout>
                  <c:x val="-6.9381423218486976E-2"/>
                  <c:y val="-4.1527671341031656E-2"/>
                </c:manualLayout>
              </c:layout>
              <c:tx>
                <c:rich>
                  <a:bodyPr/>
                  <a:lstStyle/>
                  <a:p>
                    <a:r>
                      <a:rPr lang="en-US"/>
                      <a:t>2006</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CC83-434F-A36A-EF73171E0E44}"/>
                </c:ext>
              </c:extLst>
            </c:dLbl>
            <c:dLbl>
              <c:idx val="1"/>
              <c:layout>
                <c:manualLayout>
                  <c:x val="-2.4016646498707127E-2"/>
                  <c:y val="-3.3977185642662298E-2"/>
                </c:manualLayout>
              </c:layout>
              <c:tx>
                <c:rich>
                  <a:bodyPr/>
                  <a:lstStyle/>
                  <a:p>
                    <a:r>
                      <a:rPr lang="en-US"/>
                      <a:t>2007</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CC83-434F-A36A-EF73171E0E44}"/>
                </c:ext>
              </c:extLst>
            </c:dLbl>
            <c:dLbl>
              <c:idx val="2"/>
              <c:layout>
                <c:manualLayout>
                  <c:x val="-2.8370370630870948E-2"/>
                  <c:y val="-1.453148864866468E-2"/>
                </c:manualLayout>
              </c:layout>
              <c:tx>
                <c:rich>
                  <a:bodyPr/>
                  <a:lstStyle/>
                  <a:p>
                    <a:r>
                      <a:rPr lang="en-US"/>
                      <a:t>2008</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CC83-434F-A36A-EF73171E0E44}"/>
                </c:ext>
              </c:extLst>
            </c:dLbl>
            <c:dLbl>
              <c:idx val="3"/>
              <c:layout>
                <c:manualLayout>
                  <c:x val="-0.13454854074369876"/>
                  <c:y val="-3.2646747537246598E-2"/>
                </c:manualLayout>
              </c:layout>
              <c:tx>
                <c:rich>
                  <a:bodyPr/>
                  <a:lstStyle/>
                  <a:p>
                    <a:r>
                      <a:rPr lang="en-US"/>
                      <a:t>2009</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CC83-434F-A36A-EF73171E0E44}"/>
                </c:ext>
              </c:extLst>
            </c:dLbl>
            <c:dLbl>
              <c:idx val="4"/>
              <c:layout>
                <c:manualLayout>
                  <c:x val="-0.11474619993826693"/>
                  <c:y val="4.8635741754395737E-2"/>
                </c:manualLayout>
              </c:layout>
              <c:tx>
                <c:rich>
                  <a:bodyPr/>
                  <a:lstStyle/>
                  <a:p>
                    <a:r>
                      <a:rPr lang="en-US"/>
                      <a:t>2010</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CC83-434F-A36A-EF73171E0E44}"/>
                </c:ext>
              </c:extLst>
            </c:dLbl>
            <c:dLbl>
              <c:idx val="5"/>
              <c:layout>
                <c:manualLayout>
                  <c:x val="8.0055488329023438E-3"/>
                  <c:y val="-3.0523469547407887E-2"/>
                </c:manualLayout>
              </c:layout>
              <c:tx>
                <c:rich>
                  <a:bodyPr/>
                  <a:lstStyle/>
                  <a:p>
                    <a:r>
                      <a:rPr lang="en-US"/>
                      <a:t>2011</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CC83-434F-A36A-EF73171E0E44}"/>
                </c:ext>
              </c:extLst>
            </c:dLbl>
            <c:dLbl>
              <c:idx val="6"/>
              <c:layout>
                <c:manualLayout>
                  <c:x val="-6.6712906940852856E-2"/>
                  <c:y val="-4.9078157039401084E-2"/>
                </c:manualLayout>
              </c:layout>
              <c:tx>
                <c:rich>
                  <a:bodyPr/>
                  <a:lstStyle/>
                  <a:p>
                    <a:r>
                      <a:rPr lang="en-US"/>
                      <a:t>2012</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CC83-434F-A36A-EF73171E0E44}"/>
                </c:ext>
              </c:extLst>
            </c:dLbl>
            <c:dLbl>
              <c:idx val="7"/>
              <c:layout>
                <c:manualLayout>
                  <c:x val="1.3486231330586023E-2"/>
                  <c:y val="-1.6118747633412688E-3"/>
                </c:manualLayout>
              </c:layout>
              <c:tx>
                <c:rich>
                  <a:bodyPr/>
                  <a:lstStyle/>
                  <a:p>
                    <a:r>
                      <a:rPr lang="en-US"/>
                      <a:t>2013</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CC83-434F-A36A-EF73171E0E44}"/>
                </c:ext>
              </c:extLst>
            </c:dLbl>
            <c:dLbl>
              <c:idx val="8"/>
              <c:layout>
                <c:manualLayout>
                  <c:x val="-0.16393145140019624"/>
                  <c:y val="6.0068211812506489E-2"/>
                </c:manualLayout>
              </c:layout>
              <c:tx>
                <c:rich>
                  <a:bodyPr/>
                  <a:lstStyle/>
                  <a:p>
                    <a:r>
                      <a:rPr lang="en-US"/>
                      <a:t>2014</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CC83-434F-A36A-EF73171E0E44}"/>
                </c:ext>
              </c:extLst>
            </c:dLbl>
            <c:dLbl>
              <c:idx val="9"/>
              <c:layout>
                <c:manualLayout>
                  <c:x val="-5.4327355684405977E-2"/>
                  <c:y val="3.8165916006571952E-2"/>
                </c:manualLayout>
              </c:layout>
              <c:tx>
                <c:rich>
                  <a:bodyPr/>
                  <a:lstStyle/>
                  <a:p>
                    <a:r>
                      <a:rPr lang="en-US"/>
                      <a:t>2015</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CC83-434F-A36A-EF73171E0E44}"/>
                </c:ext>
              </c:extLst>
            </c:dLbl>
            <c:dLbl>
              <c:idx val="10"/>
              <c:layout>
                <c:manualLayout>
                  <c:x val="-2.1348125735417816E-2"/>
                  <c:y val="7.0193690025747005E-2"/>
                </c:manualLayout>
              </c:layout>
              <c:tx>
                <c:rich>
                  <a:bodyPr/>
                  <a:lstStyle/>
                  <a:p>
                    <a:r>
                      <a:rPr lang="en-US"/>
                      <a:t>2016</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A-CC83-434F-A36A-EF73171E0E44}"/>
                </c:ext>
              </c:extLst>
            </c:dLbl>
            <c:dLbl>
              <c:idx val="11"/>
              <c:layout>
                <c:manualLayout>
                  <c:x val="-0.11723069564942167"/>
                  <c:y val="8.2171508222489142E-3"/>
                </c:manualLayout>
              </c:layout>
              <c:tx>
                <c:rich>
                  <a:bodyPr/>
                  <a:lstStyle/>
                  <a:p>
                    <a:r>
                      <a:rPr lang="en-US"/>
                      <a:t>2017</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B-CC83-434F-A36A-EF73171E0E44}"/>
                </c:ext>
              </c:extLst>
            </c:dLbl>
            <c:dLbl>
              <c:idx val="12"/>
              <c:layout>
                <c:manualLayout>
                  <c:x val="-8.5392520884291667E-2"/>
                  <c:y val="-2.2410209173716247E-2"/>
                </c:manualLayout>
              </c:layout>
              <c:tx>
                <c:rich>
                  <a:bodyPr/>
                  <a:lstStyle/>
                  <a:p>
                    <a:r>
                      <a:rPr lang="en-US"/>
                      <a:t>2018</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C-CC83-434F-A36A-EF73171E0E44}"/>
                </c:ext>
              </c:extLst>
            </c:dLbl>
            <c:dLbl>
              <c:idx val="13"/>
              <c:layout>
                <c:manualLayout>
                  <c:x val="-4.2696274754741539E-2"/>
                  <c:y val="-4.7156292963379649E-2"/>
                </c:manualLayout>
              </c:layout>
              <c:tx>
                <c:rich>
                  <a:bodyPr/>
                  <a:lstStyle/>
                  <a:p>
                    <a:r>
                      <a:rPr lang="en-US"/>
                      <a:t>2019</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D-CC83-434F-A36A-EF73171E0E44}"/>
                </c:ext>
              </c:extLst>
            </c:dLbl>
            <c:dLbl>
              <c:idx val="14"/>
              <c:layout>
                <c:manualLayout>
                  <c:x val="-0.12007117913297907"/>
                  <c:y val="6.1965093346382547E-2"/>
                </c:manualLayout>
              </c:layout>
              <c:tx>
                <c:rich>
                  <a:bodyPr rot="0" spcFirstLastPara="1" vertOverflow="ellipsis" vert="horz" wrap="square" lIns="38100" tIns="19050" rIns="38100" bIns="19050" anchor="ctr" anchorCtr="1">
                    <a:noAutofit/>
                  </a:bodyPr>
                  <a:lstStyle/>
                  <a:p>
                    <a:pPr>
                      <a:defRPr sz="800" b="0" i="0" u="none" strike="noStrike" kern="1200" baseline="0">
                        <a:solidFill>
                          <a:srgbClr val="44546A"/>
                        </a:solidFill>
                        <a:latin typeface="Times New Roman" panose="02020603050405020304" pitchFamily="18" charset="0"/>
                        <a:ea typeface="+mn-ea"/>
                        <a:cs typeface="+mn-cs"/>
                      </a:defRPr>
                    </a:pPr>
                    <a:r>
                      <a:rPr lang="en-US" sz="800" baseline="0">
                        <a:latin typeface="Times New Roman" panose="02020603050405020304" pitchFamily="18" charset="0"/>
                      </a:rPr>
                      <a:t>2020</a:t>
                    </a:r>
                  </a:p>
                </c:rich>
              </c:tx>
              <c:spPr>
                <a:noFill/>
                <a:ln>
                  <a:noFill/>
                </a:ln>
                <a:effectLst/>
              </c:spPr>
              <c:showLegendKey val="0"/>
              <c:showVal val="1"/>
              <c:showCatName val="0"/>
              <c:showSerName val="0"/>
              <c:showPercent val="0"/>
              <c:showBubbleSize val="0"/>
              <c:extLst>
                <c:ext xmlns:c15="http://schemas.microsoft.com/office/drawing/2012/chart" uri="{CE6537A1-D6FC-4f65-9D91-7224C49458BB}">
                  <c15:layout>
                    <c:manualLayout>
                      <c:w val="0.12534352501355245"/>
                      <c:h val="6.2153480814898125E-2"/>
                    </c:manualLayout>
                  </c15:layout>
                </c:ext>
                <c:ext xmlns:c16="http://schemas.microsoft.com/office/drawing/2014/chart" uri="{C3380CC4-5D6E-409C-BE32-E72D297353CC}">
                  <c16:uniqueId val="{0000000E-CC83-434F-A36A-EF73171E0E44}"/>
                </c:ext>
              </c:extLst>
            </c:dLbl>
            <c:dLbl>
              <c:idx val="15"/>
              <c:layout>
                <c:manualLayout>
                  <c:x val="1.0674062867708761E-2"/>
                  <c:y val="-3.2622739847777804E-2"/>
                </c:manualLayout>
              </c:layout>
              <c:tx>
                <c:rich>
                  <a:bodyPr/>
                  <a:lstStyle/>
                  <a:p>
                    <a:r>
                      <a:rPr lang="en-US"/>
                      <a:t>2021</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F-CC83-434F-A36A-EF73171E0E44}"/>
                </c:ext>
              </c:extLst>
            </c:dLbl>
            <c:dLbl>
              <c:idx val="16"/>
              <c:layout>
                <c:manualLayout>
                  <c:x val="-5.1434317050597804E-2"/>
                  <c:y val="3.1226658550831701E-2"/>
                </c:manualLayout>
              </c:layout>
              <c:tx>
                <c:rich>
                  <a:bodyPr rot="0" spcFirstLastPara="1" vertOverflow="ellipsis" vert="horz" wrap="square" lIns="38100" tIns="19050" rIns="38100" bIns="19050" anchor="ctr" anchorCtr="1">
                    <a:noAutofit/>
                  </a:bodyPr>
                  <a:lstStyle/>
                  <a:p>
                    <a:pPr>
                      <a:defRPr sz="800" b="0" i="0" u="none" strike="noStrike" kern="1200" baseline="0">
                        <a:solidFill>
                          <a:srgbClr val="44546A"/>
                        </a:solidFill>
                        <a:latin typeface="Times New Roman" panose="02020603050405020304" pitchFamily="18" charset="0"/>
                        <a:ea typeface="+mn-ea"/>
                        <a:cs typeface="+mn-cs"/>
                      </a:defRPr>
                    </a:pPr>
                    <a:r>
                      <a:rPr lang="en-US" sz="800" b="0" baseline="0">
                        <a:latin typeface="Times New Roman" panose="02020603050405020304" pitchFamily="18" charset="0"/>
                      </a:rPr>
                      <a:t>2022</a:t>
                    </a:r>
                  </a:p>
                </c:rich>
              </c:tx>
              <c:spPr>
                <a:noFill/>
                <a:ln>
                  <a:noFill/>
                </a:ln>
                <a:effectLst/>
              </c:spPr>
              <c:showLegendKey val="0"/>
              <c:showVal val="1"/>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ext>
                <c:ext xmlns:c16="http://schemas.microsoft.com/office/drawing/2014/chart" uri="{C3380CC4-5D6E-409C-BE32-E72D297353CC}">
                  <c16:uniqueId val="{00000010-CC83-434F-A36A-EF73171E0E44}"/>
                </c:ext>
              </c:extLst>
            </c:dLbl>
            <c:dLbl>
              <c:idx val="17"/>
              <c:layout>
                <c:manualLayout>
                  <c:x val="-0.12593255566144898"/>
                  <c:y val="6.9392173435947621E-3"/>
                </c:manualLayout>
              </c:layout>
              <c:tx>
                <c:rich>
                  <a:bodyPr/>
                  <a:lstStyle/>
                  <a:p>
                    <a:r>
                      <a:rPr lang="en-US"/>
                      <a:t>2023</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1-CC83-434F-A36A-EF73171E0E44}"/>
                </c:ext>
              </c:extLst>
            </c:dLbl>
            <c:dLbl>
              <c:idx val="18"/>
              <c:layout>
                <c:manualLayout>
                  <c:x val="-1.3581838921101494E-2"/>
                  <c:y val="-6.9392574557403776E-3"/>
                </c:manualLayout>
              </c:layout>
              <c:tx>
                <c:rich>
                  <a:bodyPr/>
                  <a:lstStyle/>
                  <a:p>
                    <a:r>
                      <a:rPr lang="en-US"/>
                      <a:t>2024</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2-CC83-434F-A36A-EF73171E0E44}"/>
                </c:ext>
              </c:extLst>
            </c:dLbl>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rgbClr val="44546A"/>
                    </a:solidFill>
                    <a:latin typeface="Times New Roman" panose="02020603050405020304" pitchFamily="18" charset="0"/>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xVal>
            <c:numRef>
              <c:f>'Grafikoni, CAB, Karakter'!$Z$12:$Z$30</c:f>
              <c:numCache>
                <c:formatCode>#,##0.0</c:formatCode>
                <c:ptCount val="19"/>
                <c:pt idx="0">
                  <c:v>-3.3305407298974736</c:v>
                </c:pt>
                <c:pt idx="1">
                  <c:v>1.3050262370980286</c:v>
                </c:pt>
                <c:pt idx="2">
                  <c:v>4.1480120629277737</c:v>
                </c:pt>
                <c:pt idx="3">
                  <c:v>-0.52239416685725348</c:v>
                </c:pt>
                <c:pt idx="4">
                  <c:v>0.41026810927007673</c:v>
                </c:pt>
                <c:pt idx="5">
                  <c:v>0.30816389137498656</c:v>
                </c:pt>
                <c:pt idx="6">
                  <c:v>-4.2047696415254333E-2</c:v>
                </c:pt>
                <c:pt idx="7">
                  <c:v>0.44931713815385776</c:v>
                </c:pt>
                <c:pt idx="8">
                  <c:v>-1.6994305213717809</c:v>
                </c:pt>
                <c:pt idx="9">
                  <c:v>-1.4483637557084184</c:v>
                </c:pt>
                <c:pt idx="10">
                  <c:v>-0.37146480294039352</c:v>
                </c:pt>
                <c:pt idx="11">
                  <c:v>-0.60490750659722714</c:v>
                </c:pt>
                <c:pt idx="12">
                  <c:v>0.84074852090008867</c:v>
                </c:pt>
                <c:pt idx="13">
                  <c:v>2.1005160752801477</c:v>
                </c:pt>
                <c:pt idx="14">
                  <c:v>-2.4229218701431403</c:v>
                </c:pt>
                <c:pt idx="15">
                  <c:v>1.4366579762151328</c:v>
                </c:pt>
                <c:pt idx="16">
                  <c:v>0.16991588223105497</c:v>
                </c:pt>
                <c:pt idx="17">
                  <c:v>5.7502423509462011E-2</c:v>
                </c:pt>
                <c:pt idx="18">
                  <c:v>-0.17380968574343295</c:v>
                </c:pt>
              </c:numCache>
            </c:numRef>
          </c:xVal>
          <c:yVal>
            <c:numRef>
              <c:f>'Grafikoni, CAB, Karakter'!$AA$12:$AA$30</c:f>
              <c:numCache>
                <c:formatCode>#,##0.0</c:formatCode>
                <c:ptCount val="19"/>
                <c:pt idx="0">
                  <c:v>0.93168055739280864</c:v>
                </c:pt>
                <c:pt idx="1">
                  <c:v>2.6911490341582338</c:v>
                </c:pt>
                <c:pt idx="2">
                  <c:v>1.682151926706986</c:v>
                </c:pt>
                <c:pt idx="3">
                  <c:v>-0.10026544129340431</c:v>
                </c:pt>
                <c:pt idx="4">
                  <c:v>0.1571374731078361</c:v>
                </c:pt>
                <c:pt idx="5">
                  <c:v>-4.3729482678573905E-2</c:v>
                </c:pt>
                <c:pt idx="6">
                  <c:v>1.174758081467302</c:v>
                </c:pt>
                <c:pt idx="7">
                  <c:v>-1.5333147146386121</c:v>
                </c:pt>
                <c:pt idx="8">
                  <c:v>-0.20261301500717721</c:v>
                </c:pt>
                <c:pt idx="9">
                  <c:v>-2.8509713591816706</c:v>
                </c:pt>
                <c:pt idx="10">
                  <c:v>-1.7124745553258487</c:v>
                </c:pt>
                <c:pt idx="11">
                  <c:v>-1.9330963140968005</c:v>
                </c:pt>
                <c:pt idx="12">
                  <c:v>1.3701072568355852</c:v>
                </c:pt>
                <c:pt idx="13">
                  <c:v>1.3693782539756216</c:v>
                </c:pt>
                <c:pt idx="14">
                  <c:v>5.8792223947308946</c:v>
                </c:pt>
                <c:pt idx="15">
                  <c:v>-2.108975426574049</c:v>
                </c:pt>
                <c:pt idx="16">
                  <c:v>-1.1600554316069425</c:v>
                </c:pt>
                <c:pt idx="17">
                  <c:v>-1.1527199893467848</c:v>
                </c:pt>
                <c:pt idx="18">
                  <c:v>0.34896138574595426</c:v>
                </c:pt>
              </c:numCache>
            </c:numRef>
          </c:yVal>
          <c:smooth val="1"/>
          <c:extLst>
            <c:ext xmlns:c16="http://schemas.microsoft.com/office/drawing/2014/chart" uri="{C3380CC4-5D6E-409C-BE32-E72D297353CC}">
              <c16:uniqueId val="{00000013-CC83-434F-A36A-EF73171E0E44}"/>
            </c:ext>
          </c:extLst>
        </c:ser>
        <c:dLbls>
          <c:showLegendKey val="0"/>
          <c:showVal val="0"/>
          <c:showCatName val="0"/>
          <c:showSerName val="0"/>
          <c:showPercent val="0"/>
          <c:showBubbleSize val="0"/>
        </c:dLbls>
        <c:axId val="220401872"/>
        <c:axId val="343751600"/>
      </c:scatterChart>
      <c:valAx>
        <c:axId val="220401872"/>
        <c:scaling>
          <c:orientation val="minMax"/>
          <c:min val="-4"/>
        </c:scaling>
        <c:delete val="0"/>
        <c:axPos val="b"/>
        <c:majorGridlines>
          <c:spPr>
            <a:ln w="12700" cap="flat" cmpd="sng" algn="ctr">
              <a:noFill/>
              <a:round/>
            </a:ln>
            <a:effectLst/>
          </c:spPr>
        </c:majorGridlines>
        <c:title>
          <c:tx>
            <c:rich>
              <a:bodyPr rot="0" spcFirstLastPara="1" vertOverflow="ellipsis" vert="horz" wrap="square" anchor="ctr" anchorCtr="1"/>
              <a:lstStyle/>
              <a:p>
                <a:pPr>
                  <a:defRPr sz="900" b="0" i="0" u="none" strike="noStrike" kern="1200" baseline="0">
                    <a:solidFill>
                      <a:srgbClr val="44546A"/>
                    </a:solidFill>
                    <a:latin typeface="Times New Roman" panose="02020603050405020304" pitchFamily="18" charset="0"/>
                    <a:ea typeface="+mn-ea"/>
                    <a:cs typeface="+mn-cs"/>
                  </a:defRPr>
                </a:pPr>
                <a:r>
                  <a:rPr lang="sr-Cyrl-CS" sz="900" b="0" baseline="0">
                    <a:solidFill>
                      <a:srgbClr val="44546A"/>
                    </a:solidFill>
                    <a:latin typeface="Times New Roman" panose="02020603050405020304" pitchFamily="18" charset="0"/>
                  </a:rPr>
                  <a:t>Производни јаз</a:t>
                </a:r>
              </a:p>
            </c:rich>
          </c:tx>
          <c:layout>
            <c:manualLayout>
              <c:xMode val="edge"/>
              <c:yMode val="edge"/>
              <c:x val="0.82932193475815519"/>
              <c:y val="0.56597321446622073"/>
            </c:manualLayout>
          </c:layout>
          <c:overlay val="0"/>
          <c:spPr>
            <a:noFill/>
            <a:ln>
              <a:noFill/>
            </a:ln>
            <a:effectLst/>
          </c:spPr>
        </c:title>
        <c:numFmt formatCode="#,##0" sourceLinked="0"/>
        <c:majorTickMark val="none"/>
        <c:minorTickMark val="none"/>
        <c:tickLblPos val="nextTo"/>
        <c:spPr>
          <a:noFill/>
          <a:ln w="9525" cap="flat" cmpd="sng" algn="ctr">
            <a:solidFill>
              <a:srgbClr val="D9D9D9"/>
            </a:solidFill>
            <a:round/>
          </a:ln>
          <a:effectLst/>
        </c:spPr>
        <c:txPr>
          <a:bodyPr rot="-60000000" spcFirstLastPara="1" vertOverflow="ellipsis" vert="horz" wrap="square" anchor="ctr" anchorCtr="1"/>
          <a:lstStyle/>
          <a:p>
            <a:pPr>
              <a:defRPr sz="900" b="0" i="0" u="none" strike="noStrike" kern="1200" baseline="0">
                <a:solidFill>
                  <a:srgbClr val="44546A"/>
                </a:solidFill>
                <a:latin typeface="Times New Roman" panose="02020603050405020304" pitchFamily="18" charset="0"/>
                <a:ea typeface="+mn-ea"/>
                <a:cs typeface="+mn-cs"/>
              </a:defRPr>
            </a:pPr>
            <a:endParaRPr lang="en-US"/>
          </a:p>
        </c:txPr>
        <c:crossAx val="343751600"/>
        <c:crosses val="autoZero"/>
        <c:crossBetween val="midCat"/>
      </c:valAx>
      <c:valAx>
        <c:axId val="343751600"/>
        <c:scaling>
          <c:orientation val="minMax"/>
          <c:max val="6.5"/>
          <c:min val="-4"/>
        </c:scaling>
        <c:delete val="0"/>
        <c:axPos val="l"/>
        <c:majorGridlines>
          <c:spPr>
            <a:ln w="9525" cap="flat" cmpd="sng" algn="ctr">
              <a:noFill/>
              <a:round/>
            </a:ln>
            <a:effectLst/>
          </c:spPr>
        </c:majorGridlines>
        <c:title>
          <c:tx>
            <c:rich>
              <a:bodyPr rot="-5400000" spcFirstLastPara="1" vertOverflow="ellipsis" vert="horz" wrap="square" anchor="ctr" anchorCtr="1"/>
              <a:lstStyle/>
              <a:p>
                <a:pPr>
                  <a:defRPr sz="900" b="0" i="0" u="none" strike="noStrike" kern="1200" baseline="0">
                    <a:solidFill>
                      <a:srgbClr val="44546A"/>
                    </a:solidFill>
                    <a:latin typeface="Times New Roman" panose="02020603050405020304" pitchFamily="18" charset="0"/>
                    <a:ea typeface="+mn-ea"/>
                    <a:cs typeface="+mn-cs"/>
                  </a:defRPr>
                </a:pPr>
                <a:r>
                  <a:rPr lang="sr-Cyrl-CS" sz="900" b="0" baseline="0">
                    <a:solidFill>
                      <a:srgbClr val="44546A"/>
                    </a:solidFill>
                    <a:latin typeface="Times New Roman" panose="02020603050405020304" pitchFamily="18" charset="0"/>
                  </a:rPr>
                  <a:t>Фискални импулс</a:t>
                </a:r>
                <a:endParaRPr lang="en-GB" sz="900" b="0" baseline="0">
                  <a:solidFill>
                    <a:srgbClr val="44546A"/>
                  </a:solidFill>
                  <a:latin typeface="Times New Roman" panose="02020603050405020304" pitchFamily="18" charset="0"/>
                </a:endParaRPr>
              </a:p>
            </c:rich>
          </c:tx>
          <c:layout>
            <c:manualLayout>
              <c:xMode val="edge"/>
              <c:yMode val="edge"/>
              <c:x val="2.416097987751531E-3"/>
              <c:y val="0.49974210003786534"/>
            </c:manualLayout>
          </c:layout>
          <c:overlay val="0"/>
          <c:spPr>
            <a:noFill/>
            <a:ln>
              <a:noFill/>
            </a:ln>
            <a:effectLst/>
          </c:spPr>
        </c:title>
        <c:numFmt formatCode="#,##0" sourceLinked="0"/>
        <c:majorTickMark val="none"/>
        <c:minorTickMark val="none"/>
        <c:tickLblPos val="nextTo"/>
        <c:spPr>
          <a:noFill/>
          <a:ln w="9525">
            <a:solidFill>
              <a:srgbClr val="D9D9D9"/>
            </a:solid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mn-cs"/>
              </a:defRPr>
            </a:pPr>
            <a:endParaRPr lang="en-US"/>
          </a:p>
        </c:txPr>
        <c:crossAx val="220401872"/>
        <c:crosses val="autoZero"/>
        <c:crossBetween val="midCat"/>
      </c:valAx>
      <c:spPr>
        <a:noFill/>
        <a:ln>
          <a:noFill/>
        </a:ln>
        <a:effectLst/>
      </c:spPr>
    </c:plotArea>
    <c:plotVisOnly val="1"/>
    <c:dispBlanksAs val="gap"/>
    <c:showDLblsOverMax val="0"/>
  </c:chart>
  <c:spPr>
    <a:solidFill>
      <a:schemeClr val="bg1"/>
    </a:solidFill>
    <a:ln w="9525" cap="flat" cmpd="sng" algn="ctr">
      <a:noFill/>
      <a:round/>
    </a:ln>
    <a:effectLst/>
  </c:spPr>
  <c:txPr>
    <a:bodyPr/>
    <a:lstStyle/>
    <a:p>
      <a:pPr>
        <a:defRPr baseline="0">
          <a:latin typeface="Cambria" panose="02040503050406030204" pitchFamily="18" charset="0"/>
        </a:defRPr>
      </a:pPr>
      <a:endParaRPr lang="en-US"/>
    </a:p>
  </c:txPr>
  <c:externalData r:id="rId2">
    <c:autoUpdate val="0"/>
  </c:externalData>
  <c:userShapes r:id="rId3"/>
</c:chartSpace>
</file>

<file path=word/charts/chart1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3"/>
    </mc:Choice>
    <mc:Fallback>
      <c:style val="3"/>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6.7368051268925991E-2"/>
          <c:y val="2.4498269896193772E-2"/>
          <c:w val="0.9372012977727866"/>
          <c:h val="0.90122138542350005"/>
        </c:manualLayout>
      </c:layout>
      <c:lineChart>
        <c:grouping val="standard"/>
        <c:varyColors val="0"/>
        <c:ser>
          <c:idx val="0"/>
          <c:order val="0"/>
          <c:spPr>
            <a:ln w="28575" cap="rnd" cmpd="sng" algn="ctr">
              <a:solidFill>
                <a:schemeClr val="accent1">
                  <a:shade val="40000"/>
                  <a:shade val="95000"/>
                  <a:satMod val="105000"/>
                </a:schemeClr>
              </a:solidFill>
              <a:prstDash val="solid"/>
              <a:round/>
            </a:ln>
            <a:effectLst/>
          </c:spPr>
          <c:marker>
            <c:spPr>
              <a:solidFill>
                <a:schemeClr val="accent1">
                  <a:shade val="38000"/>
                </a:schemeClr>
              </a:solidFill>
              <a:ln w="9525" cap="flat" cmpd="sng" algn="ctr">
                <a:solidFill>
                  <a:schemeClr val="accent1">
                    <a:shade val="38000"/>
                    <a:shade val="95000"/>
                    <a:satMod val="105000"/>
                  </a:schemeClr>
                </a:solidFill>
                <a:prstDash val="solid"/>
                <a:round/>
              </a:ln>
              <a:effectLst/>
            </c:spPr>
          </c:marker>
          <c:dLbls>
            <c:numFmt formatCode="#,##0.0" sourceLinked="0"/>
            <c:spPr>
              <a:noFill/>
              <a:ln>
                <a:noFill/>
              </a:ln>
              <a:effectLst/>
            </c:spPr>
            <c:txPr>
              <a:bodyPr rot="0" spcFirstLastPara="1" vertOverflow="ellipsis" vert="horz" wrap="square" anchor="ctr" anchorCtr="1"/>
              <a:lstStyle/>
              <a:p>
                <a:pPr>
                  <a:defRPr sz="700" b="0" i="0" u="none" strike="noStrike" kern="1200" baseline="0">
                    <a:solidFill>
                      <a:schemeClr val="tx1"/>
                    </a:solidFill>
                    <a:latin typeface="+mn-lt"/>
                    <a:ea typeface="+mn-ea"/>
                    <a:cs typeface="+mn-cs"/>
                  </a:defRPr>
                </a:pPr>
                <a:endParaRPr lang="en-US"/>
              </a:p>
            </c:txPr>
            <c:dLblPos val="b"/>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'uticaj promene kursa'!$H$50:$R$50</c:f>
              <c:numCache>
                <c:formatCode>General</c:formatCode>
                <c:ptCount val="11"/>
                <c:pt idx="0">
                  <c:v>2017</c:v>
                </c:pt>
                <c:pt idx="1">
                  <c:v>2018</c:v>
                </c:pt>
                <c:pt idx="2">
                  <c:v>2019</c:v>
                </c:pt>
                <c:pt idx="3">
                  <c:v>2020</c:v>
                </c:pt>
                <c:pt idx="4">
                  <c:v>2021</c:v>
                </c:pt>
                <c:pt idx="5">
                  <c:v>2022</c:v>
                </c:pt>
                <c:pt idx="6">
                  <c:v>2023</c:v>
                </c:pt>
                <c:pt idx="7">
                  <c:v>2024</c:v>
                </c:pt>
                <c:pt idx="8">
                  <c:v>2025</c:v>
                </c:pt>
                <c:pt idx="9">
                  <c:v>2026</c:v>
                </c:pt>
                <c:pt idx="10">
                  <c:v>2027</c:v>
                </c:pt>
              </c:numCache>
            </c:numRef>
          </c:cat>
          <c:val>
            <c:numRef>
              <c:f>'uticaj promene kursa'!$H$50:$Q$50</c:f>
              <c:numCache>
                <c:formatCode>General</c:formatCode>
                <c:ptCount val="10"/>
                <c:pt idx="0">
                  <c:v>2017</c:v>
                </c:pt>
                <c:pt idx="1">
                  <c:v>2018</c:v>
                </c:pt>
                <c:pt idx="2">
                  <c:v>2019</c:v>
                </c:pt>
                <c:pt idx="3">
                  <c:v>2020</c:v>
                </c:pt>
                <c:pt idx="4">
                  <c:v>2021</c:v>
                </c:pt>
                <c:pt idx="5">
                  <c:v>2022</c:v>
                </c:pt>
                <c:pt idx="6">
                  <c:v>2023</c:v>
                </c:pt>
                <c:pt idx="7">
                  <c:v>2024</c:v>
                </c:pt>
                <c:pt idx="8">
                  <c:v>2025</c:v>
                </c:pt>
                <c:pt idx="9">
                  <c:v>2026</c:v>
                </c:pt>
              </c:numCache>
            </c:numRef>
          </c:val>
          <c:smooth val="0"/>
          <c:extLst>
            <c:ext xmlns:c16="http://schemas.microsoft.com/office/drawing/2014/chart" uri="{C3380CC4-5D6E-409C-BE32-E72D297353CC}">
              <c16:uniqueId val="{00000000-E44B-4C7D-93D9-2F107296D0D3}"/>
            </c:ext>
          </c:extLst>
        </c:ser>
        <c:ser>
          <c:idx val="1"/>
          <c:order val="1"/>
          <c:spPr>
            <a:ln w="28575" cap="rnd" cmpd="sng" algn="ctr">
              <a:solidFill>
                <a:schemeClr val="accent1">
                  <a:shade val="51000"/>
                  <a:shade val="95000"/>
                  <a:satMod val="105000"/>
                </a:schemeClr>
              </a:solidFill>
              <a:prstDash val="solid"/>
              <a:round/>
            </a:ln>
            <a:effectLst/>
          </c:spPr>
          <c:marker>
            <c:symbol val="diamond"/>
            <c:size val="10"/>
            <c:spPr>
              <a:solidFill>
                <a:schemeClr val="accent1">
                  <a:shade val="45000"/>
                </a:schemeClr>
              </a:solidFill>
              <a:ln w="9525" cap="flat" cmpd="sng" algn="ctr">
                <a:solidFill>
                  <a:schemeClr val="accent1">
                    <a:shade val="45000"/>
                    <a:shade val="95000"/>
                    <a:satMod val="105000"/>
                  </a:schemeClr>
                </a:solidFill>
                <a:prstDash val="solid"/>
                <a:round/>
              </a:ln>
              <a:effectLst/>
            </c:spPr>
          </c:marker>
          <c:dLbls>
            <c:spPr>
              <a:noFill/>
              <a:ln>
                <a:noFill/>
              </a:ln>
              <a:effectLst/>
            </c:spPr>
            <c:txPr>
              <a:bodyPr rot="0" spcFirstLastPara="1" vertOverflow="ellipsis" vert="horz" wrap="square" anchor="ctr" anchorCtr="1"/>
              <a:lstStyle/>
              <a:p>
                <a:pPr>
                  <a:defRPr sz="700" b="0" i="0" u="none" strike="noStrike" kern="1200" baseline="0">
                    <a:solidFill>
                      <a:schemeClr val="tx1"/>
                    </a:solidFill>
                    <a:latin typeface="Times New Roman" panose="02020603050405020304" pitchFamily="18" charset="0"/>
                    <a:ea typeface="+mn-ea"/>
                    <a:cs typeface="+mn-cs"/>
                  </a:defRPr>
                </a:pPr>
                <a:endParaRPr lang="en-US"/>
              </a:p>
            </c:txPr>
            <c:dLblPos val="b"/>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shade val="95000"/>
                          <a:satMod val="105000"/>
                        </a:schemeClr>
                      </a:solidFill>
                      <a:prstDash val="solid"/>
                      <a:round/>
                    </a:ln>
                    <a:effectLst/>
                  </c:spPr>
                </c15:leaderLines>
              </c:ext>
            </c:extLst>
          </c:dLbls>
          <c:cat>
            <c:numRef>
              <c:f>'uticaj promene kursa'!$H$50:$R$50</c:f>
              <c:numCache>
                <c:formatCode>General</c:formatCode>
                <c:ptCount val="11"/>
                <c:pt idx="0">
                  <c:v>2017</c:v>
                </c:pt>
                <c:pt idx="1">
                  <c:v>2018</c:v>
                </c:pt>
                <c:pt idx="2">
                  <c:v>2019</c:v>
                </c:pt>
                <c:pt idx="3">
                  <c:v>2020</c:v>
                </c:pt>
                <c:pt idx="4">
                  <c:v>2021</c:v>
                </c:pt>
                <c:pt idx="5">
                  <c:v>2022</c:v>
                </c:pt>
                <c:pt idx="6">
                  <c:v>2023</c:v>
                </c:pt>
                <c:pt idx="7">
                  <c:v>2024</c:v>
                </c:pt>
                <c:pt idx="8">
                  <c:v>2025</c:v>
                </c:pt>
                <c:pt idx="9">
                  <c:v>2026</c:v>
                </c:pt>
                <c:pt idx="10">
                  <c:v>2027</c:v>
                </c:pt>
              </c:numCache>
            </c:numRef>
          </c:cat>
          <c:val>
            <c:numRef>
              <c:f>'uticaj promene kursa'!$H$51:$R$51</c:f>
              <c:numCache>
                <c:formatCode>#,##0.0</c:formatCode>
                <c:ptCount val="11"/>
                <c:pt idx="0">
                  <c:v>55.53345468353281</c:v>
                </c:pt>
                <c:pt idx="1">
                  <c:v>51.441092072350671</c:v>
                </c:pt>
                <c:pt idx="2">
                  <c:v>49.66530402514654</c:v>
                </c:pt>
                <c:pt idx="3">
                  <c:v>54.401541878454651</c:v>
                </c:pt>
                <c:pt idx="4">
                  <c:v>53.881197963213388</c:v>
                </c:pt>
                <c:pt idx="5">
                  <c:v>52.420124041721209</c:v>
                </c:pt>
                <c:pt idx="6">
                  <c:v>48.041062113397061</c:v>
                </c:pt>
                <c:pt idx="7">
                  <c:v>47.458964621404704</c:v>
                </c:pt>
                <c:pt idx="8">
                  <c:v>46.997657706772344</c:v>
                </c:pt>
                <c:pt idx="9">
                  <c:v>46.460300779916849</c:v>
                </c:pt>
                <c:pt idx="10">
                  <c:v>46.039196865895306</c:v>
                </c:pt>
              </c:numCache>
            </c:numRef>
          </c:val>
          <c:smooth val="0"/>
          <c:extLst>
            <c:ext xmlns:c16="http://schemas.microsoft.com/office/drawing/2014/chart" uri="{C3380CC4-5D6E-409C-BE32-E72D297353CC}">
              <c16:uniqueId val="{00000001-E44B-4C7D-93D9-2F107296D0D3}"/>
            </c:ext>
          </c:extLst>
        </c:ser>
        <c:ser>
          <c:idx val="2"/>
          <c:order val="2"/>
          <c:spPr>
            <a:ln w="28575" cap="rnd" cmpd="sng" algn="ctr">
              <a:solidFill>
                <a:schemeClr val="accent1">
                  <a:shade val="62000"/>
                  <a:shade val="95000"/>
                  <a:satMod val="105000"/>
                </a:schemeClr>
              </a:solidFill>
              <a:prstDash val="solid"/>
              <a:round/>
            </a:ln>
            <a:effectLst/>
          </c:spPr>
          <c:marker>
            <c:symbol val="none"/>
          </c:marker>
          <c:cat>
            <c:numRef>
              <c:f>'uticaj promene kursa'!$H$50:$R$50</c:f>
              <c:numCache>
                <c:formatCode>General</c:formatCode>
                <c:ptCount val="11"/>
                <c:pt idx="0">
                  <c:v>2017</c:v>
                </c:pt>
                <c:pt idx="1">
                  <c:v>2018</c:v>
                </c:pt>
                <c:pt idx="2">
                  <c:v>2019</c:v>
                </c:pt>
                <c:pt idx="3">
                  <c:v>2020</c:v>
                </c:pt>
                <c:pt idx="4">
                  <c:v>2021</c:v>
                </c:pt>
                <c:pt idx="5">
                  <c:v>2022</c:v>
                </c:pt>
                <c:pt idx="6">
                  <c:v>2023</c:v>
                </c:pt>
                <c:pt idx="7">
                  <c:v>2024</c:v>
                </c:pt>
                <c:pt idx="8">
                  <c:v>2025</c:v>
                </c:pt>
                <c:pt idx="9">
                  <c:v>2026</c:v>
                </c:pt>
                <c:pt idx="10">
                  <c:v>2027</c:v>
                </c:pt>
              </c:numCache>
            </c:numRef>
          </c:cat>
          <c:val>
            <c:numRef>
              <c:f>'uticaj promene kursa'!$H$52:$R$52</c:f>
              <c:numCache>
                <c:formatCode>#,##0.0</c:formatCode>
                <c:ptCount val="11"/>
                <c:pt idx="0">
                  <c:v>55.53345468353281</c:v>
                </c:pt>
                <c:pt idx="1">
                  <c:v>51.441092072350671</c:v>
                </c:pt>
                <c:pt idx="2">
                  <c:v>49.66530402514654</c:v>
                </c:pt>
                <c:pt idx="3">
                  <c:v>54.401541878454651</c:v>
                </c:pt>
                <c:pt idx="4">
                  <c:v>53.881197963213388</c:v>
                </c:pt>
                <c:pt idx="5">
                  <c:v>52.420124041721209</c:v>
                </c:pt>
                <c:pt idx="6">
                  <c:v>48.041062113397061</c:v>
                </c:pt>
                <c:pt idx="7">
                  <c:v>48.208816262422893</c:v>
                </c:pt>
                <c:pt idx="8">
                  <c:v>47.749620230080701</c:v>
                </c:pt>
                <c:pt idx="9">
                  <c:v>47.203665592395524</c:v>
                </c:pt>
                <c:pt idx="10">
                  <c:v>46.766616176376445</c:v>
                </c:pt>
              </c:numCache>
            </c:numRef>
          </c:val>
          <c:smooth val="0"/>
          <c:extLst>
            <c:ext xmlns:c16="http://schemas.microsoft.com/office/drawing/2014/chart" uri="{C3380CC4-5D6E-409C-BE32-E72D297353CC}">
              <c16:uniqueId val="{00000002-E44B-4C7D-93D9-2F107296D0D3}"/>
            </c:ext>
          </c:extLst>
        </c:ser>
        <c:ser>
          <c:idx val="3"/>
          <c:order val="3"/>
          <c:spPr>
            <a:ln w="28575" cap="rnd" cmpd="sng" algn="ctr">
              <a:solidFill>
                <a:schemeClr val="accent1">
                  <a:shade val="73000"/>
                  <a:shade val="95000"/>
                  <a:satMod val="105000"/>
                </a:schemeClr>
              </a:solidFill>
              <a:prstDash val="solid"/>
              <a:round/>
            </a:ln>
            <a:effectLst/>
          </c:spPr>
          <c:marker>
            <c:symbol val="none"/>
          </c:marker>
          <c:cat>
            <c:numRef>
              <c:f>'uticaj promene kursa'!$H$50:$R$50</c:f>
              <c:numCache>
                <c:formatCode>General</c:formatCode>
                <c:ptCount val="11"/>
                <c:pt idx="0">
                  <c:v>2017</c:v>
                </c:pt>
                <c:pt idx="1">
                  <c:v>2018</c:v>
                </c:pt>
                <c:pt idx="2">
                  <c:v>2019</c:v>
                </c:pt>
                <c:pt idx="3">
                  <c:v>2020</c:v>
                </c:pt>
                <c:pt idx="4">
                  <c:v>2021</c:v>
                </c:pt>
                <c:pt idx="5">
                  <c:v>2022</c:v>
                </c:pt>
                <c:pt idx="6">
                  <c:v>2023</c:v>
                </c:pt>
                <c:pt idx="7">
                  <c:v>2024</c:v>
                </c:pt>
                <c:pt idx="8">
                  <c:v>2025</c:v>
                </c:pt>
                <c:pt idx="9">
                  <c:v>2026</c:v>
                </c:pt>
                <c:pt idx="10">
                  <c:v>2027</c:v>
                </c:pt>
              </c:numCache>
            </c:numRef>
          </c:cat>
          <c:val>
            <c:numRef>
              <c:f>'uticaj promene kursa'!$H$53:$R$53</c:f>
              <c:numCache>
                <c:formatCode>#,##0.0</c:formatCode>
                <c:ptCount val="11"/>
                <c:pt idx="0">
                  <c:v>55.53345468353281</c:v>
                </c:pt>
                <c:pt idx="1">
                  <c:v>51.441092072350671</c:v>
                </c:pt>
                <c:pt idx="2">
                  <c:v>49.66530402514654</c:v>
                </c:pt>
                <c:pt idx="3">
                  <c:v>54.401541878454651</c:v>
                </c:pt>
                <c:pt idx="4">
                  <c:v>53.881197963213388</c:v>
                </c:pt>
                <c:pt idx="5">
                  <c:v>52.420124041721209</c:v>
                </c:pt>
                <c:pt idx="6">
                  <c:v>48.041062113397061</c:v>
                </c:pt>
                <c:pt idx="7">
                  <c:v>48.958667903441096</c:v>
                </c:pt>
                <c:pt idx="8">
                  <c:v>48.501582753389059</c:v>
                </c:pt>
                <c:pt idx="9">
                  <c:v>47.947030404874191</c:v>
                </c:pt>
                <c:pt idx="10">
                  <c:v>47.494035486857591</c:v>
                </c:pt>
              </c:numCache>
            </c:numRef>
          </c:val>
          <c:smooth val="0"/>
          <c:extLst>
            <c:ext xmlns:c16="http://schemas.microsoft.com/office/drawing/2014/chart" uri="{C3380CC4-5D6E-409C-BE32-E72D297353CC}">
              <c16:uniqueId val="{00000003-E44B-4C7D-93D9-2F107296D0D3}"/>
            </c:ext>
          </c:extLst>
        </c:ser>
        <c:ser>
          <c:idx val="4"/>
          <c:order val="4"/>
          <c:spPr>
            <a:ln w="28575" cap="rnd" cmpd="sng" algn="ctr">
              <a:solidFill>
                <a:schemeClr val="accent1">
                  <a:shade val="83000"/>
                  <a:shade val="95000"/>
                  <a:satMod val="105000"/>
                </a:schemeClr>
              </a:solidFill>
              <a:prstDash val="solid"/>
              <a:round/>
            </a:ln>
            <a:effectLst/>
          </c:spPr>
          <c:marker>
            <c:symbol val="none"/>
          </c:marker>
          <c:cat>
            <c:numRef>
              <c:f>'uticaj promene kursa'!$H$50:$R$50</c:f>
              <c:numCache>
                <c:formatCode>General</c:formatCode>
                <c:ptCount val="11"/>
                <c:pt idx="0">
                  <c:v>2017</c:v>
                </c:pt>
                <c:pt idx="1">
                  <c:v>2018</c:v>
                </c:pt>
                <c:pt idx="2">
                  <c:v>2019</c:v>
                </c:pt>
                <c:pt idx="3">
                  <c:v>2020</c:v>
                </c:pt>
                <c:pt idx="4">
                  <c:v>2021</c:v>
                </c:pt>
                <c:pt idx="5">
                  <c:v>2022</c:v>
                </c:pt>
                <c:pt idx="6">
                  <c:v>2023</c:v>
                </c:pt>
                <c:pt idx="7">
                  <c:v>2024</c:v>
                </c:pt>
                <c:pt idx="8">
                  <c:v>2025</c:v>
                </c:pt>
                <c:pt idx="9">
                  <c:v>2026</c:v>
                </c:pt>
                <c:pt idx="10">
                  <c:v>2027</c:v>
                </c:pt>
              </c:numCache>
            </c:numRef>
          </c:cat>
          <c:val>
            <c:numRef>
              <c:f>'uticaj promene kursa'!$H$54:$R$54</c:f>
              <c:numCache>
                <c:formatCode>#,##0.0</c:formatCode>
                <c:ptCount val="11"/>
                <c:pt idx="0">
                  <c:v>55.53345468353281</c:v>
                </c:pt>
                <c:pt idx="1">
                  <c:v>51.441092072350671</c:v>
                </c:pt>
                <c:pt idx="2">
                  <c:v>49.66530402514654</c:v>
                </c:pt>
                <c:pt idx="3">
                  <c:v>54.401541878454651</c:v>
                </c:pt>
                <c:pt idx="4">
                  <c:v>53.881197963213388</c:v>
                </c:pt>
                <c:pt idx="5">
                  <c:v>52.420124041721209</c:v>
                </c:pt>
                <c:pt idx="6">
                  <c:v>48.041062113397061</c:v>
                </c:pt>
                <c:pt idx="7">
                  <c:v>49.708519544459293</c:v>
                </c:pt>
                <c:pt idx="8">
                  <c:v>49.253545276697416</c:v>
                </c:pt>
                <c:pt idx="9">
                  <c:v>48.690395217352858</c:v>
                </c:pt>
                <c:pt idx="10">
                  <c:v>48.221454797338751</c:v>
                </c:pt>
              </c:numCache>
            </c:numRef>
          </c:val>
          <c:smooth val="0"/>
          <c:extLst>
            <c:ext xmlns:c16="http://schemas.microsoft.com/office/drawing/2014/chart" uri="{C3380CC4-5D6E-409C-BE32-E72D297353CC}">
              <c16:uniqueId val="{00000004-E44B-4C7D-93D9-2F107296D0D3}"/>
            </c:ext>
          </c:extLst>
        </c:ser>
        <c:ser>
          <c:idx val="5"/>
          <c:order val="5"/>
          <c:spPr>
            <a:ln w="28575" cap="rnd" cmpd="sng" algn="ctr">
              <a:solidFill>
                <a:schemeClr val="accent1">
                  <a:shade val="94000"/>
                  <a:shade val="95000"/>
                  <a:satMod val="105000"/>
                </a:schemeClr>
              </a:solidFill>
              <a:prstDash val="solid"/>
              <a:round/>
            </a:ln>
            <a:effectLst/>
          </c:spPr>
          <c:marker>
            <c:symbol val="none"/>
          </c:marker>
          <c:cat>
            <c:numRef>
              <c:f>'uticaj promene kursa'!$H$50:$R$50</c:f>
              <c:numCache>
                <c:formatCode>General</c:formatCode>
                <c:ptCount val="11"/>
                <c:pt idx="0">
                  <c:v>2017</c:v>
                </c:pt>
                <c:pt idx="1">
                  <c:v>2018</c:v>
                </c:pt>
                <c:pt idx="2">
                  <c:v>2019</c:v>
                </c:pt>
                <c:pt idx="3">
                  <c:v>2020</c:v>
                </c:pt>
                <c:pt idx="4">
                  <c:v>2021</c:v>
                </c:pt>
                <c:pt idx="5">
                  <c:v>2022</c:v>
                </c:pt>
                <c:pt idx="6">
                  <c:v>2023</c:v>
                </c:pt>
                <c:pt idx="7">
                  <c:v>2024</c:v>
                </c:pt>
                <c:pt idx="8">
                  <c:v>2025</c:v>
                </c:pt>
                <c:pt idx="9">
                  <c:v>2026</c:v>
                </c:pt>
                <c:pt idx="10">
                  <c:v>2027</c:v>
                </c:pt>
              </c:numCache>
            </c:numRef>
          </c:cat>
          <c:val>
            <c:numRef>
              <c:f>'uticaj promene kursa'!$H$55:$R$55</c:f>
              <c:numCache>
                <c:formatCode>#,##0.0</c:formatCode>
                <c:ptCount val="11"/>
                <c:pt idx="0">
                  <c:v>55.53345468353281</c:v>
                </c:pt>
                <c:pt idx="1">
                  <c:v>51.441092072350671</c:v>
                </c:pt>
                <c:pt idx="2">
                  <c:v>49.66530402514654</c:v>
                </c:pt>
                <c:pt idx="3">
                  <c:v>54.401541878454651</c:v>
                </c:pt>
                <c:pt idx="4">
                  <c:v>53.881197963213388</c:v>
                </c:pt>
                <c:pt idx="5">
                  <c:v>52.420124041721209</c:v>
                </c:pt>
                <c:pt idx="6">
                  <c:v>48.041062113397061</c:v>
                </c:pt>
                <c:pt idx="7">
                  <c:v>50.458371185477482</c:v>
                </c:pt>
                <c:pt idx="8">
                  <c:v>50.00550780000578</c:v>
                </c:pt>
                <c:pt idx="9">
                  <c:v>49.433760029831539</c:v>
                </c:pt>
                <c:pt idx="10">
                  <c:v>48.94887410781989</c:v>
                </c:pt>
              </c:numCache>
            </c:numRef>
          </c:val>
          <c:smooth val="0"/>
          <c:extLst>
            <c:ext xmlns:c16="http://schemas.microsoft.com/office/drawing/2014/chart" uri="{C3380CC4-5D6E-409C-BE32-E72D297353CC}">
              <c16:uniqueId val="{00000005-E44B-4C7D-93D9-2F107296D0D3}"/>
            </c:ext>
          </c:extLst>
        </c:ser>
        <c:ser>
          <c:idx val="6"/>
          <c:order val="6"/>
          <c:spPr>
            <a:ln w="28575" cap="rnd" cmpd="sng" algn="ctr">
              <a:solidFill>
                <a:schemeClr val="accent1">
                  <a:tint val="95000"/>
                  <a:shade val="95000"/>
                  <a:satMod val="105000"/>
                </a:schemeClr>
              </a:solidFill>
              <a:prstDash val="solid"/>
              <a:round/>
            </a:ln>
            <a:effectLst/>
          </c:spPr>
          <c:marker>
            <c:symbol val="none"/>
          </c:marker>
          <c:dLbls>
            <c:dLbl>
              <c:idx val="0"/>
              <c:delete val="1"/>
              <c:extLst>
                <c:ext xmlns:c15="http://schemas.microsoft.com/office/drawing/2012/chart" uri="{CE6537A1-D6FC-4f65-9D91-7224C49458BB}"/>
                <c:ext xmlns:c16="http://schemas.microsoft.com/office/drawing/2014/chart" uri="{C3380CC4-5D6E-409C-BE32-E72D297353CC}">
                  <c16:uniqueId val="{00000006-E44B-4C7D-93D9-2F107296D0D3}"/>
                </c:ext>
              </c:extLst>
            </c:dLbl>
            <c:dLbl>
              <c:idx val="1"/>
              <c:delete val="1"/>
              <c:extLst>
                <c:ext xmlns:c15="http://schemas.microsoft.com/office/drawing/2012/chart" uri="{CE6537A1-D6FC-4f65-9D91-7224C49458BB}"/>
                <c:ext xmlns:c16="http://schemas.microsoft.com/office/drawing/2014/chart" uri="{C3380CC4-5D6E-409C-BE32-E72D297353CC}">
                  <c16:uniqueId val="{00000007-E44B-4C7D-93D9-2F107296D0D3}"/>
                </c:ext>
              </c:extLst>
            </c:dLbl>
            <c:dLbl>
              <c:idx val="2"/>
              <c:delete val="1"/>
              <c:extLst>
                <c:ext xmlns:c15="http://schemas.microsoft.com/office/drawing/2012/chart" uri="{CE6537A1-D6FC-4f65-9D91-7224C49458BB}"/>
                <c:ext xmlns:c16="http://schemas.microsoft.com/office/drawing/2014/chart" uri="{C3380CC4-5D6E-409C-BE32-E72D297353CC}">
                  <c16:uniqueId val="{00000008-E44B-4C7D-93D9-2F107296D0D3}"/>
                </c:ext>
              </c:extLst>
            </c:dLbl>
            <c:dLbl>
              <c:idx val="3"/>
              <c:delete val="1"/>
              <c:extLst>
                <c:ext xmlns:c15="http://schemas.microsoft.com/office/drawing/2012/chart" uri="{CE6537A1-D6FC-4f65-9D91-7224C49458BB}"/>
                <c:ext xmlns:c16="http://schemas.microsoft.com/office/drawing/2014/chart" uri="{C3380CC4-5D6E-409C-BE32-E72D297353CC}">
                  <c16:uniqueId val="{00000009-E44B-4C7D-93D9-2F107296D0D3}"/>
                </c:ext>
              </c:extLst>
            </c:dLbl>
            <c:dLbl>
              <c:idx val="4"/>
              <c:delete val="1"/>
              <c:extLst>
                <c:ext xmlns:c15="http://schemas.microsoft.com/office/drawing/2012/chart" uri="{CE6537A1-D6FC-4f65-9D91-7224C49458BB}"/>
                <c:ext xmlns:c16="http://schemas.microsoft.com/office/drawing/2014/chart" uri="{C3380CC4-5D6E-409C-BE32-E72D297353CC}">
                  <c16:uniqueId val="{0000000A-E44B-4C7D-93D9-2F107296D0D3}"/>
                </c:ext>
              </c:extLst>
            </c:dLbl>
            <c:dLbl>
              <c:idx val="5"/>
              <c:delete val="1"/>
              <c:extLst>
                <c:ext xmlns:c15="http://schemas.microsoft.com/office/drawing/2012/chart" uri="{CE6537A1-D6FC-4f65-9D91-7224C49458BB}"/>
                <c:ext xmlns:c16="http://schemas.microsoft.com/office/drawing/2014/chart" uri="{C3380CC4-5D6E-409C-BE32-E72D297353CC}">
                  <c16:uniqueId val="{0000000B-E44B-4C7D-93D9-2F107296D0D3}"/>
                </c:ext>
              </c:extLst>
            </c:dLbl>
            <c:dLbl>
              <c:idx val="6"/>
              <c:delete val="1"/>
              <c:extLst>
                <c:ext xmlns:c15="http://schemas.microsoft.com/office/drawing/2012/chart" uri="{CE6537A1-D6FC-4f65-9D91-7224C49458BB}"/>
                <c:ext xmlns:c16="http://schemas.microsoft.com/office/drawing/2014/chart" uri="{C3380CC4-5D6E-409C-BE32-E72D297353CC}">
                  <c16:uniqueId val="{0000000C-E44B-4C7D-93D9-2F107296D0D3}"/>
                </c:ext>
              </c:extLst>
            </c:dLbl>
            <c:spPr>
              <a:noFill/>
              <a:ln>
                <a:noFill/>
              </a:ln>
              <a:effectLst/>
            </c:spPr>
            <c:txPr>
              <a:bodyPr rot="0" spcFirstLastPara="1" vertOverflow="ellipsis" vert="horz" wrap="square" anchor="ctr" anchorCtr="1"/>
              <a:lstStyle/>
              <a:p>
                <a:pPr>
                  <a:defRPr sz="700" b="0" i="0" u="none" strike="noStrike" kern="1200" baseline="0">
                    <a:solidFill>
                      <a:schemeClr val="tx1"/>
                    </a:solidFill>
                    <a:latin typeface="Times New Roman" panose="02020603050405020304" pitchFamily="18" charset="0"/>
                    <a:ea typeface="+mn-ea"/>
                    <a:cs typeface="+mn-cs"/>
                  </a:defRPr>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shade val="95000"/>
                          <a:satMod val="105000"/>
                        </a:schemeClr>
                      </a:solidFill>
                      <a:prstDash val="solid"/>
                      <a:round/>
                    </a:ln>
                    <a:effectLst/>
                  </c:spPr>
                </c15:leaderLines>
              </c:ext>
            </c:extLst>
          </c:dLbls>
          <c:cat>
            <c:numRef>
              <c:f>'uticaj promene kursa'!$H$50:$R$50</c:f>
              <c:numCache>
                <c:formatCode>General</c:formatCode>
                <c:ptCount val="11"/>
                <c:pt idx="0">
                  <c:v>2017</c:v>
                </c:pt>
                <c:pt idx="1">
                  <c:v>2018</c:v>
                </c:pt>
                <c:pt idx="2">
                  <c:v>2019</c:v>
                </c:pt>
                <c:pt idx="3">
                  <c:v>2020</c:v>
                </c:pt>
                <c:pt idx="4">
                  <c:v>2021</c:v>
                </c:pt>
                <c:pt idx="5">
                  <c:v>2022</c:v>
                </c:pt>
                <c:pt idx="6">
                  <c:v>2023</c:v>
                </c:pt>
                <c:pt idx="7">
                  <c:v>2024</c:v>
                </c:pt>
                <c:pt idx="8">
                  <c:v>2025</c:v>
                </c:pt>
                <c:pt idx="9">
                  <c:v>2026</c:v>
                </c:pt>
                <c:pt idx="10">
                  <c:v>2027</c:v>
                </c:pt>
              </c:numCache>
            </c:numRef>
          </c:cat>
          <c:val>
            <c:numRef>
              <c:f>'uticaj promene kursa'!$H$56:$R$56</c:f>
              <c:numCache>
                <c:formatCode>#,##0.0</c:formatCode>
                <c:ptCount val="11"/>
                <c:pt idx="0">
                  <c:v>55.53345468353281</c:v>
                </c:pt>
                <c:pt idx="1">
                  <c:v>51.441092072350671</c:v>
                </c:pt>
                <c:pt idx="2">
                  <c:v>49.66530402514654</c:v>
                </c:pt>
                <c:pt idx="3">
                  <c:v>54.401541878454651</c:v>
                </c:pt>
                <c:pt idx="4">
                  <c:v>53.881197963213388</c:v>
                </c:pt>
                <c:pt idx="5">
                  <c:v>52.420124041721209</c:v>
                </c:pt>
                <c:pt idx="6">
                  <c:v>48.041062113397061</c:v>
                </c:pt>
                <c:pt idx="7">
                  <c:v>51.208222826495678</c:v>
                </c:pt>
                <c:pt idx="8">
                  <c:v>50.757470323314138</c:v>
                </c:pt>
                <c:pt idx="9">
                  <c:v>50.177124842310214</c:v>
                </c:pt>
                <c:pt idx="10">
                  <c:v>49.676293418301029</c:v>
                </c:pt>
              </c:numCache>
            </c:numRef>
          </c:val>
          <c:smooth val="0"/>
          <c:extLst>
            <c:ext xmlns:c16="http://schemas.microsoft.com/office/drawing/2014/chart" uri="{C3380CC4-5D6E-409C-BE32-E72D297353CC}">
              <c16:uniqueId val="{0000000D-E44B-4C7D-93D9-2F107296D0D3}"/>
            </c:ext>
          </c:extLst>
        </c:ser>
        <c:ser>
          <c:idx val="7"/>
          <c:order val="7"/>
          <c:spPr>
            <a:ln w="28575" cap="rnd" cmpd="sng" algn="ctr">
              <a:solidFill>
                <a:schemeClr val="accent1">
                  <a:tint val="84000"/>
                  <a:shade val="95000"/>
                  <a:satMod val="105000"/>
                </a:schemeClr>
              </a:solidFill>
              <a:prstDash val="solid"/>
              <a:round/>
            </a:ln>
            <a:effectLst/>
          </c:spPr>
          <c:marker>
            <c:symbol val="none"/>
          </c:marker>
          <c:cat>
            <c:numRef>
              <c:f>'uticaj promene kursa'!$H$50:$R$50</c:f>
              <c:numCache>
                <c:formatCode>General</c:formatCode>
                <c:ptCount val="11"/>
                <c:pt idx="0">
                  <c:v>2017</c:v>
                </c:pt>
                <c:pt idx="1">
                  <c:v>2018</c:v>
                </c:pt>
                <c:pt idx="2">
                  <c:v>2019</c:v>
                </c:pt>
                <c:pt idx="3">
                  <c:v>2020</c:v>
                </c:pt>
                <c:pt idx="4">
                  <c:v>2021</c:v>
                </c:pt>
                <c:pt idx="5">
                  <c:v>2022</c:v>
                </c:pt>
                <c:pt idx="6">
                  <c:v>2023</c:v>
                </c:pt>
                <c:pt idx="7">
                  <c:v>2024</c:v>
                </c:pt>
                <c:pt idx="8">
                  <c:v>2025</c:v>
                </c:pt>
                <c:pt idx="9">
                  <c:v>2026</c:v>
                </c:pt>
                <c:pt idx="10">
                  <c:v>2027</c:v>
                </c:pt>
              </c:numCache>
            </c:numRef>
          </c:cat>
          <c:val>
            <c:numRef>
              <c:f>'uticaj promene kursa'!$H$57:$R$57</c:f>
              <c:numCache>
                <c:formatCode>#,##0.0</c:formatCode>
                <c:ptCount val="11"/>
                <c:pt idx="0">
                  <c:v>55.53345468353281</c:v>
                </c:pt>
                <c:pt idx="1">
                  <c:v>51.441092072350671</c:v>
                </c:pt>
                <c:pt idx="2">
                  <c:v>49.66530402514654</c:v>
                </c:pt>
                <c:pt idx="3">
                  <c:v>54.401541878454651</c:v>
                </c:pt>
                <c:pt idx="4">
                  <c:v>53.881197963213388</c:v>
                </c:pt>
                <c:pt idx="5">
                  <c:v>52.420124041721209</c:v>
                </c:pt>
                <c:pt idx="6">
                  <c:v>48.041062113397061</c:v>
                </c:pt>
                <c:pt idx="7">
                  <c:v>46.709112980386507</c:v>
                </c:pt>
                <c:pt idx="8">
                  <c:v>46.245695183463987</c:v>
                </c:pt>
                <c:pt idx="9">
                  <c:v>45.716935967438182</c:v>
                </c:pt>
                <c:pt idx="10">
                  <c:v>45.31177755541416</c:v>
                </c:pt>
              </c:numCache>
            </c:numRef>
          </c:val>
          <c:smooth val="0"/>
          <c:extLst>
            <c:ext xmlns:c16="http://schemas.microsoft.com/office/drawing/2014/chart" uri="{C3380CC4-5D6E-409C-BE32-E72D297353CC}">
              <c16:uniqueId val="{0000000E-E44B-4C7D-93D9-2F107296D0D3}"/>
            </c:ext>
          </c:extLst>
        </c:ser>
        <c:ser>
          <c:idx val="8"/>
          <c:order val="8"/>
          <c:spPr>
            <a:ln w="28575" cap="rnd" cmpd="sng" algn="ctr">
              <a:solidFill>
                <a:schemeClr val="accent1">
                  <a:tint val="74000"/>
                  <a:shade val="95000"/>
                  <a:satMod val="105000"/>
                </a:schemeClr>
              </a:solidFill>
              <a:prstDash val="solid"/>
              <a:round/>
            </a:ln>
            <a:effectLst/>
          </c:spPr>
          <c:marker>
            <c:symbol val="none"/>
          </c:marker>
          <c:cat>
            <c:numRef>
              <c:f>'uticaj promene kursa'!$H$50:$R$50</c:f>
              <c:numCache>
                <c:formatCode>General</c:formatCode>
                <c:ptCount val="11"/>
                <c:pt idx="0">
                  <c:v>2017</c:v>
                </c:pt>
                <c:pt idx="1">
                  <c:v>2018</c:v>
                </c:pt>
                <c:pt idx="2">
                  <c:v>2019</c:v>
                </c:pt>
                <c:pt idx="3">
                  <c:v>2020</c:v>
                </c:pt>
                <c:pt idx="4">
                  <c:v>2021</c:v>
                </c:pt>
                <c:pt idx="5">
                  <c:v>2022</c:v>
                </c:pt>
                <c:pt idx="6">
                  <c:v>2023</c:v>
                </c:pt>
                <c:pt idx="7">
                  <c:v>2024</c:v>
                </c:pt>
                <c:pt idx="8">
                  <c:v>2025</c:v>
                </c:pt>
                <c:pt idx="9">
                  <c:v>2026</c:v>
                </c:pt>
                <c:pt idx="10">
                  <c:v>2027</c:v>
                </c:pt>
              </c:numCache>
            </c:numRef>
          </c:cat>
          <c:val>
            <c:numRef>
              <c:f>'uticaj promene kursa'!$H$58:$R$58</c:f>
              <c:numCache>
                <c:formatCode>#,##0.0</c:formatCode>
                <c:ptCount val="11"/>
                <c:pt idx="0">
                  <c:v>55.53345468353281</c:v>
                </c:pt>
                <c:pt idx="1">
                  <c:v>51.441092072350671</c:v>
                </c:pt>
                <c:pt idx="2">
                  <c:v>49.66530402514654</c:v>
                </c:pt>
                <c:pt idx="3">
                  <c:v>54.401541878454651</c:v>
                </c:pt>
                <c:pt idx="4">
                  <c:v>53.881197963213388</c:v>
                </c:pt>
                <c:pt idx="5">
                  <c:v>52.420124041721209</c:v>
                </c:pt>
                <c:pt idx="6">
                  <c:v>48.041062113397061</c:v>
                </c:pt>
                <c:pt idx="7">
                  <c:v>45.959261339368304</c:v>
                </c:pt>
                <c:pt idx="8">
                  <c:v>45.493732660155629</c:v>
                </c:pt>
                <c:pt idx="9">
                  <c:v>44.973571154959515</c:v>
                </c:pt>
                <c:pt idx="10">
                  <c:v>44.584358244933007</c:v>
                </c:pt>
              </c:numCache>
            </c:numRef>
          </c:val>
          <c:smooth val="0"/>
          <c:extLst>
            <c:ext xmlns:c16="http://schemas.microsoft.com/office/drawing/2014/chart" uri="{C3380CC4-5D6E-409C-BE32-E72D297353CC}">
              <c16:uniqueId val="{0000000F-E44B-4C7D-93D9-2F107296D0D3}"/>
            </c:ext>
          </c:extLst>
        </c:ser>
        <c:ser>
          <c:idx val="9"/>
          <c:order val="9"/>
          <c:spPr>
            <a:ln w="28575" cap="rnd" cmpd="sng" algn="ctr">
              <a:solidFill>
                <a:schemeClr val="accent1">
                  <a:tint val="63000"/>
                  <a:shade val="95000"/>
                  <a:satMod val="105000"/>
                </a:schemeClr>
              </a:solidFill>
              <a:prstDash val="solid"/>
              <a:round/>
            </a:ln>
            <a:effectLst/>
          </c:spPr>
          <c:marker>
            <c:symbol val="none"/>
          </c:marker>
          <c:cat>
            <c:numRef>
              <c:f>'uticaj promene kursa'!$H$50:$R$50</c:f>
              <c:numCache>
                <c:formatCode>General</c:formatCode>
                <c:ptCount val="11"/>
                <c:pt idx="0">
                  <c:v>2017</c:v>
                </c:pt>
                <c:pt idx="1">
                  <c:v>2018</c:v>
                </c:pt>
                <c:pt idx="2">
                  <c:v>2019</c:v>
                </c:pt>
                <c:pt idx="3">
                  <c:v>2020</c:v>
                </c:pt>
                <c:pt idx="4">
                  <c:v>2021</c:v>
                </c:pt>
                <c:pt idx="5">
                  <c:v>2022</c:v>
                </c:pt>
                <c:pt idx="6">
                  <c:v>2023</c:v>
                </c:pt>
                <c:pt idx="7">
                  <c:v>2024</c:v>
                </c:pt>
                <c:pt idx="8">
                  <c:v>2025</c:v>
                </c:pt>
                <c:pt idx="9">
                  <c:v>2026</c:v>
                </c:pt>
                <c:pt idx="10">
                  <c:v>2027</c:v>
                </c:pt>
              </c:numCache>
            </c:numRef>
          </c:cat>
          <c:val>
            <c:numRef>
              <c:f>'uticaj promene kursa'!$H$59:$R$59</c:f>
              <c:numCache>
                <c:formatCode>#,##0.0</c:formatCode>
                <c:ptCount val="11"/>
                <c:pt idx="0">
                  <c:v>55.53345468353281</c:v>
                </c:pt>
                <c:pt idx="1">
                  <c:v>51.441092072350671</c:v>
                </c:pt>
                <c:pt idx="2">
                  <c:v>49.66530402514654</c:v>
                </c:pt>
                <c:pt idx="3">
                  <c:v>54.401541878454651</c:v>
                </c:pt>
                <c:pt idx="4">
                  <c:v>53.881197963213388</c:v>
                </c:pt>
                <c:pt idx="5">
                  <c:v>52.420124041721209</c:v>
                </c:pt>
                <c:pt idx="6">
                  <c:v>48.041062113397061</c:v>
                </c:pt>
                <c:pt idx="7">
                  <c:v>45.209409698350115</c:v>
                </c:pt>
                <c:pt idx="8">
                  <c:v>44.741770136847272</c:v>
                </c:pt>
                <c:pt idx="9">
                  <c:v>44.230206342480841</c:v>
                </c:pt>
                <c:pt idx="10">
                  <c:v>43.856938934451854</c:v>
                </c:pt>
              </c:numCache>
            </c:numRef>
          </c:val>
          <c:smooth val="0"/>
          <c:extLst>
            <c:ext xmlns:c16="http://schemas.microsoft.com/office/drawing/2014/chart" uri="{C3380CC4-5D6E-409C-BE32-E72D297353CC}">
              <c16:uniqueId val="{00000010-E44B-4C7D-93D9-2F107296D0D3}"/>
            </c:ext>
          </c:extLst>
        </c:ser>
        <c:ser>
          <c:idx val="10"/>
          <c:order val="10"/>
          <c:spPr>
            <a:ln w="28575" cap="rnd" cmpd="sng" algn="ctr">
              <a:solidFill>
                <a:schemeClr val="accent1">
                  <a:tint val="52000"/>
                  <a:shade val="95000"/>
                  <a:satMod val="105000"/>
                </a:schemeClr>
              </a:solidFill>
              <a:prstDash val="solid"/>
              <a:round/>
            </a:ln>
            <a:effectLst/>
          </c:spPr>
          <c:marker>
            <c:symbol val="none"/>
          </c:marker>
          <c:cat>
            <c:numRef>
              <c:f>'uticaj promene kursa'!$H$50:$R$50</c:f>
              <c:numCache>
                <c:formatCode>General</c:formatCode>
                <c:ptCount val="11"/>
                <c:pt idx="0">
                  <c:v>2017</c:v>
                </c:pt>
                <c:pt idx="1">
                  <c:v>2018</c:v>
                </c:pt>
                <c:pt idx="2">
                  <c:v>2019</c:v>
                </c:pt>
                <c:pt idx="3">
                  <c:v>2020</c:v>
                </c:pt>
                <c:pt idx="4">
                  <c:v>2021</c:v>
                </c:pt>
                <c:pt idx="5">
                  <c:v>2022</c:v>
                </c:pt>
                <c:pt idx="6">
                  <c:v>2023</c:v>
                </c:pt>
                <c:pt idx="7">
                  <c:v>2024</c:v>
                </c:pt>
                <c:pt idx="8">
                  <c:v>2025</c:v>
                </c:pt>
                <c:pt idx="9">
                  <c:v>2026</c:v>
                </c:pt>
                <c:pt idx="10">
                  <c:v>2027</c:v>
                </c:pt>
              </c:numCache>
            </c:numRef>
          </c:cat>
          <c:val>
            <c:numRef>
              <c:f>'uticaj promene kursa'!$H$60:$R$60</c:f>
              <c:numCache>
                <c:formatCode>#,##0.0</c:formatCode>
                <c:ptCount val="11"/>
                <c:pt idx="0">
                  <c:v>55.53345468353281</c:v>
                </c:pt>
                <c:pt idx="1">
                  <c:v>51.441092072350671</c:v>
                </c:pt>
                <c:pt idx="2">
                  <c:v>49.66530402514654</c:v>
                </c:pt>
                <c:pt idx="3">
                  <c:v>54.401541878454651</c:v>
                </c:pt>
                <c:pt idx="4">
                  <c:v>53.881197963213388</c:v>
                </c:pt>
                <c:pt idx="5">
                  <c:v>52.420124041721209</c:v>
                </c:pt>
                <c:pt idx="6">
                  <c:v>48.041062113397061</c:v>
                </c:pt>
                <c:pt idx="7">
                  <c:v>44.459558057331918</c:v>
                </c:pt>
                <c:pt idx="8">
                  <c:v>43.989807613538922</c:v>
                </c:pt>
                <c:pt idx="9">
                  <c:v>43.486841530002181</c:v>
                </c:pt>
                <c:pt idx="10">
                  <c:v>43.129519623970715</c:v>
                </c:pt>
              </c:numCache>
            </c:numRef>
          </c:val>
          <c:smooth val="0"/>
          <c:extLst>
            <c:ext xmlns:c16="http://schemas.microsoft.com/office/drawing/2014/chart" uri="{C3380CC4-5D6E-409C-BE32-E72D297353CC}">
              <c16:uniqueId val="{00000011-E44B-4C7D-93D9-2F107296D0D3}"/>
            </c:ext>
          </c:extLst>
        </c:ser>
        <c:ser>
          <c:idx val="11"/>
          <c:order val="11"/>
          <c:spPr>
            <a:ln w="28575" cap="rnd" cmpd="sng" algn="ctr">
              <a:solidFill>
                <a:schemeClr val="accent1">
                  <a:tint val="41000"/>
                  <a:shade val="95000"/>
                  <a:satMod val="105000"/>
                </a:schemeClr>
              </a:solidFill>
              <a:prstDash val="solid"/>
              <a:round/>
            </a:ln>
            <a:effectLst/>
          </c:spPr>
          <c:marker>
            <c:symbol val="none"/>
          </c:marker>
          <c:dLbls>
            <c:dLbl>
              <c:idx val="0"/>
              <c:delete val="1"/>
              <c:extLst>
                <c:ext xmlns:c15="http://schemas.microsoft.com/office/drawing/2012/chart" uri="{CE6537A1-D6FC-4f65-9D91-7224C49458BB}"/>
                <c:ext xmlns:c16="http://schemas.microsoft.com/office/drawing/2014/chart" uri="{C3380CC4-5D6E-409C-BE32-E72D297353CC}">
                  <c16:uniqueId val="{00000012-E44B-4C7D-93D9-2F107296D0D3}"/>
                </c:ext>
              </c:extLst>
            </c:dLbl>
            <c:dLbl>
              <c:idx val="1"/>
              <c:delete val="1"/>
              <c:extLst>
                <c:ext xmlns:c15="http://schemas.microsoft.com/office/drawing/2012/chart" uri="{CE6537A1-D6FC-4f65-9D91-7224C49458BB}"/>
                <c:ext xmlns:c16="http://schemas.microsoft.com/office/drawing/2014/chart" uri="{C3380CC4-5D6E-409C-BE32-E72D297353CC}">
                  <c16:uniqueId val="{00000013-E44B-4C7D-93D9-2F107296D0D3}"/>
                </c:ext>
              </c:extLst>
            </c:dLbl>
            <c:dLbl>
              <c:idx val="2"/>
              <c:delete val="1"/>
              <c:extLst>
                <c:ext xmlns:c15="http://schemas.microsoft.com/office/drawing/2012/chart" uri="{CE6537A1-D6FC-4f65-9D91-7224C49458BB}"/>
                <c:ext xmlns:c16="http://schemas.microsoft.com/office/drawing/2014/chart" uri="{C3380CC4-5D6E-409C-BE32-E72D297353CC}">
                  <c16:uniqueId val="{00000014-E44B-4C7D-93D9-2F107296D0D3}"/>
                </c:ext>
              </c:extLst>
            </c:dLbl>
            <c:dLbl>
              <c:idx val="3"/>
              <c:delete val="1"/>
              <c:extLst>
                <c:ext xmlns:c15="http://schemas.microsoft.com/office/drawing/2012/chart" uri="{CE6537A1-D6FC-4f65-9D91-7224C49458BB}"/>
                <c:ext xmlns:c16="http://schemas.microsoft.com/office/drawing/2014/chart" uri="{C3380CC4-5D6E-409C-BE32-E72D297353CC}">
                  <c16:uniqueId val="{00000015-E44B-4C7D-93D9-2F107296D0D3}"/>
                </c:ext>
              </c:extLst>
            </c:dLbl>
            <c:dLbl>
              <c:idx val="4"/>
              <c:delete val="1"/>
              <c:extLst>
                <c:ext xmlns:c15="http://schemas.microsoft.com/office/drawing/2012/chart" uri="{CE6537A1-D6FC-4f65-9D91-7224C49458BB}"/>
                <c:ext xmlns:c16="http://schemas.microsoft.com/office/drawing/2014/chart" uri="{C3380CC4-5D6E-409C-BE32-E72D297353CC}">
                  <c16:uniqueId val="{00000016-E44B-4C7D-93D9-2F107296D0D3}"/>
                </c:ext>
              </c:extLst>
            </c:dLbl>
            <c:dLbl>
              <c:idx val="5"/>
              <c:delete val="1"/>
              <c:extLst>
                <c:ext xmlns:c15="http://schemas.microsoft.com/office/drawing/2012/chart" uri="{CE6537A1-D6FC-4f65-9D91-7224C49458BB}"/>
                <c:ext xmlns:c16="http://schemas.microsoft.com/office/drawing/2014/chart" uri="{C3380CC4-5D6E-409C-BE32-E72D297353CC}">
                  <c16:uniqueId val="{00000017-E44B-4C7D-93D9-2F107296D0D3}"/>
                </c:ext>
              </c:extLst>
            </c:dLbl>
            <c:dLbl>
              <c:idx val="6"/>
              <c:delete val="1"/>
              <c:extLst>
                <c:ext xmlns:c15="http://schemas.microsoft.com/office/drawing/2012/chart" uri="{CE6537A1-D6FC-4f65-9D91-7224C49458BB}"/>
                <c:ext xmlns:c16="http://schemas.microsoft.com/office/drawing/2014/chart" uri="{C3380CC4-5D6E-409C-BE32-E72D297353CC}">
                  <c16:uniqueId val="{00000018-E44B-4C7D-93D9-2F107296D0D3}"/>
                </c:ext>
              </c:extLst>
            </c:dLbl>
            <c:spPr>
              <a:noFill/>
              <a:ln>
                <a:noFill/>
              </a:ln>
              <a:effectLst/>
            </c:spPr>
            <c:txPr>
              <a:bodyPr rot="0" spcFirstLastPara="1" vertOverflow="ellipsis" vert="horz" wrap="square" anchor="ctr" anchorCtr="1"/>
              <a:lstStyle/>
              <a:p>
                <a:pPr>
                  <a:defRPr sz="700" b="0" i="0" u="none" strike="noStrike" kern="1200" baseline="0">
                    <a:solidFill>
                      <a:schemeClr val="tx1"/>
                    </a:solidFill>
                    <a:latin typeface="Times New Roman" panose="02020603050405020304" pitchFamily="18" charset="0"/>
                    <a:ea typeface="+mn-ea"/>
                    <a:cs typeface="+mn-cs"/>
                  </a:defRPr>
                </a:pPr>
                <a:endParaRPr lang="en-US"/>
              </a:p>
            </c:txPr>
            <c:dLblPos val="b"/>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shade val="95000"/>
                          <a:satMod val="105000"/>
                        </a:schemeClr>
                      </a:solidFill>
                      <a:prstDash val="solid"/>
                      <a:round/>
                    </a:ln>
                    <a:effectLst/>
                  </c:spPr>
                </c15:leaderLines>
              </c:ext>
            </c:extLst>
          </c:dLbls>
          <c:cat>
            <c:numRef>
              <c:f>'uticaj promene kursa'!$H$50:$R$50</c:f>
              <c:numCache>
                <c:formatCode>General</c:formatCode>
                <c:ptCount val="11"/>
                <c:pt idx="0">
                  <c:v>2017</c:v>
                </c:pt>
                <c:pt idx="1">
                  <c:v>2018</c:v>
                </c:pt>
                <c:pt idx="2">
                  <c:v>2019</c:v>
                </c:pt>
                <c:pt idx="3">
                  <c:v>2020</c:v>
                </c:pt>
                <c:pt idx="4">
                  <c:v>2021</c:v>
                </c:pt>
                <c:pt idx="5">
                  <c:v>2022</c:v>
                </c:pt>
                <c:pt idx="6">
                  <c:v>2023</c:v>
                </c:pt>
                <c:pt idx="7">
                  <c:v>2024</c:v>
                </c:pt>
                <c:pt idx="8">
                  <c:v>2025</c:v>
                </c:pt>
                <c:pt idx="9">
                  <c:v>2026</c:v>
                </c:pt>
                <c:pt idx="10">
                  <c:v>2027</c:v>
                </c:pt>
              </c:numCache>
            </c:numRef>
          </c:cat>
          <c:val>
            <c:numRef>
              <c:f>'uticaj promene kursa'!$H$61:$R$61</c:f>
              <c:numCache>
                <c:formatCode>#,##0.0</c:formatCode>
                <c:ptCount val="11"/>
                <c:pt idx="0">
                  <c:v>55.53345468353281</c:v>
                </c:pt>
                <c:pt idx="1">
                  <c:v>51.441092072350671</c:v>
                </c:pt>
                <c:pt idx="2">
                  <c:v>49.66530402514654</c:v>
                </c:pt>
                <c:pt idx="3">
                  <c:v>54.401541878454651</c:v>
                </c:pt>
                <c:pt idx="4">
                  <c:v>53.881197963213388</c:v>
                </c:pt>
                <c:pt idx="5">
                  <c:v>52.420124041721209</c:v>
                </c:pt>
                <c:pt idx="6">
                  <c:v>48.041062113397061</c:v>
                </c:pt>
                <c:pt idx="7">
                  <c:v>43.709706416313729</c:v>
                </c:pt>
                <c:pt idx="8">
                  <c:v>43.23784509023055</c:v>
                </c:pt>
                <c:pt idx="9">
                  <c:v>42.743476717523507</c:v>
                </c:pt>
                <c:pt idx="10">
                  <c:v>42.402100313489569</c:v>
                </c:pt>
              </c:numCache>
            </c:numRef>
          </c:val>
          <c:smooth val="0"/>
          <c:extLst>
            <c:ext xmlns:c16="http://schemas.microsoft.com/office/drawing/2014/chart" uri="{C3380CC4-5D6E-409C-BE32-E72D297353CC}">
              <c16:uniqueId val="{00000019-E44B-4C7D-93D9-2F107296D0D3}"/>
            </c:ext>
          </c:extLst>
        </c:ser>
        <c:dLbls>
          <c:showLegendKey val="0"/>
          <c:showVal val="0"/>
          <c:showCatName val="0"/>
          <c:showSerName val="0"/>
          <c:showPercent val="0"/>
          <c:showBubbleSize val="0"/>
        </c:dLbls>
        <c:marker val="1"/>
        <c:smooth val="0"/>
        <c:axId val="75069312"/>
        <c:axId val="75070848"/>
      </c:lineChart>
      <c:catAx>
        <c:axId val="75069312"/>
        <c:scaling>
          <c:orientation val="minMax"/>
        </c:scaling>
        <c:delete val="0"/>
        <c:axPos val="b"/>
        <c:majorGridlines>
          <c:spPr>
            <a:ln w="9525" cap="flat" cmpd="sng" algn="ctr">
              <a:noFill/>
              <a:prstDash val="solid"/>
              <a:round/>
            </a:ln>
            <a:effectLst/>
          </c:spPr>
        </c:majorGridlines>
        <c:minorGridlines>
          <c:spPr>
            <a:ln w="9525" cap="flat" cmpd="sng" algn="ctr">
              <a:noFill/>
              <a:prstDash val="solid"/>
              <a:round/>
            </a:ln>
            <a:effectLst/>
          </c:spPr>
        </c:minorGridlines>
        <c:numFmt formatCode="General" sourceLinked="1"/>
        <c:majorTickMark val="none"/>
        <c:minorTickMark val="none"/>
        <c:tickLblPos val="nextTo"/>
        <c:spPr>
          <a:noFill/>
          <a:ln w="9525" cap="flat" cmpd="sng" algn="ctr">
            <a:solidFill>
              <a:schemeClr val="tx1">
                <a:tint val="75000"/>
                <a:shade val="95000"/>
                <a:satMod val="105000"/>
              </a:schemeClr>
            </a:solidFill>
            <a:prstDash val="solid"/>
            <a:round/>
          </a:ln>
          <a:effectLst/>
        </c:spPr>
        <c:txPr>
          <a:bodyPr rot="-5400000" spcFirstLastPara="1" vertOverflow="ellipsis" wrap="square" anchor="ctr" anchorCtr="1"/>
          <a:lstStyle/>
          <a:p>
            <a:pPr>
              <a:defRPr sz="700" b="0" i="0" u="none" strike="noStrike" kern="1200" baseline="0">
                <a:solidFill>
                  <a:schemeClr val="tx1"/>
                </a:solidFill>
                <a:latin typeface="Times New Roman" panose="02020603050405020304" pitchFamily="18" charset="0"/>
                <a:ea typeface="+mn-ea"/>
                <a:cs typeface="+mn-cs"/>
              </a:defRPr>
            </a:pPr>
            <a:endParaRPr lang="en-US"/>
          </a:p>
        </c:txPr>
        <c:crossAx val="75070848"/>
        <c:crosses val="autoZero"/>
        <c:auto val="0"/>
        <c:lblAlgn val="ctr"/>
        <c:lblOffset val="100"/>
        <c:noMultiLvlLbl val="0"/>
      </c:catAx>
      <c:valAx>
        <c:axId val="75070848"/>
        <c:scaling>
          <c:orientation val="minMax"/>
          <c:max val="60"/>
          <c:min val="40"/>
        </c:scaling>
        <c:delete val="0"/>
        <c:axPos val="l"/>
        <c:majorGridlines>
          <c:spPr>
            <a:ln w="9525" cap="flat" cmpd="sng" algn="ctr">
              <a:noFill/>
              <a:prstDash val="solid"/>
              <a:round/>
            </a:ln>
            <a:effectLst/>
          </c:spPr>
        </c:majorGridlines>
        <c:numFmt formatCode="#,##0.0" sourceLinked="0"/>
        <c:majorTickMark val="none"/>
        <c:minorTickMark val="none"/>
        <c:tickLblPos val="nextTo"/>
        <c:spPr>
          <a:noFill/>
          <a:ln w="9525" cap="flat" cmpd="sng" algn="ctr">
            <a:noFill/>
            <a:prstDash val="solid"/>
            <a:round/>
          </a:ln>
          <a:effectLst/>
        </c:spPr>
        <c:txPr>
          <a:bodyPr rot="-60000000" spcFirstLastPara="1" vertOverflow="ellipsis" vert="horz" wrap="square" anchor="ctr" anchorCtr="1"/>
          <a:lstStyle/>
          <a:p>
            <a:pPr>
              <a:defRPr sz="700" b="0" i="0" u="none" strike="noStrike" kern="1200" baseline="0">
                <a:solidFill>
                  <a:schemeClr val="tx1"/>
                </a:solidFill>
                <a:latin typeface="Times New Roman" panose="02020603050405020304" pitchFamily="18" charset="0"/>
                <a:ea typeface="+mn-ea"/>
                <a:cs typeface="+mn-cs"/>
              </a:defRPr>
            </a:pPr>
            <a:endParaRPr lang="en-US"/>
          </a:p>
        </c:txPr>
        <c:crossAx val="75069312"/>
        <c:crosses val="autoZero"/>
        <c:crossBetween val="between"/>
        <c:majorUnit val="5"/>
        <c:minorUnit val="2"/>
      </c:valAx>
      <c:spPr>
        <a:noFill/>
        <a:ln>
          <a:noFill/>
        </a:ln>
        <a:effectLst/>
      </c:spPr>
    </c:plotArea>
    <c:plotVisOnly val="1"/>
    <c:dispBlanksAs val="gap"/>
    <c:showDLblsOverMax val="0"/>
  </c:chart>
  <c:spPr>
    <a:solidFill>
      <a:schemeClr val="bg1"/>
    </a:solidFill>
    <a:ln w="9525" cap="flat" cmpd="sng" algn="ctr">
      <a:noFill/>
      <a:prstDash val="solid"/>
      <a:round/>
    </a:ln>
    <a:effectLst/>
  </c:spPr>
  <c:txPr>
    <a:bodyPr rot="5400000" vert="horz"/>
    <a:lstStyle/>
    <a:p>
      <a:pPr>
        <a:defRPr sz="700"/>
      </a:pPr>
      <a:endParaRPr lang="en-US"/>
    </a:p>
  </c:txPr>
  <c:externalData r:id="rId4">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lineChart>
        <c:grouping val="standard"/>
        <c:varyColors val="0"/>
        <c:ser>
          <c:idx val="0"/>
          <c:order val="0"/>
          <c:spPr>
            <a:ln w="28575" cap="rnd">
              <a:solidFill>
                <a:schemeClr val="accent1"/>
              </a:solidFill>
              <a:round/>
            </a:ln>
            <a:effectLst/>
          </c:spPr>
          <c:marker>
            <c:symbol val="none"/>
          </c:marker>
          <c:dLbls>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'[Prilozi.xlsx]Ucesce ind duga'!$B$3:$B$12</c:f>
              <c:strCache>
                <c:ptCount val="10"/>
                <c:pt idx="0">
                  <c:v>2015</c:v>
                </c:pt>
                <c:pt idx="1">
                  <c:v>2016</c:v>
                </c:pt>
                <c:pt idx="2">
                  <c:v>2017</c:v>
                </c:pt>
                <c:pt idx="3">
                  <c:v>2018</c:v>
                </c:pt>
                <c:pt idx="4">
                  <c:v>2019</c:v>
                </c:pt>
                <c:pt idx="5">
                  <c:v>2020</c:v>
                </c:pt>
                <c:pt idx="6">
                  <c:v>2021</c:v>
                </c:pt>
                <c:pt idx="7">
                  <c:v>2022</c:v>
                </c:pt>
                <c:pt idx="8">
                  <c:v>2023</c:v>
                </c:pt>
                <c:pt idx="9">
                  <c:v>30.09.2024.</c:v>
                </c:pt>
              </c:strCache>
            </c:strRef>
          </c:cat>
          <c:val>
            <c:numRef>
              <c:f>'[Prilozi.xlsx]Ucesce ind duga'!$G$3:$G$12</c:f>
              <c:numCache>
                <c:formatCode>0.0%</c:formatCode>
                <c:ptCount val="10"/>
                <c:pt idx="0">
                  <c:v>9.4899104808150933E-2</c:v>
                </c:pt>
                <c:pt idx="1">
                  <c:v>8.5111910741428626E-2</c:v>
                </c:pt>
                <c:pt idx="2">
                  <c:v>7.4846461096448672E-2</c:v>
                </c:pt>
                <c:pt idx="3">
                  <c:v>6.5330701534005345E-2</c:v>
                </c:pt>
                <c:pt idx="4">
                  <c:v>6.1105887904304074E-2</c:v>
                </c:pt>
                <c:pt idx="5">
                  <c:v>5.2600687485065384E-2</c:v>
                </c:pt>
                <c:pt idx="6">
                  <c:v>4.5373884092513889E-2</c:v>
                </c:pt>
                <c:pt idx="7">
                  <c:v>4.5966213245846536E-2</c:v>
                </c:pt>
                <c:pt idx="8">
                  <c:v>4.9875474153556594E-2</c:v>
                </c:pt>
                <c:pt idx="9">
                  <c:v>4.6769709774268878E-2</c:v>
                </c:pt>
              </c:numCache>
            </c:numRef>
          </c:val>
          <c:smooth val="0"/>
          <c:extLst>
            <c:ext xmlns:c16="http://schemas.microsoft.com/office/drawing/2014/chart" uri="{C3380CC4-5D6E-409C-BE32-E72D297353CC}">
              <c16:uniqueId val="{00000000-0F43-4F9D-81D9-0ABC77213F05}"/>
            </c:ext>
          </c:extLst>
        </c:ser>
        <c:dLbls>
          <c:dLblPos val="t"/>
          <c:showLegendKey val="0"/>
          <c:showVal val="1"/>
          <c:showCatName val="0"/>
          <c:showSerName val="0"/>
          <c:showPercent val="0"/>
          <c:showBubbleSize val="0"/>
        </c:dLbls>
        <c:smooth val="0"/>
        <c:axId val="271573488"/>
        <c:axId val="271586384"/>
      </c:lineChart>
      <c:catAx>
        <c:axId val="27157348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n-US"/>
          </a:p>
        </c:txPr>
        <c:crossAx val="271586384"/>
        <c:crosses val="autoZero"/>
        <c:auto val="1"/>
        <c:lblAlgn val="ctr"/>
        <c:lblOffset val="100"/>
        <c:noMultiLvlLbl val="0"/>
      </c:catAx>
      <c:valAx>
        <c:axId val="271586384"/>
        <c:scaling>
          <c:orientation val="minMax"/>
        </c:scaling>
        <c:delete val="0"/>
        <c:axPos val="l"/>
        <c:numFmt formatCode="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n-US"/>
          </a:p>
        </c:txPr>
        <c:crossAx val="271573488"/>
        <c:crosses val="autoZero"/>
        <c:crossBetween val="between"/>
      </c:valAx>
      <c:spPr>
        <a:noFill/>
        <a:ln>
          <a:noFill/>
        </a:ln>
        <a:effectLst/>
      </c:spPr>
    </c:plotArea>
    <c:plotVisOnly val="1"/>
    <c:dispBlanksAs val="gap"/>
    <c:showDLblsOverMax val="0"/>
  </c:chart>
  <c:spPr>
    <a:solidFill>
      <a:schemeClr val="bg1"/>
    </a:solidFill>
    <a:ln w="9525" cap="flat" cmpd="sng" algn="ctr">
      <a:noFill/>
      <a:round/>
    </a:ln>
    <a:effectLst/>
  </c:spPr>
  <c:txPr>
    <a:bodyPr/>
    <a:lstStyle/>
    <a:p>
      <a:pPr>
        <a:defRPr>
          <a:latin typeface="Times New Roman" panose="02020603050405020304" pitchFamily="18" charset="0"/>
          <a:cs typeface="Times New Roman" panose="02020603050405020304" pitchFamily="18" charset="0"/>
        </a:defRPr>
      </a:pPr>
      <a:endParaRPr lang="en-US"/>
    </a:p>
  </c:txPr>
  <c:externalData r:id="rId4">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10913110157707132"/>
          <c:y val="5.8201058201058198E-2"/>
          <c:w val="0.86649486784459939"/>
          <c:h val="0.599145940090822"/>
        </c:manualLayout>
      </c:layout>
      <c:barChart>
        <c:barDir val="col"/>
        <c:grouping val="clustered"/>
        <c:varyColors val="0"/>
        <c:ser>
          <c:idx val="0"/>
          <c:order val="0"/>
          <c:tx>
            <c:strRef>
              <c:f>Гаранције!$C$53</c:f>
              <c:strCache>
                <c:ptCount val="1"/>
                <c:pt idx="0">
                  <c:v>Укупна отплата по основу гаранција (главница + камата)</c:v>
                </c:pt>
              </c:strCache>
            </c:strRef>
          </c:tx>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c:spPr>
          <c:invertIfNegative val="0"/>
          <c:cat>
            <c:strRef>
              <c:f>Гаранције!$B$54:$B$63</c:f>
              <c:strCache>
                <c:ptCount val="10"/>
                <c:pt idx="0">
                  <c:v>2015</c:v>
                </c:pt>
                <c:pt idx="1">
                  <c:v>2016</c:v>
                </c:pt>
                <c:pt idx="2">
                  <c:v>2017</c:v>
                </c:pt>
                <c:pt idx="3">
                  <c:v>2018</c:v>
                </c:pt>
                <c:pt idx="4">
                  <c:v>2019</c:v>
                </c:pt>
                <c:pt idx="5">
                  <c:v>2020</c:v>
                </c:pt>
                <c:pt idx="6">
                  <c:v>2021</c:v>
                </c:pt>
                <c:pt idx="7">
                  <c:v>2022</c:v>
                </c:pt>
                <c:pt idx="8">
                  <c:v>2023</c:v>
                </c:pt>
                <c:pt idx="9">
                  <c:v>30.09.2024</c:v>
                </c:pt>
              </c:strCache>
            </c:strRef>
          </c:cat>
          <c:val>
            <c:numRef>
              <c:f>Гаранције!$C$54:$C$63</c:f>
              <c:numCache>
                <c:formatCode>#,##0.0</c:formatCode>
                <c:ptCount val="10"/>
                <c:pt idx="0">
                  <c:v>47.2</c:v>
                </c:pt>
                <c:pt idx="1">
                  <c:v>55.3</c:v>
                </c:pt>
                <c:pt idx="2">
                  <c:v>36.700000000000003</c:v>
                </c:pt>
                <c:pt idx="3">
                  <c:v>26</c:v>
                </c:pt>
                <c:pt idx="4">
                  <c:v>17.100000000000001</c:v>
                </c:pt>
                <c:pt idx="5">
                  <c:v>13.2</c:v>
                </c:pt>
                <c:pt idx="6">
                  <c:v>12.9</c:v>
                </c:pt>
                <c:pt idx="7">
                  <c:v>23.3</c:v>
                </c:pt>
                <c:pt idx="8" formatCode="0.0">
                  <c:v>33.74</c:v>
                </c:pt>
                <c:pt idx="9" formatCode="General">
                  <c:v>28.6</c:v>
                </c:pt>
              </c:numCache>
            </c:numRef>
          </c:val>
          <c:extLst>
            <c:ext xmlns:c16="http://schemas.microsoft.com/office/drawing/2014/chart" uri="{C3380CC4-5D6E-409C-BE32-E72D297353CC}">
              <c16:uniqueId val="{00000000-B776-4489-82E8-7E095A156E41}"/>
            </c:ext>
          </c:extLst>
        </c:ser>
        <c:ser>
          <c:idx val="1"/>
          <c:order val="1"/>
          <c:tx>
            <c:strRef>
              <c:f>Гаранције!$D$53</c:f>
              <c:strCache>
                <c:ptCount val="1"/>
                <c:pt idx="0">
                  <c:v>Отплата гаранција (главница) укључена у расходе (утиче на дефицит) </c:v>
                </c:pt>
              </c:strCache>
            </c:strRef>
          </c:tx>
          <c:spPr>
            <a:solidFill>
              <a:srgbClr val="FF0000"/>
            </a:solidFill>
            <a:ln>
              <a:noFill/>
            </a:ln>
            <a:effectLst/>
          </c:spPr>
          <c:invertIfNegative val="0"/>
          <c:cat>
            <c:strRef>
              <c:f>Гаранције!$B$54:$B$63</c:f>
              <c:strCache>
                <c:ptCount val="10"/>
                <c:pt idx="0">
                  <c:v>2015</c:v>
                </c:pt>
                <c:pt idx="1">
                  <c:v>2016</c:v>
                </c:pt>
                <c:pt idx="2">
                  <c:v>2017</c:v>
                </c:pt>
                <c:pt idx="3">
                  <c:v>2018</c:v>
                </c:pt>
                <c:pt idx="4">
                  <c:v>2019</c:v>
                </c:pt>
                <c:pt idx="5">
                  <c:v>2020</c:v>
                </c:pt>
                <c:pt idx="6">
                  <c:v>2021</c:v>
                </c:pt>
                <c:pt idx="7">
                  <c:v>2022</c:v>
                </c:pt>
                <c:pt idx="8">
                  <c:v>2023</c:v>
                </c:pt>
                <c:pt idx="9">
                  <c:v>30.09.2024</c:v>
                </c:pt>
              </c:strCache>
            </c:strRef>
          </c:cat>
          <c:val>
            <c:numRef>
              <c:f>Гаранције!$D$54:$D$63</c:f>
              <c:numCache>
                <c:formatCode>#,##0.0</c:formatCode>
                <c:ptCount val="10"/>
                <c:pt idx="0">
                  <c:v>30.099999999999998</c:v>
                </c:pt>
                <c:pt idx="1">
                  <c:v>39.116</c:v>
                </c:pt>
                <c:pt idx="2">
                  <c:v>28.8</c:v>
                </c:pt>
                <c:pt idx="3">
                  <c:v>19.727</c:v>
                </c:pt>
                <c:pt idx="4">
                  <c:v>10.8</c:v>
                </c:pt>
                <c:pt idx="5">
                  <c:v>7.5</c:v>
                </c:pt>
                <c:pt idx="6">
                  <c:v>7.7</c:v>
                </c:pt>
                <c:pt idx="7">
                  <c:v>17.744700000000002</c:v>
                </c:pt>
                <c:pt idx="8" formatCode="General">
                  <c:v>23.8</c:v>
                </c:pt>
                <c:pt idx="9" formatCode="General">
                  <c:v>20.3</c:v>
                </c:pt>
              </c:numCache>
            </c:numRef>
          </c:val>
          <c:extLst>
            <c:ext xmlns:c16="http://schemas.microsoft.com/office/drawing/2014/chart" uri="{C3380CC4-5D6E-409C-BE32-E72D297353CC}">
              <c16:uniqueId val="{00000001-B776-4489-82E8-7E095A156E41}"/>
            </c:ext>
          </c:extLst>
        </c:ser>
        <c:dLbls>
          <c:showLegendKey val="0"/>
          <c:showVal val="0"/>
          <c:showCatName val="0"/>
          <c:showSerName val="0"/>
          <c:showPercent val="0"/>
          <c:showBubbleSize val="0"/>
        </c:dLbls>
        <c:gapWidth val="100"/>
        <c:overlap val="-24"/>
        <c:axId val="499205263"/>
        <c:axId val="499199855"/>
        <c:extLst>
          <c:ext xmlns:c15="http://schemas.microsoft.com/office/drawing/2012/chart" uri="{02D57815-91ED-43cb-92C2-25804820EDAC}">
            <c15:filteredBarSeries>
              <c15:ser>
                <c:idx val="2"/>
                <c:order val="2"/>
                <c:tx>
                  <c:strRef>
                    <c:extLst>
                      <c:ext uri="{02D57815-91ED-43cb-92C2-25804820EDAC}">
                        <c15:formulaRef>
                          <c15:sqref>Гаранције!$E$53</c15:sqref>
                        </c15:formulaRef>
                      </c:ext>
                    </c:extLst>
                    <c:strCache>
                      <c:ptCount val="1"/>
                    </c:strCache>
                  </c:strRef>
                </c:tx>
                <c:spPr>
                  <a:gradFill rotWithShape="1">
                    <a:gsLst>
                      <a:gs pos="0">
                        <a:schemeClr val="accent3">
                          <a:satMod val="103000"/>
                          <a:lumMod val="102000"/>
                          <a:tint val="94000"/>
                        </a:schemeClr>
                      </a:gs>
                      <a:gs pos="50000">
                        <a:schemeClr val="accent3">
                          <a:satMod val="110000"/>
                          <a:lumMod val="100000"/>
                          <a:shade val="100000"/>
                        </a:schemeClr>
                      </a:gs>
                      <a:gs pos="100000">
                        <a:schemeClr val="accent3">
                          <a:lumMod val="99000"/>
                          <a:satMod val="120000"/>
                          <a:shade val="78000"/>
                        </a:schemeClr>
                      </a:gs>
                    </a:gsLst>
                    <a:lin ang="5400000" scaled="0"/>
                  </a:gradFill>
                  <a:ln>
                    <a:noFill/>
                  </a:ln>
                  <a:effectLst/>
                </c:spPr>
                <c:invertIfNegative val="0"/>
                <c:cat>
                  <c:strRef>
                    <c:extLst>
                      <c:ext uri="{02D57815-91ED-43cb-92C2-25804820EDAC}">
                        <c15:formulaRef>
                          <c15:sqref>Гаранције!$B$54:$B$63</c15:sqref>
                        </c15:formulaRef>
                      </c:ext>
                    </c:extLst>
                    <c:strCache>
                      <c:ptCount val="10"/>
                      <c:pt idx="0">
                        <c:v>2015</c:v>
                      </c:pt>
                      <c:pt idx="1">
                        <c:v>2016</c:v>
                      </c:pt>
                      <c:pt idx="2">
                        <c:v>2017</c:v>
                      </c:pt>
                      <c:pt idx="3">
                        <c:v>2018</c:v>
                      </c:pt>
                      <c:pt idx="4">
                        <c:v>2019</c:v>
                      </c:pt>
                      <c:pt idx="5">
                        <c:v>2020</c:v>
                      </c:pt>
                      <c:pt idx="6">
                        <c:v>2021</c:v>
                      </c:pt>
                      <c:pt idx="7">
                        <c:v>2022</c:v>
                      </c:pt>
                      <c:pt idx="8">
                        <c:v>2023</c:v>
                      </c:pt>
                      <c:pt idx="9">
                        <c:v>30.09.2024</c:v>
                      </c:pt>
                    </c:strCache>
                  </c:strRef>
                </c:cat>
                <c:val>
                  <c:numRef>
                    <c:extLst>
                      <c:ext uri="{02D57815-91ED-43cb-92C2-25804820EDAC}">
                        <c15:formulaRef>
                          <c15:sqref>Гаранције!$E$54:$E$62</c15:sqref>
                        </c15:formulaRef>
                      </c:ext>
                    </c:extLst>
                    <c:numCache>
                      <c:formatCode>General</c:formatCode>
                      <c:ptCount val="9"/>
                    </c:numCache>
                  </c:numRef>
                </c:val>
                <c:extLst>
                  <c:ext xmlns:c16="http://schemas.microsoft.com/office/drawing/2014/chart" uri="{C3380CC4-5D6E-409C-BE32-E72D297353CC}">
                    <c16:uniqueId val="{00000002-B776-4489-82E8-7E095A156E41}"/>
                  </c:ext>
                </c:extLst>
              </c15:ser>
            </c15:filteredBarSeries>
            <c15:filteredBarSeries>
              <c15:ser>
                <c:idx val="3"/>
                <c:order val="3"/>
                <c:tx>
                  <c:strRef>
                    <c:extLst xmlns:c15="http://schemas.microsoft.com/office/drawing/2012/chart">
                      <c:ext xmlns:c15="http://schemas.microsoft.com/office/drawing/2012/chart" uri="{02D57815-91ED-43cb-92C2-25804820EDAC}">
                        <c15:formulaRef>
                          <c15:sqref>Гаранције!$F$53</c15:sqref>
                        </c15:formulaRef>
                      </c:ext>
                    </c:extLst>
                    <c:strCache>
                      <c:ptCount val="1"/>
                    </c:strCache>
                  </c:strRef>
                </c:tx>
                <c:spPr>
                  <a:gradFill rotWithShape="1">
                    <a:gsLst>
                      <a:gs pos="0">
                        <a:schemeClr val="accent4">
                          <a:satMod val="103000"/>
                          <a:lumMod val="102000"/>
                          <a:tint val="94000"/>
                        </a:schemeClr>
                      </a:gs>
                      <a:gs pos="50000">
                        <a:schemeClr val="accent4">
                          <a:satMod val="110000"/>
                          <a:lumMod val="100000"/>
                          <a:shade val="100000"/>
                        </a:schemeClr>
                      </a:gs>
                      <a:gs pos="100000">
                        <a:schemeClr val="accent4">
                          <a:lumMod val="99000"/>
                          <a:satMod val="120000"/>
                          <a:shade val="78000"/>
                        </a:schemeClr>
                      </a:gs>
                    </a:gsLst>
                    <a:lin ang="5400000" scaled="0"/>
                  </a:gradFill>
                  <a:ln>
                    <a:noFill/>
                  </a:ln>
                  <a:effectLst/>
                </c:spPr>
                <c:invertIfNegative val="0"/>
                <c:cat>
                  <c:strRef>
                    <c:extLst xmlns:c15="http://schemas.microsoft.com/office/drawing/2012/chart">
                      <c:ext xmlns:c15="http://schemas.microsoft.com/office/drawing/2012/chart" uri="{02D57815-91ED-43cb-92C2-25804820EDAC}">
                        <c15:formulaRef>
                          <c15:sqref>Гаранције!$B$54:$B$63</c15:sqref>
                        </c15:formulaRef>
                      </c:ext>
                    </c:extLst>
                    <c:strCache>
                      <c:ptCount val="10"/>
                      <c:pt idx="0">
                        <c:v>2015</c:v>
                      </c:pt>
                      <c:pt idx="1">
                        <c:v>2016</c:v>
                      </c:pt>
                      <c:pt idx="2">
                        <c:v>2017</c:v>
                      </c:pt>
                      <c:pt idx="3">
                        <c:v>2018</c:v>
                      </c:pt>
                      <c:pt idx="4">
                        <c:v>2019</c:v>
                      </c:pt>
                      <c:pt idx="5">
                        <c:v>2020</c:v>
                      </c:pt>
                      <c:pt idx="6">
                        <c:v>2021</c:v>
                      </c:pt>
                      <c:pt idx="7">
                        <c:v>2022</c:v>
                      </c:pt>
                      <c:pt idx="8">
                        <c:v>2023</c:v>
                      </c:pt>
                      <c:pt idx="9">
                        <c:v>30.09.2024</c:v>
                      </c:pt>
                    </c:strCache>
                  </c:strRef>
                </c:cat>
                <c:val>
                  <c:numRef>
                    <c:extLst xmlns:c15="http://schemas.microsoft.com/office/drawing/2012/chart">
                      <c:ext xmlns:c15="http://schemas.microsoft.com/office/drawing/2012/chart" uri="{02D57815-91ED-43cb-92C2-25804820EDAC}">
                        <c15:formulaRef>
                          <c15:sqref>Гаранције!$F$54:$F$62</c15:sqref>
                        </c15:formulaRef>
                      </c:ext>
                    </c:extLst>
                    <c:numCache>
                      <c:formatCode>General</c:formatCode>
                      <c:ptCount val="9"/>
                    </c:numCache>
                  </c:numRef>
                </c:val>
                <c:extLst xmlns:c15="http://schemas.microsoft.com/office/drawing/2012/chart">
                  <c:ext xmlns:c16="http://schemas.microsoft.com/office/drawing/2014/chart" uri="{C3380CC4-5D6E-409C-BE32-E72D297353CC}">
                    <c16:uniqueId val="{00000003-B776-4489-82E8-7E095A156E41}"/>
                  </c:ext>
                </c:extLst>
              </c15:ser>
            </c15:filteredBarSeries>
            <c15:filteredBarSeries>
              <c15:ser>
                <c:idx val="4"/>
                <c:order val="4"/>
                <c:tx>
                  <c:strRef>
                    <c:extLst xmlns:c15="http://schemas.microsoft.com/office/drawing/2012/chart">
                      <c:ext xmlns:c15="http://schemas.microsoft.com/office/drawing/2012/chart" uri="{02D57815-91ED-43cb-92C2-25804820EDAC}">
                        <c15:formulaRef>
                          <c15:sqref>Гаранције!$G$53</c15:sqref>
                        </c15:formulaRef>
                      </c:ext>
                    </c:extLst>
                    <c:strCache>
                      <c:ptCount val="1"/>
                    </c:strCache>
                  </c:strRef>
                </c:tx>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noFill/>
                  </a:ln>
                  <a:effectLst/>
                </c:spPr>
                <c:invertIfNegative val="0"/>
                <c:cat>
                  <c:strRef>
                    <c:extLst xmlns:c15="http://schemas.microsoft.com/office/drawing/2012/chart">
                      <c:ext xmlns:c15="http://schemas.microsoft.com/office/drawing/2012/chart" uri="{02D57815-91ED-43cb-92C2-25804820EDAC}">
                        <c15:formulaRef>
                          <c15:sqref>Гаранције!$B$54:$B$63</c15:sqref>
                        </c15:formulaRef>
                      </c:ext>
                    </c:extLst>
                    <c:strCache>
                      <c:ptCount val="10"/>
                      <c:pt idx="0">
                        <c:v>2015</c:v>
                      </c:pt>
                      <c:pt idx="1">
                        <c:v>2016</c:v>
                      </c:pt>
                      <c:pt idx="2">
                        <c:v>2017</c:v>
                      </c:pt>
                      <c:pt idx="3">
                        <c:v>2018</c:v>
                      </c:pt>
                      <c:pt idx="4">
                        <c:v>2019</c:v>
                      </c:pt>
                      <c:pt idx="5">
                        <c:v>2020</c:v>
                      </c:pt>
                      <c:pt idx="6">
                        <c:v>2021</c:v>
                      </c:pt>
                      <c:pt idx="7">
                        <c:v>2022</c:v>
                      </c:pt>
                      <c:pt idx="8">
                        <c:v>2023</c:v>
                      </c:pt>
                      <c:pt idx="9">
                        <c:v>30.09.2024</c:v>
                      </c:pt>
                    </c:strCache>
                  </c:strRef>
                </c:cat>
                <c:val>
                  <c:numRef>
                    <c:extLst xmlns:c15="http://schemas.microsoft.com/office/drawing/2012/chart">
                      <c:ext xmlns:c15="http://schemas.microsoft.com/office/drawing/2012/chart" uri="{02D57815-91ED-43cb-92C2-25804820EDAC}">
                        <c15:formulaRef>
                          <c15:sqref>Гаранције!$G$54:$G$62</c15:sqref>
                        </c15:formulaRef>
                      </c:ext>
                    </c:extLst>
                    <c:numCache>
                      <c:formatCode>General</c:formatCode>
                      <c:ptCount val="9"/>
                    </c:numCache>
                  </c:numRef>
                </c:val>
                <c:extLst xmlns:c15="http://schemas.microsoft.com/office/drawing/2012/chart">
                  <c:ext xmlns:c16="http://schemas.microsoft.com/office/drawing/2014/chart" uri="{C3380CC4-5D6E-409C-BE32-E72D297353CC}">
                    <c16:uniqueId val="{00000004-B776-4489-82E8-7E095A156E41}"/>
                  </c:ext>
                </c:extLst>
              </c15:ser>
            </c15:filteredBarSeries>
          </c:ext>
        </c:extLst>
      </c:barChart>
      <c:catAx>
        <c:axId val="499205263"/>
        <c:scaling>
          <c:orientation val="minMax"/>
        </c:scaling>
        <c:delete val="0"/>
        <c:axPos val="b"/>
        <c:numFmt formatCode="General" sourceLinked="1"/>
        <c:majorTickMark val="none"/>
        <c:minorTickMark val="none"/>
        <c:tickLblPos val="nextTo"/>
        <c:spPr>
          <a:noFill/>
          <a:ln w="9525" cap="flat" cmpd="sng" algn="ctr">
            <a:solidFill>
              <a:schemeClr val="tx2">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2"/>
                </a:solidFill>
                <a:latin typeface="Times New Roman" panose="02020603050405020304" pitchFamily="18" charset="0"/>
                <a:ea typeface="+mn-ea"/>
                <a:cs typeface="+mn-cs"/>
              </a:defRPr>
            </a:pPr>
            <a:endParaRPr lang="en-US"/>
          </a:p>
        </c:txPr>
        <c:crossAx val="499199855"/>
        <c:crosses val="autoZero"/>
        <c:auto val="1"/>
        <c:lblAlgn val="ctr"/>
        <c:lblOffset val="100"/>
        <c:noMultiLvlLbl val="0"/>
      </c:catAx>
      <c:valAx>
        <c:axId val="499199855"/>
        <c:scaling>
          <c:orientation val="minMax"/>
        </c:scaling>
        <c:delete val="0"/>
        <c:axPos val="l"/>
        <c:title>
          <c:tx>
            <c:rich>
              <a:bodyPr rot="-5400000" spcFirstLastPara="1" vertOverflow="ellipsis" vert="horz" wrap="square" anchor="ctr" anchorCtr="1"/>
              <a:lstStyle/>
              <a:p>
                <a:pPr>
                  <a:defRPr sz="900" b="1" i="0" u="none" strike="noStrike" kern="1200" baseline="0">
                    <a:solidFill>
                      <a:schemeClr val="tx2"/>
                    </a:solidFill>
                    <a:latin typeface="Times New Roman" panose="02020603050405020304" pitchFamily="18" charset="0"/>
                    <a:ea typeface="+mn-ea"/>
                    <a:cs typeface="+mn-cs"/>
                  </a:defRPr>
                </a:pPr>
                <a:r>
                  <a:rPr lang="sr-Cyrl-RS" b="0" baseline="0">
                    <a:latin typeface="Times New Roman" panose="02020603050405020304" pitchFamily="18" charset="0"/>
                  </a:rPr>
                  <a:t>млрд</a:t>
                </a:r>
                <a:r>
                  <a:rPr lang="sr-Cyrl-RS" sz="900" b="0" i="0" u="none" strike="noStrike" kern="1200" baseline="0">
                    <a:solidFill>
                      <a:srgbClr val="44546A"/>
                    </a:solidFill>
                    <a:latin typeface="Times New Roman" panose="02020603050405020304" pitchFamily="18" charset="0"/>
                    <a:ea typeface="+mn-ea"/>
                    <a:cs typeface="+mn-cs"/>
                  </a:rPr>
                  <a:t> </a:t>
                </a:r>
                <a:r>
                  <a:rPr lang="sr-Cyrl-RS" baseline="0">
                    <a:latin typeface="Times New Roman" panose="02020603050405020304" pitchFamily="18" charset="0"/>
                  </a:rPr>
                  <a:t>динара</a:t>
                </a:r>
                <a:endParaRPr lang="en-US" baseline="0">
                  <a:latin typeface="Times New Roman" panose="02020603050405020304" pitchFamily="18" charset="0"/>
                </a:endParaRPr>
              </a:p>
            </c:rich>
          </c:tx>
          <c:overlay val="0"/>
          <c:spPr>
            <a:noFill/>
            <a:ln>
              <a:noFill/>
            </a:ln>
            <a:effectLst/>
          </c:spPr>
          <c:txPr>
            <a:bodyPr rot="-5400000" spcFirstLastPara="1" vertOverflow="ellipsis" vert="horz" wrap="square" anchor="ctr" anchorCtr="1"/>
            <a:lstStyle/>
            <a:p>
              <a:pPr>
                <a:defRPr sz="900" b="1" i="0" u="none" strike="noStrike" kern="1200" baseline="0">
                  <a:solidFill>
                    <a:schemeClr val="tx2"/>
                  </a:solidFill>
                  <a:latin typeface="Times New Roman" panose="02020603050405020304" pitchFamily="18" charset="0"/>
                  <a:ea typeface="+mn-ea"/>
                  <a:cs typeface="+mn-cs"/>
                </a:defRPr>
              </a:pPr>
              <a:endParaRPr lang="en-US"/>
            </a:p>
          </c:txPr>
        </c:title>
        <c:numFmt formatCode="#,##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2"/>
                </a:solidFill>
                <a:latin typeface="Times New Roman" panose="02020603050405020304" pitchFamily="18" charset="0"/>
                <a:ea typeface="+mn-ea"/>
                <a:cs typeface="+mn-cs"/>
              </a:defRPr>
            </a:pPr>
            <a:endParaRPr lang="en-US"/>
          </a:p>
        </c:txPr>
        <c:crossAx val="499205263"/>
        <c:crosses val="autoZero"/>
        <c:crossBetween val="between"/>
      </c:valAx>
      <c:spPr>
        <a:noFill/>
        <a:ln>
          <a:noFill/>
        </a:ln>
        <a:effectLst/>
      </c:spPr>
    </c:plotArea>
    <c:legend>
      <c:legendPos val="b"/>
      <c:layout>
        <c:manualLayout>
          <c:xMode val="edge"/>
          <c:yMode val="edge"/>
          <c:x val="0.18974790238523531"/>
          <c:y val="0.81722784651918512"/>
          <c:w val="0.62050419522952938"/>
          <c:h val="0.15085183962783094"/>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2"/>
              </a:solidFill>
              <a:latin typeface="Times New Roman" panose="02020603050405020304" pitchFamily="18" charset="0"/>
              <a:ea typeface="+mn-ea"/>
              <a:cs typeface="+mn-cs"/>
            </a:defRPr>
          </a:pPr>
          <a:endParaRPr lang="en-US"/>
        </a:p>
      </c:txPr>
    </c:legend>
    <c:plotVisOnly val="1"/>
    <c:dispBlanksAs val="gap"/>
    <c:showDLblsOverMax val="0"/>
  </c:chart>
  <c:spPr>
    <a:solidFill>
      <a:schemeClr val="bg1"/>
    </a:solidFill>
    <a:ln w="9525" cap="flat" cmpd="sng" algn="ctr">
      <a:noFill/>
      <a:round/>
    </a:ln>
    <a:effectLst/>
  </c:spPr>
  <c:txPr>
    <a:bodyPr/>
    <a:lstStyle/>
    <a:p>
      <a:pPr>
        <a:defRPr/>
      </a:pPr>
      <a:endParaRPr lang="en-US"/>
    </a:p>
  </c:txPr>
  <c:externalData r:id="rId4">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8"/>
    </mc:Choice>
    <mc:Fallback>
      <c:style val="8"/>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7.9033714179804967E-2"/>
          <c:y val="6.0313404132223677E-2"/>
          <c:w val="0.86085801063022016"/>
          <c:h val="0.65628920384951883"/>
        </c:manualLayout>
      </c:layout>
      <c:barChart>
        <c:barDir val="col"/>
        <c:grouping val="clustered"/>
        <c:varyColors val="0"/>
        <c:ser>
          <c:idx val="0"/>
          <c:order val="0"/>
          <c:tx>
            <c:strRef>
              <c:f>grafikoni!$E$50</c:f>
              <c:strCache>
                <c:ptCount val="1"/>
                <c:pt idx="0">
                  <c:v>јавни дуг - основни сценарио</c:v>
                </c:pt>
              </c:strCache>
            </c:strRef>
          </c:tx>
          <c:spPr>
            <a:solidFill>
              <a:schemeClr val="accent1">
                <a:lumMod val="50000"/>
              </a:schemeClr>
            </a:solidFill>
            <a:ln w="9525" cap="flat" cmpd="sng" algn="ctr">
              <a:solidFill>
                <a:schemeClr val="accent6">
                  <a:shade val="50000"/>
                  <a:shade val="95000"/>
                  <a:satMod val="105000"/>
                </a:schemeClr>
              </a:solidFill>
              <a:prstDash val="solid"/>
              <a:round/>
            </a:ln>
            <a:effectLst/>
          </c:spPr>
          <c:invertIfNegative val="0"/>
          <c:dLbls>
            <c:numFmt formatCode="#,##0.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bg1"/>
                    </a:solidFill>
                    <a:latin typeface="Times New Roman" panose="02020603050405020304" pitchFamily="18" charset="0"/>
                    <a:ea typeface="+mn-ea"/>
                    <a:cs typeface="Times New Roman" panose="02020603050405020304" pitchFamily="18" charset="0"/>
                  </a:defRPr>
                </a:pPr>
                <a:endParaRPr lang="en-US"/>
              </a:p>
            </c:txPr>
            <c:dLblPos val="inBase"/>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grafikoni!$F$48:$I$48</c:f>
              <c:numCache>
                <c:formatCode>General</c:formatCode>
                <c:ptCount val="4"/>
                <c:pt idx="0">
                  <c:v>2024</c:v>
                </c:pt>
                <c:pt idx="1">
                  <c:v>2025</c:v>
                </c:pt>
                <c:pt idx="2">
                  <c:v>2026</c:v>
                </c:pt>
                <c:pt idx="3">
                  <c:v>2027</c:v>
                </c:pt>
              </c:numCache>
            </c:numRef>
          </c:cat>
          <c:val>
            <c:numRef>
              <c:f>grafikoni!$F$50:$I$50</c:f>
              <c:numCache>
                <c:formatCode>#,##0.0</c:formatCode>
                <c:ptCount val="4"/>
                <c:pt idx="0">
                  <c:v>47.858964621404702</c:v>
                </c:pt>
                <c:pt idx="1">
                  <c:v>47.497657706772344</c:v>
                </c:pt>
                <c:pt idx="2">
                  <c:v>46.960300779916849</c:v>
                </c:pt>
                <c:pt idx="3">
                  <c:v>46.539196865895306</c:v>
                </c:pt>
              </c:numCache>
            </c:numRef>
          </c:val>
          <c:extLst>
            <c:ext xmlns:c16="http://schemas.microsoft.com/office/drawing/2014/chart" uri="{C3380CC4-5D6E-409C-BE32-E72D297353CC}">
              <c16:uniqueId val="{00000000-7B38-4D81-BD7D-FAB9D6BA5039}"/>
            </c:ext>
          </c:extLst>
        </c:ser>
        <c:ser>
          <c:idx val="1"/>
          <c:order val="1"/>
          <c:tx>
            <c:strRef>
              <c:f>grafikoni!$E$52</c:f>
              <c:strCache>
                <c:ptCount val="1"/>
                <c:pt idx="0">
                  <c:v>јавни дуг - алтернативни сценарио</c:v>
                </c:pt>
              </c:strCache>
            </c:strRef>
          </c:tx>
          <c:spPr>
            <a:solidFill>
              <a:srgbClr val="FF4747"/>
            </a:solidFill>
            <a:ln w="9525" cap="flat" cmpd="sng" algn="ctr">
              <a:solidFill>
                <a:schemeClr val="accent6">
                  <a:shade val="50000"/>
                  <a:shade val="95000"/>
                  <a:satMod val="105000"/>
                </a:schemeClr>
              </a:solidFill>
              <a:prstDash val="solid"/>
              <a:round/>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bg1"/>
                    </a:solidFill>
                    <a:latin typeface="Times New Roman" panose="02020603050405020304" pitchFamily="18" charset="0"/>
                    <a:ea typeface="+mn-ea"/>
                    <a:cs typeface="Times New Roman" panose="02020603050405020304" pitchFamily="18" charset="0"/>
                  </a:defRPr>
                </a:pPr>
                <a:endParaRPr lang="en-US"/>
              </a:p>
            </c:txPr>
            <c:dLblPos val="inBase"/>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grafikoni!$F$48:$I$48</c:f>
              <c:numCache>
                <c:formatCode>General</c:formatCode>
                <c:ptCount val="4"/>
                <c:pt idx="0">
                  <c:v>2024</c:v>
                </c:pt>
                <c:pt idx="1">
                  <c:v>2025</c:v>
                </c:pt>
                <c:pt idx="2">
                  <c:v>2026</c:v>
                </c:pt>
                <c:pt idx="3">
                  <c:v>2027</c:v>
                </c:pt>
              </c:numCache>
            </c:numRef>
          </c:cat>
          <c:val>
            <c:numRef>
              <c:f>grafikoni!$F$52:$I$52</c:f>
              <c:numCache>
                <c:formatCode>#,##0.0</c:formatCode>
                <c:ptCount val="4"/>
                <c:pt idx="0">
                  <c:v>47.858964621404702</c:v>
                </c:pt>
                <c:pt idx="1">
                  <c:v>48.121302927047239</c:v>
                </c:pt>
                <c:pt idx="2">
                  <c:v>48.287051956697525</c:v>
                </c:pt>
                <c:pt idx="3">
                  <c:v>49.028894151597768</c:v>
                </c:pt>
              </c:numCache>
            </c:numRef>
          </c:val>
          <c:extLst>
            <c:ext xmlns:c16="http://schemas.microsoft.com/office/drawing/2014/chart" uri="{C3380CC4-5D6E-409C-BE32-E72D297353CC}">
              <c16:uniqueId val="{00000001-7B38-4D81-BD7D-FAB9D6BA5039}"/>
            </c:ext>
          </c:extLst>
        </c:ser>
        <c:dLbls>
          <c:showLegendKey val="0"/>
          <c:showVal val="0"/>
          <c:showCatName val="0"/>
          <c:showSerName val="0"/>
          <c:showPercent val="0"/>
          <c:showBubbleSize val="0"/>
        </c:dLbls>
        <c:gapWidth val="150"/>
        <c:axId val="221799760"/>
        <c:axId val="221800152"/>
      </c:barChart>
      <c:lineChart>
        <c:grouping val="standard"/>
        <c:varyColors val="0"/>
        <c:ser>
          <c:idx val="2"/>
          <c:order val="2"/>
          <c:tx>
            <c:strRef>
              <c:f>grafikoni!$E$49</c:f>
              <c:strCache>
                <c:ptCount val="1"/>
                <c:pt idx="0">
                  <c:v>дефицит (десна скала) - основни сценарио</c:v>
                </c:pt>
              </c:strCache>
            </c:strRef>
          </c:tx>
          <c:spPr>
            <a:ln w="47625" cap="rnd" cmpd="sng" algn="ctr">
              <a:solidFill>
                <a:schemeClr val="tx1"/>
              </a:solidFill>
              <a:prstDash val="solid"/>
              <a:round/>
            </a:ln>
            <a:effectLst/>
          </c:spPr>
          <c:marker>
            <c:spPr>
              <a:solidFill>
                <a:schemeClr val="tx1"/>
              </a:solidFill>
              <a:ln w="9525" cap="flat" cmpd="sng" algn="ctr">
                <a:solidFill>
                  <a:schemeClr val="tx1"/>
                </a:solidFill>
                <a:prstDash val="solid"/>
                <a:round/>
              </a:ln>
              <a:effectLst/>
            </c:spPr>
          </c:marker>
          <c:dPt>
            <c:idx val="1"/>
            <c:bubble3D val="0"/>
            <c:extLst>
              <c:ext xmlns:c16="http://schemas.microsoft.com/office/drawing/2014/chart" uri="{C3380CC4-5D6E-409C-BE32-E72D297353CC}">
                <c16:uniqueId val="{00000002-7B38-4D81-BD7D-FAB9D6BA5039}"/>
              </c:ext>
            </c:extLst>
          </c:dPt>
          <c:dLbls>
            <c:dLbl>
              <c:idx val="0"/>
              <c:delete val="1"/>
              <c:extLst>
                <c:ext xmlns:c15="http://schemas.microsoft.com/office/drawing/2012/chart" uri="{CE6537A1-D6FC-4f65-9D91-7224C49458BB}"/>
                <c:ext xmlns:c16="http://schemas.microsoft.com/office/drawing/2014/chart" uri="{C3380CC4-5D6E-409C-BE32-E72D297353CC}">
                  <c16:uniqueId val="{00000003-7B38-4D81-BD7D-FAB9D6BA5039}"/>
                </c:ext>
              </c:extLst>
            </c:dLbl>
            <c:dLbl>
              <c:idx val="1"/>
              <c:layout>
                <c:manualLayout>
                  <c:x val="-1.7729577404247006E-3"/>
                  <c:y val="-4.8360778985002871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7B38-4D81-BD7D-FAB9D6BA5039}"/>
                </c:ext>
              </c:extLst>
            </c:dLbl>
            <c:dLbl>
              <c:idx val="2"/>
              <c:layout>
                <c:manualLayout>
                  <c:x val="7.358924893024216E-17"/>
                  <c:y val="-3.9375638159524377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7B38-4D81-BD7D-FAB9D6BA5039}"/>
                </c:ext>
              </c:extLst>
            </c:dLbl>
            <c:dLbl>
              <c:idx val="3"/>
              <c:layout>
                <c:manualLayout>
                  <c:x val="-4.014005402155932E-3"/>
                  <c:y val="-3.6900360069064692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7B38-4D81-BD7D-FAB9D6BA5039}"/>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dk1"/>
                    </a:solidFill>
                    <a:latin typeface="Times New Roman" panose="02020603050405020304" pitchFamily="18" charset="0"/>
                    <a:ea typeface="+mn-ea"/>
                    <a:cs typeface="Times New Roman" panose="02020603050405020304" pitchFamily="18"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solidFill>
                      <a:prstDash val="solid"/>
                      <a:round/>
                    </a:ln>
                    <a:effectLst/>
                  </c:spPr>
                </c15:leaderLines>
              </c:ext>
            </c:extLst>
          </c:dLbls>
          <c:cat>
            <c:numRef>
              <c:f>grafikoni!$F$48:$I$48</c:f>
              <c:numCache>
                <c:formatCode>General</c:formatCode>
                <c:ptCount val="4"/>
                <c:pt idx="0">
                  <c:v>2024</c:v>
                </c:pt>
                <c:pt idx="1">
                  <c:v>2025</c:v>
                </c:pt>
                <c:pt idx="2">
                  <c:v>2026</c:v>
                </c:pt>
                <c:pt idx="3">
                  <c:v>2027</c:v>
                </c:pt>
              </c:numCache>
            </c:numRef>
          </c:cat>
          <c:val>
            <c:numRef>
              <c:f>grafikoni!$F$49:$I$49</c:f>
              <c:numCache>
                <c:formatCode>#,##0.0</c:formatCode>
                <c:ptCount val="4"/>
                <c:pt idx="0">
                  <c:v>-2.7</c:v>
                </c:pt>
                <c:pt idx="1">
                  <c:v>-3</c:v>
                </c:pt>
                <c:pt idx="2">
                  <c:v>-3</c:v>
                </c:pt>
                <c:pt idx="3">
                  <c:v>-3</c:v>
                </c:pt>
              </c:numCache>
            </c:numRef>
          </c:val>
          <c:smooth val="0"/>
          <c:extLst>
            <c:ext xmlns:c16="http://schemas.microsoft.com/office/drawing/2014/chart" uri="{C3380CC4-5D6E-409C-BE32-E72D297353CC}">
              <c16:uniqueId val="{00000006-7B38-4D81-BD7D-FAB9D6BA5039}"/>
            </c:ext>
          </c:extLst>
        </c:ser>
        <c:ser>
          <c:idx val="3"/>
          <c:order val="3"/>
          <c:tx>
            <c:strRef>
              <c:f>grafikoni!$E$51</c:f>
              <c:strCache>
                <c:ptCount val="1"/>
                <c:pt idx="0">
                  <c:v>дефицит (десна скала) - алтернативни сценарио</c:v>
                </c:pt>
              </c:strCache>
            </c:strRef>
          </c:tx>
          <c:spPr>
            <a:ln w="47625" cap="rnd" cmpd="sng" algn="ctr">
              <a:solidFill>
                <a:schemeClr val="accent1">
                  <a:lumMod val="40000"/>
                  <a:lumOff val="60000"/>
                </a:schemeClr>
              </a:solidFill>
              <a:prstDash val="solid"/>
              <a:round/>
            </a:ln>
            <a:effectLst/>
          </c:spPr>
          <c:marker>
            <c:symbol val="diamond"/>
            <c:size val="9"/>
            <c:spPr>
              <a:solidFill>
                <a:schemeClr val="accent1">
                  <a:lumMod val="40000"/>
                  <a:lumOff val="60000"/>
                </a:schemeClr>
              </a:solidFill>
              <a:ln w="9525" cap="flat" cmpd="sng" algn="ctr">
                <a:solidFill>
                  <a:schemeClr val="accent1">
                    <a:lumMod val="40000"/>
                    <a:lumOff val="60000"/>
                  </a:schemeClr>
                </a:solidFill>
                <a:prstDash val="solid"/>
                <a:round/>
              </a:ln>
              <a:effectLst/>
            </c:spPr>
          </c:marker>
          <c:dLbls>
            <c:dLbl>
              <c:idx val="0"/>
              <c:layout>
                <c:manualLayout>
                  <c:x val="2.5217119764646538E-3"/>
                  <c:y val="-4.4805366338978289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7B38-4D81-BD7D-FAB9D6BA5039}"/>
                </c:ext>
              </c:extLst>
            </c:dLbl>
            <c:dLbl>
              <c:idx val="1"/>
              <c:layout>
                <c:manualLayout>
                  <c:x val="-5.6309858460480379E-3"/>
                  <c:y val="5.8785372832860498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7B38-4D81-BD7D-FAB9D6BA5039}"/>
                </c:ext>
              </c:extLst>
            </c:dLbl>
            <c:dLbl>
              <c:idx val="2"/>
              <c:layout>
                <c:manualLayout>
                  <c:x val="-9.7230589123246409E-3"/>
                  <c:y val="5.0040181199169691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7B38-4D81-BD7D-FAB9D6BA5039}"/>
                </c:ext>
              </c:extLst>
            </c:dLbl>
            <c:dLbl>
              <c:idx val="3"/>
              <c:layout>
                <c:manualLayout>
                  <c:x val="-2.922164326427769E-3"/>
                  <c:y val="7.7093665656103655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A-7B38-4D81-BD7D-FAB9D6BA5039}"/>
                </c:ext>
              </c:extLst>
            </c:dLbl>
            <c:dLbl>
              <c:idx val="4"/>
              <c:layout>
                <c:manualLayout>
                  <c:x val="-3.7342767295597629E-2"/>
                  <c:y val="-6.6401062416998793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B-7B38-4D81-BD7D-FAB9D6BA5039}"/>
                </c:ext>
              </c:extLst>
            </c:dLbl>
            <c:numFmt formatCode="#,##0.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dk1"/>
                    </a:solidFill>
                    <a:latin typeface="Times New Roman" panose="02020603050405020304" pitchFamily="18" charset="0"/>
                    <a:ea typeface="+mn-ea"/>
                    <a:cs typeface="Times New Roman" panose="02020603050405020304" pitchFamily="18"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grafikoni!$F$48:$I$48</c:f>
              <c:numCache>
                <c:formatCode>General</c:formatCode>
                <c:ptCount val="4"/>
                <c:pt idx="0">
                  <c:v>2024</c:v>
                </c:pt>
                <c:pt idx="1">
                  <c:v>2025</c:v>
                </c:pt>
                <c:pt idx="2">
                  <c:v>2026</c:v>
                </c:pt>
                <c:pt idx="3">
                  <c:v>2027</c:v>
                </c:pt>
              </c:numCache>
            </c:numRef>
          </c:cat>
          <c:val>
            <c:numRef>
              <c:f>grafikoni!$F$51:$I$51</c:f>
              <c:numCache>
                <c:formatCode>#,##0.0</c:formatCode>
                <c:ptCount val="4"/>
                <c:pt idx="0">
                  <c:v>-2.7</c:v>
                </c:pt>
                <c:pt idx="1">
                  <c:v>-3.4454410320346782</c:v>
                </c:pt>
                <c:pt idx="2">
                  <c:v>-3.8240702482335167</c:v>
                </c:pt>
                <c:pt idx="3">
                  <c:v>-4.4227456385031942</c:v>
                </c:pt>
              </c:numCache>
            </c:numRef>
          </c:val>
          <c:smooth val="0"/>
          <c:extLst>
            <c:ext xmlns:c16="http://schemas.microsoft.com/office/drawing/2014/chart" uri="{C3380CC4-5D6E-409C-BE32-E72D297353CC}">
              <c16:uniqueId val="{0000000C-7B38-4D81-BD7D-FAB9D6BA5039}"/>
            </c:ext>
          </c:extLst>
        </c:ser>
        <c:dLbls>
          <c:showLegendKey val="0"/>
          <c:showVal val="0"/>
          <c:showCatName val="0"/>
          <c:showSerName val="0"/>
          <c:showPercent val="0"/>
          <c:showBubbleSize val="0"/>
        </c:dLbls>
        <c:marker val="1"/>
        <c:smooth val="0"/>
        <c:axId val="221800936"/>
        <c:axId val="221800544"/>
      </c:lineChart>
      <c:catAx>
        <c:axId val="221799760"/>
        <c:scaling>
          <c:orientation val="minMax"/>
        </c:scaling>
        <c:delete val="0"/>
        <c:axPos val="b"/>
        <c:numFmt formatCode="General" sourceLinked="1"/>
        <c:majorTickMark val="out"/>
        <c:minorTickMark val="none"/>
        <c:tickLblPos val="nextTo"/>
        <c:spPr>
          <a:noFill/>
          <a:ln w="9525" cap="flat" cmpd="sng" algn="ctr">
            <a:solidFill>
              <a:schemeClr val="dk1">
                <a:tint val="75000"/>
                <a:shade val="95000"/>
                <a:satMod val="105000"/>
              </a:schemeClr>
            </a:solidFill>
            <a:prstDash val="solid"/>
            <a:round/>
          </a:ln>
          <a:effectLst/>
        </c:spPr>
        <c:txPr>
          <a:bodyPr rot="-60000000" spcFirstLastPara="1" vertOverflow="ellipsis" vert="horz" wrap="square" anchor="ctr" anchorCtr="1"/>
          <a:lstStyle/>
          <a:p>
            <a:pPr>
              <a:defRPr sz="900" b="0" i="0" u="none" strike="noStrike" kern="1200" baseline="0">
                <a:solidFill>
                  <a:schemeClr val="dk1"/>
                </a:solidFill>
                <a:latin typeface="Times New Roman" panose="02020603050405020304" pitchFamily="18" charset="0"/>
                <a:ea typeface="+mn-ea"/>
                <a:cs typeface="Times New Roman" panose="02020603050405020304" pitchFamily="18" charset="0"/>
              </a:defRPr>
            </a:pPr>
            <a:endParaRPr lang="en-US"/>
          </a:p>
        </c:txPr>
        <c:crossAx val="221800152"/>
        <c:crosses val="autoZero"/>
        <c:auto val="1"/>
        <c:lblAlgn val="ctr"/>
        <c:lblOffset val="100"/>
        <c:noMultiLvlLbl val="0"/>
      </c:catAx>
      <c:valAx>
        <c:axId val="221800152"/>
        <c:scaling>
          <c:orientation val="minMax"/>
          <c:max val="70"/>
        </c:scaling>
        <c:delete val="0"/>
        <c:axPos val="l"/>
        <c:majorGridlines>
          <c:spPr>
            <a:ln w="9525" cap="flat" cmpd="sng" algn="ctr">
              <a:noFill/>
              <a:prstDash val="solid"/>
              <a:round/>
            </a:ln>
            <a:effectLst/>
          </c:spPr>
        </c:majorGridlines>
        <c:numFmt formatCode="#,##0.0" sourceLinked="1"/>
        <c:majorTickMark val="out"/>
        <c:minorTickMark val="none"/>
        <c:tickLblPos val="nextTo"/>
        <c:spPr>
          <a:noFill/>
          <a:ln w="9525" cap="flat" cmpd="sng" algn="ctr">
            <a:solidFill>
              <a:schemeClr val="dk1">
                <a:tint val="75000"/>
                <a:shade val="95000"/>
                <a:satMod val="105000"/>
              </a:schemeClr>
            </a:solidFill>
            <a:prstDash val="solid"/>
            <a:round/>
          </a:ln>
          <a:effectLst/>
        </c:spPr>
        <c:txPr>
          <a:bodyPr rot="-60000000" spcFirstLastPara="1" vertOverflow="ellipsis" vert="horz" wrap="square" anchor="ctr" anchorCtr="1"/>
          <a:lstStyle/>
          <a:p>
            <a:pPr>
              <a:defRPr sz="900" b="0" i="0" u="none" strike="noStrike" kern="1200" baseline="0">
                <a:solidFill>
                  <a:schemeClr val="dk1"/>
                </a:solidFill>
                <a:latin typeface="Times New Roman" panose="02020603050405020304" pitchFamily="18" charset="0"/>
                <a:ea typeface="+mn-ea"/>
                <a:cs typeface="Times New Roman" panose="02020603050405020304" pitchFamily="18" charset="0"/>
              </a:defRPr>
            </a:pPr>
            <a:endParaRPr lang="en-US"/>
          </a:p>
        </c:txPr>
        <c:crossAx val="221799760"/>
        <c:crosses val="autoZero"/>
        <c:crossBetween val="between"/>
      </c:valAx>
      <c:valAx>
        <c:axId val="221800544"/>
        <c:scaling>
          <c:orientation val="minMax"/>
        </c:scaling>
        <c:delete val="0"/>
        <c:axPos val="r"/>
        <c:numFmt formatCode="#,##0.0" sourceLinked="1"/>
        <c:majorTickMark val="out"/>
        <c:minorTickMark val="none"/>
        <c:tickLblPos val="nextTo"/>
        <c:spPr>
          <a:noFill/>
          <a:ln w="9525" cap="flat" cmpd="sng" algn="ctr">
            <a:solidFill>
              <a:schemeClr val="dk1">
                <a:tint val="75000"/>
                <a:shade val="95000"/>
                <a:satMod val="105000"/>
              </a:schemeClr>
            </a:solidFill>
            <a:prstDash val="solid"/>
            <a:round/>
          </a:ln>
          <a:effectLst/>
        </c:spPr>
        <c:txPr>
          <a:bodyPr rot="-60000000" spcFirstLastPara="1" vertOverflow="ellipsis" vert="horz" wrap="square" anchor="ctr" anchorCtr="1"/>
          <a:lstStyle/>
          <a:p>
            <a:pPr>
              <a:defRPr sz="900" b="0" i="0" u="none" strike="noStrike" kern="1200" baseline="0">
                <a:solidFill>
                  <a:schemeClr val="dk1"/>
                </a:solidFill>
                <a:latin typeface="Times New Roman" panose="02020603050405020304" pitchFamily="18" charset="0"/>
                <a:ea typeface="+mn-ea"/>
                <a:cs typeface="Times New Roman" panose="02020603050405020304" pitchFamily="18" charset="0"/>
              </a:defRPr>
            </a:pPr>
            <a:endParaRPr lang="en-US"/>
          </a:p>
        </c:txPr>
        <c:crossAx val="221800936"/>
        <c:crosses val="max"/>
        <c:crossBetween val="between"/>
      </c:valAx>
      <c:catAx>
        <c:axId val="221800936"/>
        <c:scaling>
          <c:orientation val="minMax"/>
        </c:scaling>
        <c:delete val="1"/>
        <c:axPos val="b"/>
        <c:numFmt formatCode="General" sourceLinked="1"/>
        <c:majorTickMark val="out"/>
        <c:minorTickMark val="none"/>
        <c:tickLblPos val="nextTo"/>
        <c:crossAx val="221800544"/>
        <c:crosses val="autoZero"/>
        <c:auto val="1"/>
        <c:lblAlgn val="ctr"/>
        <c:lblOffset val="100"/>
        <c:noMultiLvlLbl val="0"/>
      </c:catAx>
      <c:spPr>
        <a:solidFill>
          <a:sysClr val="window" lastClr="FFFFFF"/>
        </a:solidFill>
        <a:ln>
          <a:noFill/>
        </a:ln>
        <a:effectLst/>
      </c:spPr>
    </c:plotArea>
    <c:legend>
      <c:legendPos val="b"/>
      <c:layout>
        <c:manualLayout>
          <c:xMode val="edge"/>
          <c:yMode val="edge"/>
          <c:x val="2.9179570479681619E-2"/>
          <c:y val="0.8101512510936133"/>
          <c:w val="0.93825420315954267"/>
          <c:h val="0.13081746560176619"/>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dk1"/>
              </a:solidFill>
              <a:latin typeface="Times New Roman" panose="02020603050405020304" pitchFamily="18" charset="0"/>
              <a:ea typeface="+mn-ea"/>
              <a:cs typeface="Times New Roman" panose="02020603050405020304" pitchFamily="18" charset="0"/>
            </a:defRPr>
          </a:pPr>
          <a:endParaRPr lang="en-US"/>
        </a:p>
      </c:txPr>
    </c:legend>
    <c:plotVisOnly val="1"/>
    <c:dispBlanksAs val="gap"/>
    <c:showDLblsOverMax val="0"/>
  </c:chart>
  <c:spPr>
    <a:solidFill>
      <a:schemeClr val="lt1"/>
    </a:solidFill>
    <a:ln w="9525" cap="flat" cmpd="sng" algn="ctr">
      <a:noFill/>
      <a:prstDash val="solid"/>
      <a:round/>
    </a:ln>
    <a:effectLst/>
  </c:spPr>
  <c:txPr>
    <a:bodyPr/>
    <a:lstStyle/>
    <a:p>
      <a:pPr>
        <a:defRPr sz="900" baseline="0">
          <a:latin typeface="Times New Roman" panose="02020603050405020304" pitchFamily="18" charset="0"/>
          <a:cs typeface="Times New Roman" panose="02020603050405020304" pitchFamily="18" charset="0"/>
        </a:defRPr>
      </a:pPr>
      <a:endParaRPr lang="en-US"/>
    </a:p>
  </c:txPr>
  <c:externalData r:id="rId4">
    <c:autoUpdate val="0"/>
  </c:externalData>
  <c:userShapes r:id="rId5"/>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withinLinear" id="14">
  <a:schemeClr val="accent1"/>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0.xml><?xml version="1.0" encoding="utf-8"?>
<cs:colorStyle xmlns:cs="http://schemas.microsoft.com/office/drawing/2012/chartStyle" xmlns:a="http://schemas.openxmlformats.org/drawingml/2006/main" meth="withinLinear" id="16">
  <a:schemeClr val="accent3"/>
</cs:colorStyle>
</file>

<file path=word/charts/colors11.xml><?xml version="1.0" encoding="utf-8"?>
<cs:colorStyle xmlns:cs="http://schemas.microsoft.com/office/drawing/2012/chartStyle" xmlns:a="http://schemas.openxmlformats.org/drawingml/2006/main" meth="withinLinear" id="16">
  <a:schemeClr val="accent3"/>
</cs:colorStyle>
</file>

<file path=word/charts/colors12.xml><?xml version="1.0" encoding="utf-8"?>
<cs:colorStyle xmlns:cs="http://schemas.microsoft.com/office/drawing/2012/chartStyle" xmlns:a="http://schemas.openxmlformats.org/drawingml/2006/main" meth="withinLinear" id="14">
  <a:schemeClr val="accent1"/>
</cs:colorStyle>
</file>

<file path=word/charts/colors1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5.xml><?xml version="1.0" encoding="utf-8"?>
<cs:colorStyle xmlns:cs="http://schemas.microsoft.com/office/drawing/2012/chartStyle" xmlns:a="http://schemas.openxmlformats.org/drawingml/2006/main" meth="withinLinear" id="19">
  <a:schemeClr val="accent6"/>
</cs:colorStyle>
</file>

<file path=word/charts/style1.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7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ln w="9525" cap="flat" cmpd="sng" algn="ctr">
        <a:solidFill>
          <a:schemeClr val="tx1">
            <a:lumMod val="15000"/>
            <a:lumOff val="85000"/>
          </a:schemeClr>
        </a:solidFill>
        <a:round/>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7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ln w="9525" cap="flat" cmpd="sng" algn="ctr">
        <a:solidFill>
          <a:schemeClr val="tx1">
            <a:lumMod val="15000"/>
            <a:lumOff val="85000"/>
          </a:schemeClr>
        </a:solidFill>
        <a:round/>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8.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9.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charts/style10.xml><?xml version="1.0" encoding="utf-8"?>
<cs:chartStyle xmlns:cs="http://schemas.microsoft.com/office/drawing/2012/chartStyle" xmlns:a="http://schemas.openxmlformats.org/drawingml/2006/main" id="136">
  <cs:axisTitle>
    <cs:lnRef idx="0"/>
    <cs:fillRef idx="0"/>
    <cs:effectRef idx="0"/>
    <cs:fontRef idx="minor">
      <a:schemeClr val="dk1"/>
    </cs:fontRef>
    <cs:defRPr sz="1000" b="1" kern="1200"/>
  </cs:axisTitle>
  <cs:categoryAxis>
    <cs:lnRef idx="1">
      <a:schemeClr val="dk1">
        <a:tint val="75000"/>
      </a:schemeClr>
    </cs:lnRef>
    <cs:fillRef idx="0"/>
    <cs:effectRef idx="0"/>
    <cs:fontRef idx="minor">
      <a:schemeClr val="dk1"/>
    </cs:fontRef>
    <cs:spPr>
      <a:ln>
        <a:round/>
      </a:ln>
    </cs:spPr>
    <cs:defRPr sz="1000" kern="1200"/>
  </cs:categoryAxis>
  <cs:chartArea>
    <cs:lnRef idx="1">
      <a:schemeClr val="dk1">
        <a:tint val="75000"/>
      </a:schemeClr>
    </cs:lnRef>
    <cs:fillRef idx="1">
      <a:schemeClr val="lt1"/>
    </cs:fillRef>
    <cs:effectRef idx="0"/>
    <cs:fontRef idx="minor">
      <a:schemeClr val="dk1"/>
    </cs:fontRef>
    <cs:spPr>
      <a:ln>
        <a:round/>
      </a:ln>
    </cs:spPr>
    <cs:defRPr sz="1000" kern="1200"/>
  </cs:chartArea>
  <cs:dataLabel>
    <cs:lnRef idx="0"/>
    <cs:fillRef idx="0"/>
    <cs:effectRef idx="0"/>
    <cs:fontRef idx="minor">
      <a:schemeClr val="dk1"/>
    </cs:fontRef>
    <cs:defRPr sz="1000" kern="1200"/>
  </cs:dataLabel>
  <cs:dataLabelCallout>
    <cs:lnRef idx="0"/>
    <cs:fillRef idx="0"/>
    <cs:effectRef idx="0"/>
    <cs:fontRef idx="minor">
      <a:schemeClr val="dk1"/>
    </cs:fontRef>
    <cs:spPr>
      <a:solidFill>
        <a:schemeClr val="lt1"/>
      </a:solidFill>
      <a:ln>
        <a:solidFill>
          <a:schemeClr val="dk1">
            <a:lumMod val="65000"/>
            <a:lumOff val="35000"/>
          </a:schemeClr>
        </a:solidFill>
      </a:ln>
    </cs:spPr>
    <cs:defRPr sz="1000" kern="1200"/>
  </cs:dataLabelCallout>
  <cs:dataPoint>
    <cs:lnRef idx="1" mods="ignoreCSTransforms">
      <cs:styleClr val="0">
        <a:shade val="50000"/>
      </cs:styleClr>
    </cs:lnRef>
    <cs:fillRef idx="1">
      <cs:styleClr val="auto"/>
    </cs:fillRef>
    <cs:effectRef idx="0"/>
    <cs:fontRef idx="minor">
      <a:schemeClr val="dk1"/>
    </cs:fontRef>
    <cs:spPr>
      <a:ln>
        <a:round/>
      </a:ln>
    </cs:spPr>
  </cs:dataPoint>
  <cs:dataPoint3D>
    <cs:lnRef idx="1" mods="ignoreCSTransforms">
      <cs:styleClr val="0">
        <a:shade val="50000"/>
      </cs:styleClr>
    </cs:lnRef>
    <cs:fillRef idx="1">
      <cs:styleClr val="auto"/>
    </cs:fillRef>
    <cs:effectRef idx="0"/>
    <cs:fontRef idx="minor">
      <a:schemeClr val="dk1"/>
    </cs:fontRef>
    <cs:spPr>
      <a:ln>
        <a:round/>
      </a:ln>
    </cs:spPr>
  </cs:dataPoint3D>
  <cs:dataPointLine>
    <cs:lnRef idx="1">
      <cs:styleClr val="auto"/>
    </cs:lnRef>
    <cs:lineWidthScale>5</cs:lineWidthScale>
    <cs:fillRef idx="0"/>
    <cs:effectRef idx="0"/>
    <cs:fontRef idx="minor">
      <a:schemeClr val="dk1"/>
    </cs:fontRef>
    <cs:spPr>
      <a:ln cap="rnd">
        <a:round/>
      </a:ln>
    </cs:spPr>
  </cs:dataPointLine>
  <cs:dataPointMarker>
    <cs:lnRef idx="1">
      <cs:styleClr val="auto"/>
    </cs:lnRef>
    <cs:fillRef idx="1">
      <cs:styleClr val="auto"/>
    </cs:fillRef>
    <cs:effectRef idx="0"/>
    <cs:fontRef idx="minor">
      <a:schemeClr val="dk1"/>
    </cs:fontRef>
    <cs:spPr>
      <a:ln>
        <a:round/>
      </a:ln>
    </cs:spPr>
  </cs:dataPointMarker>
  <cs:dataPointMarkerLayout/>
  <cs:dataPointWireframe>
    <cs:lnRef idx="1">
      <cs:styleClr val="auto"/>
    </cs:lnRef>
    <cs:fillRef idx="0"/>
    <cs:effectRef idx="0"/>
    <cs:fontRef idx="minor">
      <a:schemeClr val="dk1"/>
    </cs:fontRef>
    <cs:spPr>
      <a:ln>
        <a:round/>
      </a:ln>
    </cs:spPr>
  </cs:dataPointWireframe>
  <cs:dataTable>
    <cs:lnRef idx="1">
      <a:schemeClr val="dk1">
        <a:tint val="75000"/>
      </a:schemeClr>
    </cs:lnRef>
    <cs:fillRef idx="0"/>
    <cs:effectRef idx="0"/>
    <cs:fontRef idx="minor">
      <a:schemeClr val="dk1"/>
    </cs:fontRef>
    <cs:spPr>
      <a:ln>
        <a:round/>
      </a:ln>
    </cs:spPr>
    <cs:defRPr sz="1000" kern="1200"/>
  </cs:dataTable>
  <cs:downBar>
    <cs:lnRef idx="1" mods="ignoreCSTransforms">
      <cs:styleClr val="0">
        <a:shade val="25000"/>
      </cs:styleClr>
    </cs:lnRef>
    <cs:fillRef idx="1" mods="ignoreCSTransforms">
      <cs:styleClr val="0">
        <a:shade val="25000"/>
      </cs:styleClr>
    </cs:fillRef>
    <cs:effectRef idx="0"/>
    <cs:fontRef idx="minor">
      <a:schemeClr val="dk1"/>
    </cs:fontRef>
    <cs:spPr>
      <a:ln>
        <a:round/>
      </a:ln>
    </cs:spPr>
  </cs:downBar>
  <cs:dropLine>
    <cs:lnRef idx="1">
      <a:schemeClr val="dk1"/>
    </cs:lnRef>
    <cs:fillRef idx="0"/>
    <cs:effectRef idx="0"/>
    <cs:fontRef idx="minor">
      <a:schemeClr val="dk1"/>
    </cs:fontRef>
    <cs:spPr>
      <a:ln>
        <a:round/>
      </a:ln>
    </cs:spPr>
  </cs:dropLine>
  <cs:errorBar>
    <cs:lnRef idx="1">
      <a:schemeClr val="dk1"/>
    </cs:lnRef>
    <cs:fillRef idx="1">
      <a:schemeClr val="dk1"/>
    </cs:fillRef>
    <cs:effectRef idx="0"/>
    <cs:fontRef idx="minor">
      <a:schemeClr val="dk1"/>
    </cs:fontRef>
    <cs:spPr>
      <a:ln>
        <a:round/>
      </a:ln>
    </cs:spPr>
  </cs:errorBar>
  <cs:floor>
    <cs:lnRef idx="1">
      <a:schemeClr val="dk1">
        <a:tint val="75000"/>
      </a:schemeClr>
    </cs:lnRef>
    <cs:fillRef idx="1" mods="ignoreCSTransforms">
      <cs:styleClr val="0">
        <a:tint val="20000"/>
      </cs:styleClr>
    </cs:fillRef>
    <cs:effectRef idx="0"/>
    <cs:fontRef idx="minor">
      <a:schemeClr val="dk1"/>
    </cs:fontRef>
    <cs:spPr>
      <a:ln>
        <a:round/>
      </a:ln>
    </cs:spPr>
  </cs:floor>
  <cs:gridlineMajor>
    <cs:lnRef idx="1">
      <a:schemeClr val="dk1">
        <a:tint val="75000"/>
      </a:schemeClr>
    </cs:lnRef>
    <cs:fillRef idx="0"/>
    <cs:effectRef idx="0"/>
    <cs:fontRef idx="minor">
      <a:schemeClr val="dk1"/>
    </cs:fontRef>
    <cs:spPr>
      <a:ln>
        <a:round/>
      </a:ln>
    </cs:spPr>
  </cs:gridlineMajor>
  <cs:gridlineMinor>
    <cs:lnRef idx="1">
      <a:schemeClr val="dk1">
        <a:tint val="50000"/>
      </a:schemeClr>
    </cs:lnRef>
    <cs:fillRef idx="0"/>
    <cs:effectRef idx="0"/>
    <cs:fontRef idx="minor">
      <a:schemeClr val="dk1"/>
    </cs:fontRef>
    <cs:spPr>
      <a:ln>
        <a:round/>
      </a:ln>
    </cs:spPr>
  </cs:gridlineMinor>
  <cs:hiLoLine>
    <cs:lnRef idx="1">
      <a:schemeClr val="dk1"/>
    </cs:lnRef>
    <cs:fillRef idx="0"/>
    <cs:effectRef idx="0"/>
    <cs:fontRef idx="minor">
      <a:schemeClr val="dk1"/>
    </cs:fontRef>
    <cs:spPr>
      <a:ln>
        <a:round/>
      </a:ln>
    </cs:spPr>
  </cs:hiLoLine>
  <cs:leaderLine>
    <cs:lnRef idx="1">
      <a:schemeClr val="dk1"/>
    </cs:lnRef>
    <cs:fillRef idx="0"/>
    <cs:effectRef idx="0"/>
    <cs:fontRef idx="minor">
      <a:schemeClr val="dk1"/>
    </cs:fontRef>
    <cs:spPr>
      <a:ln>
        <a:round/>
      </a:ln>
    </cs:spPr>
  </cs:leaderLine>
  <cs:legend>
    <cs:lnRef idx="0"/>
    <cs:fillRef idx="0"/>
    <cs:effectRef idx="0"/>
    <cs:fontRef idx="minor">
      <a:schemeClr val="dk1"/>
    </cs:fontRef>
    <cs:defRPr sz="1000" kern="1200"/>
  </cs:legend>
  <cs:plotArea>
    <cs:lnRef idx="0"/>
    <cs:fillRef idx="1" mods="ignoreCSTransforms">
      <cs:styleClr val="0">
        <a:tint val="20000"/>
      </cs:styleClr>
    </cs:fillRef>
    <cs:effectRef idx="0"/>
    <cs:fontRef idx="minor">
      <a:schemeClr val="dk1"/>
    </cs:fontRef>
  </cs:plotArea>
  <cs:plotArea3D>
    <cs:lnRef idx="0"/>
    <cs:fillRef idx="0"/>
    <cs:effectRef idx="0"/>
    <cs:fontRef idx="minor">
      <a:schemeClr val="dk1"/>
    </cs:fontRef>
  </cs:plotArea3D>
  <cs:seriesAxis>
    <cs:lnRef idx="1">
      <a:schemeClr val="dk1">
        <a:tint val="75000"/>
      </a:schemeClr>
    </cs:lnRef>
    <cs:fillRef idx="0"/>
    <cs:effectRef idx="0"/>
    <cs:fontRef idx="minor">
      <a:schemeClr val="dk1"/>
    </cs:fontRef>
    <cs:spPr>
      <a:ln>
        <a:round/>
      </a:ln>
    </cs:spPr>
    <cs:defRPr sz="1000" kern="1200"/>
  </cs:seriesAxis>
  <cs:seriesLine>
    <cs:lnRef idx="1">
      <a:schemeClr val="dk1"/>
    </cs:lnRef>
    <cs:fillRef idx="0"/>
    <cs:effectRef idx="0"/>
    <cs:fontRef idx="minor">
      <a:schemeClr val="dk1"/>
    </cs:fontRef>
    <cs:spPr>
      <a:ln>
        <a:round/>
      </a:ln>
    </cs:spPr>
  </cs:seriesLine>
  <cs:title>
    <cs:lnRef idx="0"/>
    <cs:fillRef idx="0"/>
    <cs:effectRef idx="0"/>
    <cs:fontRef idx="minor">
      <a:schemeClr val="dk1"/>
    </cs:fontRef>
    <cs:defRPr sz="1800" b="1" kern="1200"/>
  </cs:title>
  <cs:trendline>
    <cs:lnRef idx="1">
      <a:schemeClr val="dk1"/>
    </cs:lnRef>
    <cs:fillRef idx="0"/>
    <cs:effectRef idx="0"/>
    <cs:fontRef idx="minor">
      <a:schemeClr val="dk1"/>
    </cs:fontRef>
    <cs:spPr>
      <a:ln cap="rnd">
        <a:round/>
      </a:ln>
    </cs:spPr>
  </cs:trendline>
  <cs:trendlineLabel>
    <cs:lnRef idx="0"/>
    <cs:fillRef idx="0"/>
    <cs:effectRef idx="0"/>
    <cs:fontRef idx="minor">
      <a:schemeClr val="dk1"/>
    </cs:fontRef>
    <cs:defRPr sz="1000" kern="1200"/>
  </cs:trendlineLabel>
  <cs:upBar>
    <cs:lnRef idx="1" mods="ignoreCSTransforms">
      <cs:styleClr val="0">
        <a:shade val="25000"/>
      </cs:styleClr>
    </cs:lnRef>
    <cs:fillRef idx="1">
      <a:schemeClr val="lt1"/>
    </cs:fillRef>
    <cs:effectRef idx="0"/>
    <cs:fontRef idx="minor">
      <a:schemeClr val="dk1"/>
    </cs:fontRef>
    <cs:spPr>
      <a:ln>
        <a:round/>
      </a:ln>
    </cs:spPr>
  </cs:upBar>
  <cs:valueAxis>
    <cs:lnRef idx="1">
      <a:schemeClr val="dk1">
        <a:tint val="75000"/>
      </a:schemeClr>
    </cs:lnRef>
    <cs:fillRef idx="0"/>
    <cs:effectRef idx="0"/>
    <cs:fontRef idx="minor">
      <a:schemeClr val="dk1"/>
    </cs:fontRef>
    <cs:spPr>
      <a:ln>
        <a:round/>
      </a:ln>
    </cs:spPr>
    <cs:defRPr sz="1000" kern="1200"/>
  </cs:valueAxis>
  <cs:wall>
    <cs:lnRef idx="0"/>
    <cs:fillRef idx="1" mods="ignoreCSTransforms">
      <cs:styleClr val="0">
        <a:tint val="20000"/>
      </cs:styleClr>
    </cs:fillRef>
    <cs:effectRef idx="0"/>
    <cs:fontRef idx="minor">
      <a:schemeClr val="dk1"/>
    </cs:fontRef>
  </cs:wall>
</cs:chartStyle>
</file>

<file path=word/charts/style11.xml><?xml version="1.0" encoding="utf-8"?>
<cs:chartStyle xmlns:cs="http://schemas.microsoft.com/office/drawing/2012/chartStyle" xmlns:a="http://schemas.openxmlformats.org/drawingml/2006/main" id="136">
  <cs:axisTitle>
    <cs:lnRef idx="0"/>
    <cs:fillRef idx="0"/>
    <cs:effectRef idx="0"/>
    <cs:fontRef idx="minor">
      <a:schemeClr val="dk1"/>
    </cs:fontRef>
    <cs:defRPr sz="1000" b="1" kern="1200"/>
  </cs:axisTitle>
  <cs:categoryAxis>
    <cs:lnRef idx="1">
      <a:schemeClr val="dk1">
        <a:tint val="75000"/>
      </a:schemeClr>
    </cs:lnRef>
    <cs:fillRef idx="0"/>
    <cs:effectRef idx="0"/>
    <cs:fontRef idx="minor">
      <a:schemeClr val="dk1"/>
    </cs:fontRef>
    <cs:spPr>
      <a:ln>
        <a:round/>
      </a:ln>
    </cs:spPr>
    <cs:defRPr sz="1000" kern="1200"/>
  </cs:categoryAxis>
  <cs:chartArea>
    <cs:lnRef idx="1">
      <a:schemeClr val="dk1">
        <a:tint val="75000"/>
      </a:schemeClr>
    </cs:lnRef>
    <cs:fillRef idx="1">
      <a:schemeClr val="lt1"/>
    </cs:fillRef>
    <cs:effectRef idx="0"/>
    <cs:fontRef idx="minor">
      <a:schemeClr val="dk1"/>
    </cs:fontRef>
    <cs:spPr>
      <a:ln>
        <a:round/>
      </a:ln>
    </cs:spPr>
    <cs:defRPr sz="1000" kern="1200"/>
  </cs:chartArea>
  <cs:dataLabel>
    <cs:lnRef idx="0"/>
    <cs:fillRef idx="0"/>
    <cs:effectRef idx="0"/>
    <cs:fontRef idx="minor">
      <a:schemeClr val="dk1"/>
    </cs:fontRef>
    <cs:defRPr sz="1000" kern="1200"/>
  </cs:dataLabel>
  <cs:dataLabelCallout>
    <cs:lnRef idx="0"/>
    <cs:fillRef idx="0"/>
    <cs:effectRef idx="0"/>
    <cs:fontRef idx="minor">
      <a:schemeClr val="dk1"/>
    </cs:fontRef>
    <cs:spPr>
      <a:solidFill>
        <a:schemeClr val="lt1"/>
      </a:solidFill>
      <a:ln>
        <a:solidFill>
          <a:schemeClr val="dk1">
            <a:lumMod val="65000"/>
            <a:lumOff val="35000"/>
          </a:schemeClr>
        </a:solidFill>
      </a:ln>
    </cs:spPr>
    <cs:defRPr sz="1000" kern="1200"/>
  </cs:dataLabelCallout>
  <cs:dataPoint>
    <cs:lnRef idx="1" mods="ignoreCSTransforms">
      <cs:styleClr val="0">
        <a:shade val="50000"/>
      </cs:styleClr>
    </cs:lnRef>
    <cs:fillRef idx="1">
      <cs:styleClr val="auto"/>
    </cs:fillRef>
    <cs:effectRef idx="0"/>
    <cs:fontRef idx="minor">
      <a:schemeClr val="dk1"/>
    </cs:fontRef>
    <cs:spPr>
      <a:ln>
        <a:round/>
      </a:ln>
    </cs:spPr>
  </cs:dataPoint>
  <cs:dataPoint3D>
    <cs:lnRef idx="1" mods="ignoreCSTransforms">
      <cs:styleClr val="0">
        <a:shade val="50000"/>
      </cs:styleClr>
    </cs:lnRef>
    <cs:fillRef idx="1">
      <cs:styleClr val="auto"/>
    </cs:fillRef>
    <cs:effectRef idx="0"/>
    <cs:fontRef idx="minor">
      <a:schemeClr val="dk1"/>
    </cs:fontRef>
    <cs:spPr>
      <a:ln>
        <a:round/>
      </a:ln>
    </cs:spPr>
  </cs:dataPoint3D>
  <cs:dataPointLine>
    <cs:lnRef idx="1">
      <cs:styleClr val="auto"/>
    </cs:lnRef>
    <cs:lineWidthScale>5</cs:lineWidthScale>
    <cs:fillRef idx="0"/>
    <cs:effectRef idx="0"/>
    <cs:fontRef idx="minor">
      <a:schemeClr val="dk1"/>
    </cs:fontRef>
    <cs:spPr>
      <a:ln cap="rnd">
        <a:round/>
      </a:ln>
    </cs:spPr>
  </cs:dataPointLine>
  <cs:dataPointMarker>
    <cs:lnRef idx="1">
      <cs:styleClr val="auto"/>
    </cs:lnRef>
    <cs:fillRef idx="1">
      <cs:styleClr val="auto"/>
    </cs:fillRef>
    <cs:effectRef idx="0"/>
    <cs:fontRef idx="minor">
      <a:schemeClr val="dk1"/>
    </cs:fontRef>
    <cs:spPr>
      <a:ln>
        <a:round/>
      </a:ln>
    </cs:spPr>
  </cs:dataPointMarker>
  <cs:dataPointMarkerLayout/>
  <cs:dataPointWireframe>
    <cs:lnRef idx="1">
      <cs:styleClr val="auto"/>
    </cs:lnRef>
    <cs:fillRef idx="0"/>
    <cs:effectRef idx="0"/>
    <cs:fontRef idx="minor">
      <a:schemeClr val="dk1"/>
    </cs:fontRef>
    <cs:spPr>
      <a:ln>
        <a:round/>
      </a:ln>
    </cs:spPr>
  </cs:dataPointWireframe>
  <cs:dataTable>
    <cs:lnRef idx="1">
      <a:schemeClr val="dk1">
        <a:tint val="75000"/>
      </a:schemeClr>
    </cs:lnRef>
    <cs:fillRef idx="0"/>
    <cs:effectRef idx="0"/>
    <cs:fontRef idx="minor">
      <a:schemeClr val="dk1"/>
    </cs:fontRef>
    <cs:spPr>
      <a:ln>
        <a:round/>
      </a:ln>
    </cs:spPr>
    <cs:defRPr sz="1000" kern="1200"/>
  </cs:dataTable>
  <cs:downBar>
    <cs:lnRef idx="1" mods="ignoreCSTransforms">
      <cs:styleClr val="0">
        <a:shade val="25000"/>
      </cs:styleClr>
    </cs:lnRef>
    <cs:fillRef idx="1" mods="ignoreCSTransforms">
      <cs:styleClr val="0">
        <a:shade val="25000"/>
      </cs:styleClr>
    </cs:fillRef>
    <cs:effectRef idx="0"/>
    <cs:fontRef idx="minor">
      <a:schemeClr val="dk1"/>
    </cs:fontRef>
    <cs:spPr>
      <a:ln>
        <a:round/>
      </a:ln>
    </cs:spPr>
  </cs:downBar>
  <cs:dropLine>
    <cs:lnRef idx="1">
      <a:schemeClr val="dk1"/>
    </cs:lnRef>
    <cs:fillRef idx="0"/>
    <cs:effectRef idx="0"/>
    <cs:fontRef idx="minor">
      <a:schemeClr val="dk1"/>
    </cs:fontRef>
    <cs:spPr>
      <a:ln>
        <a:round/>
      </a:ln>
    </cs:spPr>
  </cs:dropLine>
  <cs:errorBar>
    <cs:lnRef idx="1">
      <a:schemeClr val="dk1"/>
    </cs:lnRef>
    <cs:fillRef idx="1">
      <a:schemeClr val="dk1"/>
    </cs:fillRef>
    <cs:effectRef idx="0"/>
    <cs:fontRef idx="minor">
      <a:schemeClr val="dk1"/>
    </cs:fontRef>
    <cs:spPr>
      <a:ln>
        <a:round/>
      </a:ln>
    </cs:spPr>
  </cs:errorBar>
  <cs:floor>
    <cs:lnRef idx="1">
      <a:schemeClr val="dk1">
        <a:tint val="75000"/>
      </a:schemeClr>
    </cs:lnRef>
    <cs:fillRef idx="1" mods="ignoreCSTransforms">
      <cs:styleClr val="0">
        <a:tint val="20000"/>
      </cs:styleClr>
    </cs:fillRef>
    <cs:effectRef idx="0"/>
    <cs:fontRef idx="minor">
      <a:schemeClr val="dk1"/>
    </cs:fontRef>
    <cs:spPr>
      <a:ln>
        <a:round/>
      </a:ln>
    </cs:spPr>
  </cs:floor>
  <cs:gridlineMajor>
    <cs:lnRef idx="1">
      <a:schemeClr val="dk1">
        <a:tint val="75000"/>
      </a:schemeClr>
    </cs:lnRef>
    <cs:fillRef idx="0"/>
    <cs:effectRef idx="0"/>
    <cs:fontRef idx="minor">
      <a:schemeClr val="dk1"/>
    </cs:fontRef>
    <cs:spPr>
      <a:ln>
        <a:round/>
      </a:ln>
    </cs:spPr>
  </cs:gridlineMajor>
  <cs:gridlineMinor>
    <cs:lnRef idx="1">
      <a:schemeClr val="dk1">
        <a:tint val="50000"/>
      </a:schemeClr>
    </cs:lnRef>
    <cs:fillRef idx="0"/>
    <cs:effectRef idx="0"/>
    <cs:fontRef idx="minor">
      <a:schemeClr val="dk1"/>
    </cs:fontRef>
    <cs:spPr>
      <a:ln>
        <a:round/>
      </a:ln>
    </cs:spPr>
  </cs:gridlineMinor>
  <cs:hiLoLine>
    <cs:lnRef idx="1">
      <a:schemeClr val="dk1"/>
    </cs:lnRef>
    <cs:fillRef idx="0"/>
    <cs:effectRef idx="0"/>
    <cs:fontRef idx="minor">
      <a:schemeClr val="dk1"/>
    </cs:fontRef>
    <cs:spPr>
      <a:ln>
        <a:round/>
      </a:ln>
    </cs:spPr>
  </cs:hiLoLine>
  <cs:leaderLine>
    <cs:lnRef idx="1">
      <a:schemeClr val="dk1"/>
    </cs:lnRef>
    <cs:fillRef idx="0"/>
    <cs:effectRef idx="0"/>
    <cs:fontRef idx="minor">
      <a:schemeClr val="dk1"/>
    </cs:fontRef>
    <cs:spPr>
      <a:ln>
        <a:round/>
      </a:ln>
    </cs:spPr>
  </cs:leaderLine>
  <cs:legend>
    <cs:lnRef idx="0"/>
    <cs:fillRef idx="0"/>
    <cs:effectRef idx="0"/>
    <cs:fontRef idx="minor">
      <a:schemeClr val="dk1"/>
    </cs:fontRef>
    <cs:defRPr sz="1000" kern="1200"/>
  </cs:legend>
  <cs:plotArea>
    <cs:lnRef idx="0"/>
    <cs:fillRef idx="1" mods="ignoreCSTransforms">
      <cs:styleClr val="0">
        <a:tint val="20000"/>
      </cs:styleClr>
    </cs:fillRef>
    <cs:effectRef idx="0"/>
    <cs:fontRef idx="minor">
      <a:schemeClr val="dk1"/>
    </cs:fontRef>
  </cs:plotArea>
  <cs:plotArea3D>
    <cs:lnRef idx="0"/>
    <cs:fillRef idx="0"/>
    <cs:effectRef idx="0"/>
    <cs:fontRef idx="minor">
      <a:schemeClr val="dk1"/>
    </cs:fontRef>
  </cs:plotArea3D>
  <cs:seriesAxis>
    <cs:lnRef idx="1">
      <a:schemeClr val="dk1">
        <a:tint val="75000"/>
      </a:schemeClr>
    </cs:lnRef>
    <cs:fillRef idx="0"/>
    <cs:effectRef idx="0"/>
    <cs:fontRef idx="minor">
      <a:schemeClr val="dk1"/>
    </cs:fontRef>
    <cs:spPr>
      <a:ln>
        <a:round/>
      </a:ln>
    </cs:spPr>
    <cs:defRPr sz="1000" kern="1200"/>
  </cs:seriesAxis>
  <cs:seriesLine>
    <cs:lnRef idx="1">
      <a:schemeClr val="dk1"/>
    </cs:lnRef>
    <cs:fillRef idx="0"/>
    <cs:effectRef idx="0"/>
    <cs:fontRef idx="minor">
      <a:schemeClr val="dk1"/>
    </cs:fontRef>
    <cs:spPr>
      <a:ln>
        <a:round/>
      </a:ln>
    </cs:spPr>
  </cs:seriesLine>
  <cs:title>
    <cs:lnRef idx="0"/>
    <cs:fillRef idx="0"/>
    <cs:effectRef idx="0"/>
    <cs:fontRef idx="minor">
      <a:schemeClr val="dk1"/>
    </cs:fontRef>
    <cs:defRPr sz="1800" b="1" kern="1200"/>
  </cs:title>
  <cs:trendline>
    <cs:lnRef idx="1">
      <a:schemeClr val="dk1"/>
    </cs:lnRef>
    <cs:fillRef idx="0"/>
    <cs:effectRef idx="0"/>
    <cs:fontRef idx="minor">
      <a:schemeClr val="dk1"/>
    </cs:fontRef>
    <cs:spPr>
      <a:ln cap="rnd">
        <a:round/>
      </a:ln>
    </cs:spPr>
  </cs:trendline>
  <cs:trendlineLabel>
    <cs:lnRef idx="0"/>
    <cs:fillRef idx="0"/>
    <cs:effectRef idx="0"/>
    <cs:fontRef idx="minor">
      <a:schemeClr val="dk1"/>
    </cs:fontRef>
    <cs:defRPr sz="1000" kern="1200"/>
  </cs:trendlineLabel>
  <cs:upBar>
    <cs:lnRef idx="1" mods="ignoreCSTransforms">
      <cs:styleClr val="0">
        <a:shade val="25000"/>
      </cs:styleClr>
    </cs:lnRef>
    <cs:fillRef idx="1">
      <a:schemeClr val="lt1"/>
    </cs:fillRef>
    <cs:effectRef idx="0"/>
    <cs:fontRef idx="minor">
      <a:schemeClr val="dk1"/>
    </cs:fontRef>
    <cs:spPr>
      <a:ln>
        <a:round/>
      </a:ln>
    </cs:spPr>
  </cs:upBar>
  <cs:valueAxis>
    <cs:lnRef idx="1">
      <a:schemeClr val="dk1">
        <a:tint val="75000"/>
      </a:schemeClr>
    </cs:lnRef>
    <cs:fillRef idx="0"/>
    <cs:effectRef idx="0"/>
    <cs:fontRef idx="minor">
      <a:schemeClr val="dk1"/>
    </cs:fontRef>
    <cs:spPr>
      <a:ln>
        <a:round/>
      </a:ln>
    </cs:spPr>
    <cs:defRPr sz="1000" kern="1200"/>
  </cs:valueAxis>
  <cs:wall>
    <cs:lnRef idx="0"/>
    <cs:fillRef idx="1" mods="ignoreCSTransforms">
      <cs:styleClr val="0">
        <a:tint val="20000"/>
      </cs:styleClr>
    </cs:fillRef>
    <cs:effectRef idx="0"/>
    <cs:fontRef idx="minor">
      <a:schemeClr val="dk1"/>
    </cs:fontRef>
  </cs:wall>
</cs:chartStyle>
</file>

<file path=word/charts/style12.xml><?xml version="1.0" encoding="utf-8"?>
<cs:chartStyle xmlns:cs="http://schemas.microsoft.com/office/drawing/2012/chartStyle" xmlns:a="http://schemas.openxmlformats.org/drawingml/2006/main" id="105">
  <cs:axisTitle>
    <cs:lnRef idx="0"/>
    <cs:fillRef idx="0"/>
    <cs:effectRef idx="0"/>
    <cs:fontRef idx="minor">
      <a:schemeClr val="tx1"/>
    </cs:fontRef>
    <cs:defRPr sz="1000" b="1" kern="1200"/>
  </cs:axisTitle>
  <cs:categoryAxis>
    <cs:lnRef idx="1">
      <a:schemeClr val="tx1">
        <a:tint val="75000"/>
      </a:schemeClr>
    </cs:lnRef>
    <cs:fillRef idx="0"/>
    <cs:effectRef idx="0"/>
    <cs:fontRef idx="minor">
      <a:schemeClr val="tx1"/>
    </cs:fontRef>
    <cs:spPr>
      <a:ln>
        <a:round/>
      </a:ln>
    </cs:spPr>
    <cs:defRPr sz="1000" kern="1200"/>
  </cs:categoryAxis>
  <cs:chartArea mods="allowNoFillOverride allowNoLineOverride">
    <cs:lnRef idx="1">
      <a:schemeClr val="tx1">
        <a:tint val="75000"/>
      </a:schemeClr>
    </cs:lnRef>
    <cs:fillRef idx="1">
      <a:schemeClr val="bg1"/>
    </cs:fillRef>
    <cs:effectRef idx="0"/>
    <cs:fontRef idx="minor">
      <a:schemeClr val="tx1"/>
    </cs:fontRef>
    <cs:spPr>
      <a:ln>
        <a:round/>
      </a:ln>
    </cs:spPr>
    <cs:defRPr sz="1000" kern="1200"/>
  </cs:chartArea>
  <cs:dataLabel>
    <cs:lnRef idx="0"/>
    <cs:fillRef idx="0"/>
    <cs:effectRef idx="0"/>
    <cs:fontRef idx="minor">
      <a:schemeClr val="tx1"/>
    </cs:fontRef>
    <cs:defRPr sz="1000" kern="1200"/>
  </cs:dataLabel>
  <cs:dataLabelCallout>
    <cs:lnRef idx="0"/>
    <cs:fillRef idx="0"/>
    <cs:effectRef idx="0"/>
    <cs:fontRef idx="minor">
      <a:schemeClr val="dk1"/>
    </cs:fontRef>
    <cs:spPr>
      <a:solidFill>
        <a:schemeClr val="lt1"/>
      </a:solidFill>
      <a:ln>
        <a:solidFill>
          <a:schemeClr val="dk1">
            <a:lumMod val="65000"/>
            <a:lumOff val="35000"/>
          </a:schemeClr>
        </a:solidFill>
      </a:ln>
    </cs:spPr>
    <cs:defRPr sz="1000" kern="1200"/>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1">
      <cs:styleClr val="auto"/>
    </cs:lnRef>
    <cs:lineWidthScale>3</cs:lineWidthScale>
    <cs:fillRef idx="0"/>
    <cs:effectRef idx="0"/>
    <cs:fontRef idx="minor">
      <a:schemeClr val="tx1"/>
    </cs:fontRef>
    <cs:spPr>
      <a:ln cap="rnd">
        <a:round/>
      </a:ln>
    </cs:spPr>
  </cs:dataPointLine>
  <cs:dataPointMarker>
    <cs:lnRef idx="1">
      <cs:styleClr val="auto"/>
    </cs:lnRef>
    <cs:fillRef idx="1">
      <cs:styleClr val="auto"/>
    </cs:fillRef>
    <cs:effectRef idx="0"/>
    <cs:fontRef idx="minor">
      <a:schemeClr val="tx1"/>
    </cs:fontRef>
    <cs:spPr>
      <a:ln>
        <a:round/>
      </a:ln>
    </cs:spPr>
  </cs:dataPointMarker>
  <cs:dataPointMarkerLayout/>
  <cs:dataPointWireframe>
    <cs:lnRef idx="1">
      <cs:styleClr val="auto"/>
    </cs:lnRef>
    <cs:fillRef idx="0"/>
    <cs:effectRef idx="0"/>
    <cs:fontRef idx="minor">
      <a:schemeClr val="tx1"/>
    </cs:fontRef>
    <cs:spPr>
      <a:ln>
        <a:round/>
      </a:ln>
    </cs:spPr>
  </cs:dataPointWireframe>
  <cs:dataTable>
    <cs:lnRef idx="1">
      <a:schemeClr val="tx1">
        <a:tint val="75000"/>
      </a:schemeClr>
    </cs:lnRef>
    <cs:fillRef idx="0"/>
    <cs:effectRef idx="0"/>
    <cs:fontRef idx="minor">
      <a:schemeClr val="tx1"/>
    </cs:fontRef>
    <cs:spPr>
      <a:ln>
        <a:round/>
      </a:ln>
    </cs:spPr>
    <cs:defRPr sz="1000" kern="1200"/>
  </cs:dataTable>
  <cs:downBar>
    <cs:lnRef idx="1">
      <a:schemeClr val="tx1"/>
    </cs:lnRef>
    <cs:fillRef idx="1" mods="ignoreCSTransforms">
      <cs:styleClr val="0">
        <a:shade val="25000"/>
      </cs:styleClr>
    </cs:fillRef>
    <cs:effectRef idx="0"/>
    <cs:fontRef idx="minor">
      <a:schemeClr val="tx1"/>
    </cs:fontRef>
    <cs:spPr>
      <a:ln>
        <a:round/>
      </a:ln>
    </cs:spPr>
  </cs:downBar>
  <cs:dropLine>
    <cs:lnRef idx="1">
      <a:schemeClr val="tx1"/>
    </cs:lnRef>
    <cs:fillRef idx="0"/>
    <cs:effectRef idx="0"/>
    <cs:fontRef idx="minor">
      <a:schemeClr val="tx1"/>
    </cs:fontRef>
    <cs:spPr>
      <a:ln>
        <a:round/>
      </a:ln>
    </cs:spPr>
  </cs:dropLine>
  <cs:errorBar>
    <cs:lnRef idx="1">
      <a:schemeClr val="tx1"/>
    </cs:lnRef>
    <cs:fillRef idx="1">
      <a:schemeClr val="tx1"/>
    </cs:fillRef>
    <cs:effectRef idx="0"/>
    <cs:fontRef idx="minor">
      <a:schemeClr val="tx1"/>
    </cs:fontRef>
    <cs:spPr>
      <a:ln>
        <a:round/>
      </a:ln>
    </cs:spPr>
  </cs:errorBar>
  <cs:floor>
    <cs:lnRef idx="1">
      <a:schemeClr val="tx1">
        <a:tint val="75000"/>
      </a:schemeClr>
    </cs:lnRef>
    <cs:fillRef idx="0"/>
    <cs:effectRef idx="0"/>
    <cs:fontRef idx="minor">
      <a:schemeClr val="tx1"/>
    </cs:fontRef>
    <cs:spPr>
      <a:ln>
        <a:round/>
      </a:ln>
    </cs:spPr>
  </cs:floor>
  <cs:gridlineMajor>
    <cs:lnRef idx="1">
      <a:schemeClr val="tx1">
        <a:tint val="75000"/>
      </a:schemeClr>
    </cs:lnRef>
    <cs:fillRef idx="0"/>
    <cs:effectRef idx="0"/>
    <cs:fontRef idx="minor">
      <a:schemeClr val="tx1"/>
    </cs:fontRef>
    <cs:spPr>
      <a:ln>
        <a:round/>
      </a:ln>
    </cs:spPr>
  </cs:gridlineMajor>
  <cs:gridlineMinor>
    <cs:lnRef idx="1">
      <a:schemeClr val="tx1">
        <a:tint val="50000"/>
      </a:schemeClr>
    </cs:lnRef>
    <cs:fillRef idx="0"/>
    <cs:effectRef idx="0"/>
    <cs:fontRef idx="minor">
      <a:schemeClr val="tx1"/>
    </cs:fontRef>
    <cs:spPr>
      <a:ln>
        <a:round/>
      </a:ln>
    </cs:spPr>
  </cs:gridlineMinor>
  <cs:hiLoLine>
    <cs:lnRef idx="1">
      <a:schemeClr val="tx1"/>
    </cs:lnRef>
    <cs:fillRef idx="0"/>
    <cs:effectRef idx="0"/>
    <cs:fontRef idx="minor">
      <a:schemeClr val="tx1"/>
    </cs:fontRef>
    <cs:spPr>
      <a:ln>
        <a:round/>
      </a:ln>
    </cs:spPr>
  </cs:hiLoLine>
  <cs:leaderLine>
    <cs:lnRef idx="1">
      <a:schemeClr val="tx1"/>
    </cs:lnRef>
    <cs:fillRef idx="0"/>
    <cs:effectRef idx="0"/>
    <cs:fontRef idx="minor">
      <a:schemeClr val="tx1"/>
    </cs:fontRef>
    <cs:spPr>
      <a:ln>
        <a:round/>
      </a:ln>
    </cs:spPr>
  </cs:leaderLine>
  <cs:legend>
    <cs:lnRef idx="0"/>
    <cs:fillRef idx="0"/>
    <cs:effectRef idx="0"/>
    <cs:fontRef idx="minor">
      <a:schemeClr val="tx1"/>
    </cs:fontRef>
    <cs:defRPr sz="1000" kern="1200"/>
  </cs:legend>
  <cs:plotArea mods="allowNoFillOverride allowNoLineOverride">
    <cs:lnRef idx="0"/>
    <cs:fillRef idx="1">
      <a:schemeClr val="bg1"/>
    </cs:fillRef>
    <cs:effectRef idx="0"/>
    <cs:fontRef idx="minor">
      <a:schemeClr val="tx1"/>
    </cs:fontRef>
  </cs:plotArea>
  <cs:plotArea3D>
    <cs:lnRef idx="0"/>
    <cs:fillRef idx="0"/>
    <cs:effectRef idx="0"/>
    <cs:fontRef idx="minor">
      <a:schemeClr val="tx1"/>
    </cs:fontRef>
  </cs:plotArea3D>
  <cs:seriesAxis>
    <cs:lnRef idx="1">
      <a:schemeClr val="tx1">
        <a:tint val="75000"/>
      </a:schemeClr>
    </cs:lnRef>
    <cs:fillRef idx="0"/>
    <cs:effectRef idx="0"/>
    <cs:fontRef idx="minor">
      <a:schemeClr val="tx1"/>
    </cs:fontRef>
    <cs:spPr>
      <a:ln>
        <a:round/>
      </a:ln>
    </cs:spPr>
    <cs:defRPr sz="1000" kern="1200"/>
  </cs:seriesAxis>
  <cs:seriesLine>
    <cs:lnRef idx="1">
      <a:schemeClr val="tx1"/>
    </cs:lnRef>
    <cs:fillRef idx="0"/>
    <cs:effectRef idx="0"/>
    <cs:fontRef idx="minor">
      <a:schemeClr val="tx1"/>
    </cs:fontRef>
    <cs:spPr>
      <a:ln>
        <a:round/>
      </a:ln>
    </cs:spPr>
  </cs:seriesLine>
  <cs:title>
    <cs:lnRef idx="0"/>
    <cs:fillRef idx="0"/>
    <cs:effectRef idx="0"/>
    <cs:fontRef idx="minor">
      <a:schemeClr val="tx1"/>
    </cs:fontRef>
    <cs:defRPr sz="1800" b="1" kern="1200"/>
  </cs:title>
  <cs:trendline>
    <cs:lnRef idx="1">
      <a:schemeClr val="tx1"/>
    </cs:lnRef>
    <cs:fillRef idx="0"/>
    <cs:effectRef idx="0"/>
    <cs:fontRef idx="minor">
      <a:schemeClr val="tx1"/>
    </cs:fontRef>
    <cs:spPr>
      <a:ln cap="rnd">
        <a:round/>
      </a:ln>
    </cs:spPr>
  </cs:trendline>
  <cs:trendlineLabel>
    <cs:lnRef idx="0"/>
    <cs:fillRef idx="0"/>
    <cs:effectRef idx="0"/>
    <cs:fontRef idx="minor">
      <a:schemeClr val="tx1"/>
    </cs:fontRef>
    <cs:defRPr sz="1000" kern="1200"/>
  </cs:trendlineLabel>
  <cs:upBar>
    <cs:lnRef idx="1">
      <a:schemeClr val="tx1"/>
    </cs:lnRef>
    <cs:fillRef idx="1" mods="ignoreCSTransforms">
      <cs:styleClr val="0">
        <a:tint val="25000"/>
      </cs:styleClr>
    </cs:fillRef>
    <cs:effectRef idx="0"/>
    <cs:fontRef idx="minor">
      <a:schemeClr val="tx1"/>
    </cs:fontRef>
    <cs:spPr>
      <a:ln>
        <a:round/>
      </a:ln>
    </cs:spPr>
  </cs:upBar>
  <cs:valueAxis>
    <cs:lnRef idx="1">
      <a:schemeClr val="tx1">
        <a:tint val="75000"/>
      </a:schemeClr>
    </cs:lnRef>
    <cs:fillRef idx="0"/>
    <cs:effectRef idx="0"/>
    <cs:fontRef idx="minor">
      <a:schemeClr val="tx1"/>
    </cs:fontRef>
    <cs:spPr>
      <a:ln>
        <a:round/>
      </a:ln>
    </cs:spPr>
    <cs:defRPr sz="1000" kern="1200"/>
  </cs:valueAxis>
  <cs:wall>
    <cs:lnRef idx="0"/>
    <cs:fillRef idx="0"/>
    <cs:effectRef idx="0"/>
    <cs:fontRef idx="minor">
      <a:schemeClr val="tx1"/>
    </cs:fontRef>
  </cs:wall>
</cs:chartStyle>
</file>

<file path=word/charts/style13.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4.xml><?xml version="1.0" encoding="utf-8"?>
<cs:chartStyle xmlns:cs="http://schemas.microsoft.com/office/drawing/2012/chartStyle" xmlns:a="http://schemas.openxmlformats.org/drawingml/2006/main" id="207">
  <cs:axisTitle>
    <cs:lnRef idx="0"/>
    <cs:fillRef idx="0"/>
    <cs:effectRef idx="0"/>
    <cs:fontRef idx="minor">
      <a:schemeClr val="tx2"/>
    </cs:fontRef>
    <cs:defRPr sz="900" b="1" kern="1200"/>
  </cs:axisTitle>
  <cs:categoryAxis>
    <cs:lnRef idx="0"/>
    <cs:fillRef idx="0"/>
    <cs:effectRef idx="0"/>
    <cs:fontRef idx="minor">
      <a:schemeClr val="tx2"/>
    </cs:fontRef>
    <cs:spPr>
      <a:ln w="9525" cap="flat" cmpd="sng" algn="ctr">
        <a:solidFill>
          <a:schemeClr val="tx2">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2">
            <a:lumMod val="15000"/>
            <a:lumOff val="85000"/>
          </a:schemeClr>
        </a:solidFill>
        <a:round/>
      </a:ln>
    </cs:spPr>
    <cs:defRPr sz="900" kern="1200"/>
  </cs:chartArea>
  <cs:dataLabel>
    <cs:lnRef idx="0"/>
    <cs:fillRef idx="0"/>
    <cs:effectRef idx="0"/>
    <cs:fontRef idx="minor">
      <a:schemeClr val="tx2"/>
    </cs:fontRef>
    <cs:defRPr sz="900" kern="1200"/>
  </cs:dataLabel>
  <cs:dataLabelCallout>
    <cs:lnRef idx="0"/>
    <cs:fillRef idx="0"/>
    <cs:effectRef idx="0"/>
    <cs:fontRef idx="minor">
      <a:schemeClr val="dk2">
        <a:lumMod val="7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2"/>
    <cs:fontRef idx="minor">
      <a:schemeClr val="tx2"/>
    </cs:fontRef>
  </cs:dataPoint>
  <cs:dataPoint3D>
    <cs:lnRef idx="0"/>
    <cs:fillRef idx="3">
      <cs:styleClr val="auto"/>
    </cs:fillRef>
    <cs:effectRef idx="2"/>
    <cs:fontRef idx="minor">
      <a:schemeClr val="tx2"/>
    </cs:fontRef>
  </cs:dataPoint3D>
  <cs:dataPointLine>
    <cs:lnRef idx="0">
      <cs:styleClr val="auto"/>
    </cs:lnRef>
    <cs:fillRef idx="3"/>
    <cs:effectRef idx="2"/>
    <cs:fontRef idx="minor">
      <a:schemeClr val="tx2"/>
    </cs:fontRef>
    <cs:spPr>
      <a:ln w="31750" cap="rnd">
        <a:solidFill>
          <a:schemeClr val="phClr"/>
        </a:solidFill>
        <a:round/>
      </a:ln>
    </cs:spPr>
  </cs:dataPointLine>
  <cs:dataPointMarker>
    <cs:lnRef idx="0"/>
    <cs:fillRef idx="3">
      <cs:styleClr val="auto"/>
    </cs:fillRef>
    <cs:effectRef idx="2"/>
    <cs:fontRef idx="minor">
      <a:schemeClr val="tx2"/>
    </cs:fontRef>
    <cs:spPr>
      <a:ln w="12700">
        <a:solidFill>
          <a:schemeClr val="lt2"/>
        </a:solidFill>
        <a:round/>
      </a:ln>
    </cs:spPr>
  </cs:dataPointMarker>
  <cs:dataPointMarkerLayout symbol="circle" size="6"/>
  <cs:dataPointWireframe>
    <cs:lnRef idx="0">
      <cs:styleClr val="auto"/>
    </cs:lnRef>
    <cs:fillRef idx="3"/>
    <cs:effectRef idx="2"/>
    <cs:fontRef idx="minor">
      <a:schemeClr val="tx2"/>
    </cs:fontRef>
    <cs:spPr>
      <a:ln w="9525" cap="rnd">
        <a:solidFill>
          <a:schemeClr val="phClr"/>
        </a:solidFill>
        <a:round/>
      </a:ln>
    </cs:spPr>
  </cs:dataPointWireframe>
  <cs:dataTable>
    <cs:lnRef idx="0"/>
    <cs:fillRef idx="0"/>
    <cs:effectRef idx="0"/>
    <cs:fontRef idx="minor">
      <a:schemeClr val="tx2"/>
    </cs:fontRef>
    <cs:spPr>
      <a:ln w="9525">
        <a:solidFill>
          <a:schemeClr val="tx2">
            <a:lumMod val="15000"/>
            <a:lumOff val="85000"/>
          </a:schemeClr>
        </a:solidFill>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2"/>
    </cs:fontRef>
    <cs:spPr>
      <a:ln w="9525">
        <a:solidFill>
          <a:schemeClr val="tx2">
            <a:lumMod val="60000"/>
            <a:lumOff val="40000"/>
          </a:schemeClr>
        </a:solidFill>
        <a:prstDash val="dash"/>
      </a:ln>
    </cs:spPr>
  </cs:dropLine>
  <cs:errorBar>
    <cs:lnRef idx="0"/>
    <cs:fillRef idx="0"/>
    <cs:effectRef idx="0"/>
    <cs:fontRef idx="minor">
      <a:schemeClr val="tx2"/>
    </cs:fontRef>
    <cs:spPr>
      <a:ln w="9525">
        <a:solidFill>
          <a:schemeClr val="tx2">
            <a:lumMod val="75000"/>
            <a:lumOff val="25000"/>
          </a:schemeClr>
        </a:solidFill>
        <a:round/>
      </a:ln>
    </cs:spPr>
  </cs:errorBar>
  <cs:floor>
    <cs:lnRef idx="0"/>
    <cs:fillRef idx="0"/>
    <cs:effectRef idx="0"/>
    <cs:fontRef idx="minor">
      <a:schemeClr val="tx2"/>
    </cs:fontRef>
  </cs:floor>
  <cs:gridlineMajor>
    <cs:lnRef idx="0"/>
    <cs:fillRef idx="0"/>
    <cs:effectRef idx="0"/>
    <cs:fontRef idx="minor">
      <a:schemeClr val="tx2"/>
    </cs:fontRef>
    <cs:spPr>
      <a:ln w="9525" cap="flat" cmpd="sng" algn="ctr">
        <a:solidFill>
          <a:schemeClr val="tx2">
            <a:lumMod val="15000"/>
            <a:lumOff val="85000"/>
          </a:schemeClr>
        </a:solidFill>
        <a:round/>
      </a:ln>
    </cs:spPr>
  </cs:gridlineMajor>
  <cs:gridlineMinor>
    <cs:lnRef idx="0"/>
    <cs:fillRef idx="0"/>
    <cs:effectRef idx="0"/>
    <cs:fontRef idx="minor">
      <a:schemeClr val="tx2"/>
    </cs:fontRef>
    <cs:spPr>
      <a:ln>
        <a:solidFill>
          <a:schemeClr val="tx2">
            <a:lumMod val="5000"/>
            <a:lumOff val="95000"/>
          </a:schemeClr>
        </a:solidFill>
      </a:ln>
    </cs:spPr>
  </cs:gridlineMinor>
  <cs:hiLoLine>
    <cs:lnRef idx="0"/>
    <cs:fillRef idx="0"/>
    <cs:effectRef idx="0"/>
    <cs:fontRef idx="minor">
      <a:schemeClr val="tx2"/>
    </cs:fontRef>
    <cs:spPr>
      <a:ln w="9525">
        <a:solidFill>
          <a:schemeClr val="tx2">
            <a:lumMod val="60000"/>
            <a:lumOff val="40000"/>
          </a:schemeClr>
        </a:solidFill>
        <a:prstDash val="dash"/>
      </a:ln>
    </cs:spPr>
  </cs:hiLoLine>
  <cs:leaderLine>
    <cs:lnRef idx="0"/>
    <cs:fillRef idx="0"/>
    <cs:effectRef idx="0"/>
    <cs:fontRef idx="minor">
      <a:schemeClr val="tx2"/>
    </cs:fontRef>
    <cs:spPr>
      <a:ln w="9525">
        <a:solidFill>
          <a:schemeClr val="tx2">
            <a:lumMod val="35000"/>
            <a:lumOff val="65000"/>
          </a:schemeClr>
        </a:solidFill>
      </a:ln>
    </cs:spPr>
  </cs:leaderLine>
  <cs:legend>
    <cs:lnRef idx="0"/>
    <cs:fillRef idx="0"/>
    <cs:effectRef idx="0"/>
    <cs:fontRef idx="minor">
      <a:schemeClr val="tx2"/>
    </cs:fontRef>
    <cs:defRPr sz="900" kern="1200"/>
  </cs:legend>
  <cs:plotArea>
    <cs:lnRef idx="0"/>
    <cs:fillRef idx="0"/>
    <cs:effectRef idx="0"/>
    <cs:fontRef idx="minor">
      <a:schemeClr val="tx2"/>
    </cs:fontRef>
  </cs:plotArea>
  <cs:plotArea3D>
    <cs:lnRef idx="0"/>
    <cs:fillRef idx="0"/>
    <cs:effectRef idx="0"/>
    <cs:fontRef idx="minor">
      <a:schemeClr val="tx2"/>
    </cs:fontRef>
  </cs:plotArea3D>
  <cs:seriesAxis>
    <cs:lnRef idx="0"/>
    <cs:fillRef idx="0"/>
    <cs:effectRef idx="0"/>
    <cs:fontRef idx="minor">
      <a:schemeClr val="tx2"/>
    </cs:fontRef>
    <cs:spPr>
      <a:ln w="9525" cap="flat" cmpd="sng" algn="ctr">
        <a:solidFill>
          <a:schemeClr val="tx2">
            <a:lumMod val="15000"/>
            <a:lumOff val="85000"/>
          </a:schemeClr>
        </a:solidFill>
        <a:round/>
      </a:ln>
    </cs:spPr>
    <cs:defRPr sz="900" kern="1200"/>
  </cs:seriesAxis>
  <cs:seriesLine>
    <cs:lnRef idx="0"/>
    <cs:fillRef idx="0"/>
    <cs:effectRef idx="0"/>
    <cs:fontRef idx="minor">
      <a:schemeClr val="tx2"/>
    </cs:fontRef>
    <cs:spPr>
      <a:ln w="9525">
        <a:solidFill>
          <a:schemeClr val="tx2">
            <a:lumMod val="60000"/>
            <a:lumOff val="40000"/>
          </a:schemeClr>
        </a:solidFill>
        <a:prstDash val="dash"/>
      </a:ln>
    </cs:spPr>
  </cs:seriesLine>
  <cs:title>
    <cs:lnRef idx="0"/>
    <cs:fillRef idx="0"/>
    <cs:effectRef idx="0"/>
    <cs:fontRef idx="minor">
      <a:schemeClr val="tx2"/>
    </cs:fontRef>
    <cs:defRPr sz="1600" b="1" kern="1200"/>
  </cs:title>
  <cs:trendline>
    <cs:lnRef idx="0">
      <cs:styleClr val="auto"/>
    </cs:lnRef>
    <cs:fillRef idx="0"/>
    <cs:effectRef idx="0"/>
    <cs:fontRef idx="minor">
      <a:schemeClr val="tx2"/>
    </cs:fontRef>
    <cs:spPr>
      <a:ln w="19050" cap="rnd">
        <a:solidFill>
          <a:schemeClr val="phClr"/>
        </a:solidFill>
        <a:prstDash val="sysDash"/>
      </a:ln>
    </cs:spPr>
  </cs:trendline>
  <cs:trendlineLabel>
    <cs:lnRef idx="0"/>
    <cs:fillRef idx="0"/>
    <cs:effectRef idx="0"/>
    <cs:fontRef idx="minor">
      <a:schemeClr val="tx2"/>
    </cs:fontRef>
    <cs:defRPr sz="900" kern="1200"/>
  </cs:trendlineLabel>
  <cs:upBar>
    <cs:lnRef idx="0"/>
    <cs:fillRef idx="0"/>
    <cs:effectRef idx="0"/>
    <cs:fontRef idx="minor">
      <a:schemeClr val="tx2"/>
    </cs:fontRef>
    <cs:spPr>
      <a:solidFill>
        <a:schemeClr val="lt1"/>
      </a:solidFill>
      <a:ln w="9525">
        <a:solidFill>
          <a:schemeClr val="tx1">
            <a:lumMod val="15000"/>
            <a:lumOff val="85000"/>
          </a:schemeClr>
        </a:solidFill>
      </a:ln>
    </cs:spPr>
  </cs:upBar>
  <cs:valueAxis>
    <cs:lnRef idx="0"/>
    <cs:fillRef idx="0"/>
    <cs:effectRef idx="0"/>
    <cs:fontRef idx="minor">
      <a:schemeClr val="tx2"/>
    </cs:fontRef>
    <cs:defRPr sz="900" kern="1200"/>
  </cs:valueAxis>
  <cs:wall>
    <cs:lnRef idx="0"/>
    <cs:fillRef idx="0"/>
    <cs:effectRef idx="0"/>
    <cs:fontRef idx="minor">
      <a:schemeClr val="tx2"/>
    </cs:fontRef>
  </cs:wall>
</cs:chartStyle>
</file>

<file path=word/charts/style15.xml><?xml version="1.0" encoding="utf-8"?>
<cs:chartStyle xmlns:cs="http://schemas.microsoft.com/office/drawing/2012/chartStyle" xmlns:a="http://schemas.openxmlformats.org/drawingml/2006/main" id="135">
  <cs:axisTitle>
    <cs:lnRef idx="0"/>
    <cs:fillRef idx="0"/>
    <cs:effectRef idx="0"/>
    <cs:fontRef idx="minor">
      <a:schemeClr val="dk1"/>
    </cs:fontRef>
    <cs:defRPr sz="1000" b="1" kern="1200"/>
  </cs:axisTitle>
  <cs:categoryAxis>
    <cs:lnRef idx="1">
      <a:schemeClr val="dk1">
        <a:tint val="75000"/>
      </a:schemeClr>
    </cs:lnRef>
    <cs:fillRef idx="0"/>
    <cs:effectRef idx="0"/>
    <cs:fontRef idx="minor">
      <a:schemeClr val="dk1"/>
    </cs:fontRef>
    <cs:spPr>
      <a:ln>
        <a:round/>
      </a:ln>
    </cs:spPr>
    <cs:defRPr sz="1000" kern="1200"/>
  </cs:categoryAxis>
  <cs:chartArea>
    <cs:lnRef idx="1">
      <a:schemeClr val="dk1">
        <a:tint val="75000"/>
      </a:schemeClr>
    </cs:lnRef>
    <cs:fillRef idx="1">
      <a:schemeClr val="lt1"/>
    </cs:fillRef>
    <cs:effectRef idx="0"/>
    <cs:fontRef idx="minor">
      <a:schemeClr val="dk1"/>
    </cs:fontRef>
    <cs:spPr>
      <a:ln>
        <a:round/>
      </a:ln>
    </cs:spPr>
    <cs:defRPr sz="1000" kern="1200"/>
  </cs:chartArea>
  <cs:dataLabel>
    <cs:lnRef idx="0"/>
    <cs:fillRef idx="0"/>
    <cs:effectRef idx="0"/>
    <cs:fontRef idx="minor">
      <a:schemeClr val="dk1"/>
    </cs:fontRef>
    <cs:defRPr sz="1000" kern="1200"/>
  </cs:dataLabel>
  <cs:dataLabelCallout>
    <cs:lnRef idx="0"/>
    <cs:fillRef idx="0"/>
    <cs:effectRef idx="0"/>
    <cs:fontRef idx="minor">
      <a:schemeClr val="dk1"/>
    </cs:fontRef>
    <cs:spPr>
      <a:solidFill>
        <a:schemeClr val="lt1"/>
      </a:solidFill>
      <a:ln>
        <a:solidFill>
          <a:schemeClr val="dk1">
            <a:lumMod val="65000"/>
            <a:lumOff val="35000"/>
          </a:schemeClr>
        </a:solidFill>
      </a:ln>
    </cs:spPr>
    <cs:defRPr sz="1000" kern="1200"/>
  </cs:dataLabelCallout>
  <cs:dataPoint>
    <cs:lnRef idx="1" mods="ignoreCSTransforms">
      <cs:styleClr val="0">
        <a:shade val="50000"/>
      </cs:styleClr>
    </cs:lnRef>
    <cs:fillRef idx="1">
      <cs:styleClr val="auto"/>
    </cs:fillRef>
    <cs:effectRef idx="0"/>
    <cs:fontRef idx="minor">
      <a:schemeClr val="dk1"/>
    </cs:fontRef>
    <cs:spPr>
      <a:ln>
        <a:round/>
      </a:ln>
    </cs:spPr>
  </cs:dataPoint>
  <cs:dataPoint3D>
    <cs:lnRef idx="1" mods="ignoreCSTransforms">
      <cs:styleClr val="0">
        <a:shade val="50000"/>
      </cs:styleClr>
    </cs:lnRef>
    <cs:fillRef idx="1">
      <cs:styleClr val="auto"/>
    </cs:fillRef>
    <cs:effectRef idx="0"/>
    <cs:fontRef idx="minor">
      <a:schemeClr val="dk1"/>
    </cs:fontRef>
    <cs:spPr>
      <a:ln>
        <a:round/>
      </a:ln>
    </cs:spPr>
  </cs:dataPoint3D>
  <cs:dataPointLine>
    <cs:lnRef idx="1">
      <cs:styleClr val="auto"/>
    </cs:lnRef>
    <cs:lineWidthScale>5</cs:lineWidthScale>
    <cs:fillRef idx="0"/>
    <cs:effectRef idx="0"/>
    <cs:fontRef idx="minor">
      <a:schemeClr val="dk1"/>
    </cs:fontRef>
    <cs:spPr>
      <a:ln cap="rnd">
        <a:round/>
      </a:ln>
    </cs:spPr>
  </cs:dataPointLine>
  <cs:dataPointMarker>
    <cs:lnRef idx="1">
      <cs:styleClr val="auto"/>
    </cs:lnRef>
    <cs:fillRef idx="1">
      <cs:styleClr val="auto"/>
    </cs:fillRef>
    <cs:effectRef idx="0"/>
    <cs:fontRef idx="minor">
      <a:schemeClr val="dk1"/>
    </cs:fontRef>
    <cs:spPr>
      <a:ln>
        <a:round/>
      </a:ln>
    </cs:spPr>
  </cs:dataPointMarker>
  <cs:dataPointMarkerLayout/>
  <cs:dataPointWireframe>
    <cs:lnRef idx="1">
      <cs:styleClr val="auto"/>
    </cs:lnRef>
    <cs:fillRef idx="0"/>
    <cs:effectRef idx="0"/>
    <cs:fontRef idx="minor">
      <a:schemeClr val="dk1"/>
    </cs:fontRef>
    <cs:spPr>
      <a:ln>
        <a:round/>
      </a:ln>
    </cs:spPr>
  </cs:dataPointWireframe>
  <cs:dataTable>
    <cs:lnRef idx="1">
      <a:schemeClr val="dk1">
        <a:tint val="75000"/>
      </a:schemeClr>
    </cs:lnRef>
    <cs:fillRef idx="0"/>
    <cs:effectRef idx="0"/>
    <cs:fontRef idx="minor">
      <a:schemeClr val="dk1"/>
    </cs:fontRef>
    <cs:spPr>
      <a:ln>
        <a:round/>
      </a:ln>
    </cs:spPr>
    <cs:defRPr sz="1000" kern="1200"/>
  </cs:dataTable>
  <cs:downBar>
    <cs:lnRef idx="1" mods="ignoreCSTransforms">
      <cs:styleClr val="0">
        <a:shade val="25000"/>
      </cs:styleClr>
    </cs:lnRef>
    <cs:fillRef idx="1" mods="ignoreCSTransforms">
      <cs:styleClr val="0">
        <a:shade val="25000"/>
      </cs:styleClr>
    </cs:fillRef>
    <cs:effectRef idx="0"/>
    <cs:fontRef idx="minor">
      <a:schemeClr val="dk1"/>
    </cs:fontRef>
    <cs:spPr>
      <a:ln>
        <a:round/>
      </a:ln>
    </cs:spPr>
  </cs:downBar>
  <cs:dropLine>
    <cs:lnRef idx="1">
      <a:schemeClr val="dk1"/>
    </cs:lnRef>
    <cs:fillRef idx="0"/>
    <cs:effectRef idx="0"/>
    <cs:fontRef idx="minor">
      <a:schemeClr val="dk1"/>
    </cs:fontRef>
    <cs:spPr>
      <a:ln>
        <a:round/>
      </a:ln>
    </cs:spPr>
  </cs:dropLine>
  <cs:errorBar>
    <cs:lnRef idx="1">
      <a:schemeClr val="dk1"/>
    </cs:lnRef>
    <cs:fillRef idx="1">
      <a:schemeClr val="dk1"/>
    </cs:fillRef>
    <cs:effectRef idx="0"/>
    <cs:fontRef idx="minor">
      <a:schemeClr val="dk1"/>
    </cs:fontRef>
    <cs:spPr>
      <a:ln>
        <a:round/>
      </a:ln>
    </cs:spPr>
  </cs:errorBar>
  <cs:floor>
    <cs:lnRef idx="1">
      <a:schemeClr val="dk1">
        <a:tint val="75000"/>
      </a:schemeClr>
    </cs:lnRef>
    <cs:fillRef idx="1" mods="ignoreCSTransforms">
      <cs:styleClr val="0">
        <a:tint val="20000"/>
      </cs:styleClr>
    </cs:fillRef>
    <cs:effectRef idx="0"/>
    <cs:fontRef idx="minor">
      <a:schemeClr val="dk1"/>
    </cs:fontRef>
    <cs:spPr>
      <a:ln>
        <a:round/>
      </a:ln>
    </cs:spPr>
  </cs:floor>
  <cs:gridlineMajor>
    <cs:lnRef idx="1">
      <a:schemeClr val="dk1">
        <a:tint val="75000"/>
      </a:schemeClr>
    </cs:lnRef>
    <cs:fillRef idx="0"/>
    <cs:effectRef idx="0"/>
    <cs:fontRef idx="minor">
      <a:schemeClr val="dk1"/>
    </cs:fontRef>
    <cs:spPr>
      <a:ln>
        <a:round/>
      </a:ln>
    </cs:spPr>
  </cs:gridlineMajor>
  <cs:gridlineMinor>
    <cs:lnRef idx="1">
      <a:schemeClr val="dk1">
        <a:tint val="50000"/>
      </a:schemeClr>
    </cs:lnRef>
    <cs:fillRef idx="0"/>
    <cs:effectRef idx="0"/>
    <cs:fontRef idx="minor">
      <a:schemeClr val="dk1"/>
    </cs:fontRef>
    <cs:spPr>
      <a:ln>
        <a:round/>
      </a:ln>
    </cs:spPr>
  </cs:gridlineMinor>
  <cs:hiLoLine>
    <cs:lnRef idx="1">
      <a:schemeClr val="dk1"/>
    </cs:lnRef>
    <cs:fillRef idx="0"/>
    <cs:effectRef idx="0"/>
    <cs:fontRef idx="minor">
      <a:schemeClr val="dk1"/>
    </cs:fontRef>
    <cs:spPr>
      <a:ln>
        <a:round/>
      </a:ln>
    </cs:spPr>
  </cs:hiLoLine>
  <cs:leaderLine>
    <cs:lnRef idx="1">
      <a:schemeClr val="dk1"/>
    </cs:lnRef>
    <cs:fillRef idx="0"/>
    <cs:effectRef idx="0"/>
    <cs:fontRef idx="minor">
      <a:schemeClr val="dk1"/>
    </cs:fontRef>
    <cs:spPr>
      <a:ln>
        <a:round/>
      </a:ln>
    </cs:spPr>
  </cs:leaderLine>
  <cs:legend>
    <cs:lnRef idx="0"/>
    <cs:fillRef idx="0"/>
    <cs:effectRef idx="0"/>
    <cs:fontRef idx="minor">
      <a:schemeClr val="dk1"/>
    </cs:fontRef>
    <cs:defRPr sz="1000" kern="1200"/>
  </cs:legend>
  <cs:plotArea>
    <cs:lnRef idx="0"/>
    <cs:fillRef idx="1" mods="ignoreCSTransforms">
      <cs:styleClr val="0">
        <a:tint val="20000"/>
      </cs:styleClr>
    </cs:fillRef>
    <cs:effectRef idx="0"/>
    <cs:fontRef idx="minor">
      <a:schemeClr val="dk1"/>
    </cs:fontRef>
  </cs:plotArea>
  <cs:plotArea3D>
    <cs:lnRef idx="0"/>
    <cs:fillRef idx="0"/>
    <cs:effectRef idx="0"/>
    <cs:fontRef idx="minor">
      <a:schemeClr val="dk1"/>
    </cs:fontRef>
  </cs:plotArea3D>
  <cs:seriesAxis>
    <cs:lnRef idx="1">
      <a:schemeClr val="dk1">
        <a:tint val="75000"/>
      </a:schemeClr>
    </cs:lnRef>
    <cs:fillRef idx="0"/>
    <cs:effectRef idx="0"/>
    <cs:fontRef idx="minor">
      <a:schemeClr val="dk1"/>
    </cs:fontRef>
    <cs:spPr>
      <a:ln>
        <a:round/>
      </a:ln>
    </cs:spPr>
    <cs:defRPr sz="1000" kern="1200"/>
  </cs:seriesAxis>
  <cs:seriesLine>
    <cs:lnRef idx="1">
      <a:schemeClr val="dk1"/>
    </cs:lnRef>
    <cs:fillRef idx="0"/>
    <cs:effectRef idx="0"/>
    <cs:fontRef idx="minor">
      <a:schemeClr val="dk1"/>
    </cs:fontRef>
    <cs:spPr>
      <a:ln>
        <a:round/>
      </a:ln>
    </cs:spPr>
  </cs:seriesLine>
  <cs:title>
    <cs:lnRef idx="0"/>
    <cs:fillRef idx="0"/>
    <cs:effectRef idx="0"/>
    <cs:fontRef idx="minor">
      <a:schemeClr val="dk1"/>
    </cs:fontRef>
    <cs:defRPr sz="1800" b="1" kern="1200"/>
  </cs:title>
  <cs:trendline>
    <cs:lnRef idx="1">
      <a:schemeClr val="dk1"/>
    </cs:lnRef>
    <cs:fillRef idx="0"/>
    <cs:effectRef idx="0"/>
    <cs:fontRef idx="minor">
      <a:schemeClr val="dk1"/>
    </cs:fontRef>
    <cs:spPr>
      <a:ln cap="rnd">
        <a:round/>
      </a:ln>
    </cs:spPr>
  </cs:trendline>
  <cs:trendlineLabel>
    <cs:lnRef idx="0"/>
    <cs:fillRef idx="0"/>
    <cs:effectRef idx="0"/>
    <cs:fontRef idx="minor">
      <a:schemeClr val="dk1"/>
    </cs:fontRef>
    <cs:defRPr sz="1000" kern="1200"/>
  </cs:trendlineLabel>
  <cs:upBar>
    <cs:lnRef idx="1" mods="ignoreCSTransforms">
      <cs:styleClr val="0">
        <a:shade val="25000"/>
      </cs:styleClr>
    </cs:lnRef>
    <cs:fillRef idx="1">
      <a:schemeClr val="lt1"/>
    </cs:fillRef>
    <cs:effectRef idx="0"/>
    <cs:fontRef idx="minor">
      <a:schemeClr val="dk1"/>
    </cs:fontRef>
    <cs:spPr>
      <a:ln>
        <a:round/>
      </a:ln>
    </cs:spPr>
  </cs:upBar>
  <cs:valueAxis>
    <cs:lnRef idx="1">
      <a:schemeClr val="dk1">
        <a:tint val="75000"/>
      </a:schemeClr>
    </cs:lnRef>
    <cs:fillRef idx="0"/>
    <cs:effectRef idx="0"/>
    <cs:fontRef idx="minor">
      <a:schemeClr val="dk1"/>
    </cs:fontRef>
    <cs:spPr>
      <a:ln>
        <a:round/>
      </a:ln>
    </cs:spPr>
    <cs:defRPr sz="1000" kern="1200"/>
  </cs:valueAxis>
  <cs:wall>
    <cs:lnRef idx="0"/>
    <cs:fillRef idx="1" mods="ignoreCSTransforms">
      <cs:styleClr val="0">
        <a:tint val="20000"/>
      </cs:styleClr>
    </cs:fillRef>
    <cs:effectRef idx="0"/>
    <cs:fontRef idx="minor">
      <a:schemeClr val="dk1"/>
    </cs:fontRef>
  </cs:wall>
</cs:chartStyle>
</file>

<file path=word/drawings/drawing1.xml><?xml version="1.0" encoding="utf-8"?>
<c:userShapes xmlns:c="http://schemas.openxmlformats.org/drawingml/2006/chart">
  <cdr:relSizeAnchor xmlns:cdr="http://schemas.openxmlformats.org/drawingml/2006/chartDrawing">
    <cdr:from>
      <cdr:x>0.58333</cdr:x>
      <cdr:y>0</cdr:y>
    </cdr:from>
    <cdr:to>
      <cdr:x>0.97619</cdr:x>
      <cdr:y>0.73863</cdr:y>
    </cdr:to>
    <cdr:sp macro="" textlink="">
      <cdr:nvSpPr>
        <cdr:cNvPr id="3" name="TextBox 2"/>
        <cdr:cNvSpPr txBox="1"/>
      </cdr:nvSpPr>
      <cdr:spPr>
        <a:xfrm xmlns:a="http://schemas.openxmlformats.org/drawingml/2006/main">
          <a:off x="1600200" y="0"/>
          <a:ext cx="1077684" cy="1560873"/>
        </a:xfrm>
        <a:prstGeom xmlns:a="http://schemas.openxmlformats.org/drawingml/2006/main" prst="rect">
          <a:avLst/>
        </a:prstGeom>
        <a:solidFill xmlns:a="http://schemas.openxmlformats.org/drawingml/2006/main">
          <a:schemeClr val="accent5">
            <a:alpha val="10000"/>
          </a:schemeClr>
        </a:solidFill>
      </cdr:spPr>
      <cdr:txBody>
        <a:bodyPr xmlns:a="http://schemas.openxmlformats.org/drawingml/2006/main" vertOverflow="clip" wrap="square" rtlCol="0" anchor="t"/>
        <a:lstStyle xmlns:a="http://schemas.openxmlformats.org/drawingml/2006/main"/>
        <a:p xmlns:a="http://schemas.openxmlformats.org/drawingml/2006/main">
          <a:pPr algn="ctr"/>
          <a:r>
            <a:rPr lang="sr-Cyrl-RS" sz="750" b="1">
              <a:solidFill>
                <a:schemeClr val="tx2"/>
              </a:solidFill>
              <a:latin typeface="Times New Roman" panose="02020603050405020304" pitchFamily="18" charset="0"/>
              <a:cs typeface="Times New Roman" panose="02020603050405020304" pitchFamily="18" charset="0"/>
            </a:rPr>
            <a:t>ПРОЈЕКЦИЈА</a:t>
          </a:r>
          <a:endParaRPr lang="en-GB" sz="750" b="1">
            <a:solidFill>
              <a:schemeClr val="tx2"/>
            </a:solidFill>
            <a:latin typeface="Times New Roman" panose="02020603050405020304" pitchFamily="18" charset="0"/>
            <a:cs typeface="Times New Roman" panose="02020603050405020304" pitchFamily="18" charset="0"/>
          </a:endParaRPr>
        </a:p>
      </cdr:txBody>
    </cdr:sp>
  </cdr:relSizeAnchor>
</c:userShapes>
</file>

<file path=word/drawings/drawing2.xml><?xml version="1.0" encoding="utf-8"?>
<c:userShapes xmlns:c="http://schemas.openxmlformats.org/drawingml/2006/chart">
  <cdr:relSizeAnchor xmlns:cdr="http://schemas.openxmlformats.org/drawingml/2006/chartDrawing">
    <cdr:from>
      <cdr:x>0.5885</cdr:x>
      <cdr:y>0</cdr:y>
    </cdr:from>
    <cdr:to>
      <cdr:x>0.98231</cdr:x>
      <cdr:y>0.73936</cdr:y>
    </cdr:to>
    <cdr:sp macro="" textlink="">
      <cdr:nvSpPr>
        <cdr:cNvPr id="3" name="TextBox 2"/>
        <cdr:cNvSpPr txBox="1"/>
      </cdr:nvSpPr>
      <cdr:spPr>
        <a:xfrm xmlns:a="http://schemas.openxmlformats.org/drawingml/2006/main">
          <a:off x="1689101" y="0"/>
          <a:ext cx="1130326" cy="1548973"/>
        </a:xfrm>
        <a:prstGeom xmlns:a="http://schemas.openxmlformats.org/drawingml/2006/main" prst="rect">
          <a:avLst/>
        </a:prstGeom>
        <a:solidFill xmlns:a="http://schemas.openxmlformats.org/drawingml/2006/main">
          <a:schemeClr val="accent5">
            <a:alpha val="10000"/>
          </a:schemeClr>
        </a:solidFill>
      </cdr:spPr>
      <cdr:txBody>
        <a:bodyPr xmlns:a="http://schemas.openxmlformats.org/drawingml/2006/main" vertOverflow="clip" wrap="square" rtlCol="0" anchor="t"/>
        <a:lstStyle xmlns:a="http://schemas.openxmlformats.org/drawingml/2006/main"/>
        <a:p xmlns:a="http://schemas.openxmlformats.org/drawingml/2006/main">
          <a:pPr algn="ctr"/>
          <a:r>
            <a:rPr lang="sr-Cyrl-RS" sz="750" b="1">
              <a:solidFill>
                <a:schemeClr val="tx2"/>
              </a:solidFill>
              <a:latin typeface="Times New Roman" panose="02020603050405020304" pitchFamily="18" charset="0"/>
              <a:cs typeface="Times New Roman" panose="02020603050405020304" pitchFamily="18" charset="0"/>
            </a:rPr>
            <a:t>ПРОЈЕКЦИЈА</a:t>
          </a:r>
          <a:endParaRPr lang="en-GB" sz="750" b="1">
            <a:solidFill>
              <a:schemeClr val="tx2"/>
            </a:solidFill>
            <a:latin typeface="Times New Roman" panose="02020603050405020304" pitchFamily="18" charset="0"/>
            <a:cs typeface="Times New Roman" panose="02020603050405020304" pitchFamily="18" charset="0"/>
          </a:endParaRPr>
        </a:p>
      </cdr:txBody>
    </cdr:sp>
  </cdr:relSizeAnchor>
</c:userShapes>
</file>

<file path=word/drawings/drawing3.xml><?xml version="1.0" encoding="utf-8"?>
<c:userShapes xmlns:c="http://schemas.openxmlformats.org/drawingml/2006/chart">
  <cdr:relSizeAnchor xmlns:cdr="http://schemas.openxmlformats.org/drawingml/2006/chartDrawing">
    <cdr:from>
      <cdr:x>0.424</cdr:x>
      <cdr:y>0.00827</cdr:y>
    </cdr:from>
    <cdr:to>
      <cdr:x>0.96515</cdr:x>
      <cdr:y>0.76895</cdr:y>
    </cdr:to>
    <cdr:sp macro="" textlink="">
      <cdr:nvSpPr>
        <cdr:cNvPr id="3" name="TextBox 2"/>
        <cdr:cNvSpPr txBox="1"/>
      </cdr:nvSpPr>
      <cdr:spPr>
        <a:xfrm xmlns:a="http://schemas.openxmlformats.org/drawingml/2006/main">
          <a:off x="1163118" y="19052"/>
          <a:ext cx="1484482" cy="1752440"/>
        </a:xfrm>
        <a:prstGeom xmlns:a="http://schemas.openxmlformats.org/drawingml/2006/main" prst="rect">
          <a:avLst/>
        </a:prstGeom>
        <a:solidFill xmlns:a="http://schemas.openxmlformats.org/drawingml/2006/main">
          <a:schemeClr val="accent5">
            <a:alpha val="10000"/>
          </a:schemeClr>
        </a:solidFill>
      </cdr:spPr>
      <cdr:txBody>
        <a:bodyPr xmlns:a="http://schemas.openxmlformats.org/drawingml/2006/main" vertOverflow="clip" wrap="square" rtlCol="0" anchor="t"/>
        <a:lstStyle xmlns:a="http://schemas.openxmlformats.org/drawingml/2006/main"/>
        <a:p xmlns:a="http://schemas.openxmlformats.org/drawingml/2006/main">
          <a:pPr algn="ctr"/>
          <a:r>
            <a:rPr lang="sr-Cyrl-RS" sz="750" b="1">
              <a:solidFill>
                <a:schemeClr val="tx2"/>
              </a:solidFill>
              <a:latin typeface="Times New Roman" panose="02020603050405020304" pitchFamily="18" charset="0"/>
              <a:cs typeface="Times New Roman" panose="02020603050405020304" pitchFamily="18" charset="0"/>
            </a:rPr>
            <a:t>ПРОЈЕКЦИЈА</a:t>
          </a:r>
          <a:endParaRPr lang="en-GB" sz="750" b="1">
            <a:solidFill>
              <a:schemeClr val="tx2"/>
            </a:solidFill>
            <a:latin typeface="Times New Roman" panose="02020603050405020304" pitchFamily="18" charset="0"/>
            <a:cs typeface="Times New Roman" panose="02020603050405020304" pitchFamily="18" charset="0"/>
          </a:endParaRPr>
        </a:p>
      </cdr:txBody>
    </cdr:sp>
  </cdr:relSizeAnchor>
</c:userShapes>
</file>

<file path=word/drawings/drawing4.xml><?xml version="1.0" encoding="utf-8"?>
<c:userShapes xmlns:c="http://schemas.openxmlformats.org/drawingml/2006/chart">
  <cdr:relSizeAnchor xmlns:cdr="http://schemas.openxmlformats.org/drawingml/2006/chartDrawing">
    <cdr:from>
      <cdr:x>0.11927</cdr:x>
      <cdr:y>0.54755</cdr:y>
    </cdr:from>
    <cdr:to>
      <cdr:x>0.99582</cdr:x>
      <cdr:y>0.54919</cdr:y>
    </cdr:to>
    <cdr:cxnSp macro="">
      <cdr:nvCxnSpPr>
        <cdr:cNvPr id="3" name="Straight Connector 2">
          <a:extLst xmlns:a="http://schemas.openxmlformats.org/drawingml/2006/main">
            <a:ext uri="{FF2B5EF4-FFF2-40B4-BE49-F238E27FC236}">
              <a16:creationId xmlns:a16="http://schemas.microsoft.com/office/drawing/2014/main" id="{AF97C602-EDF0-713A-5812-4788E2BCD26B}"/>
            </a:ext>
          </a:extLst>
        </cdr:cNvPr>
        <cdr:cNvCxnSpPr/>
      </cdr:nvCxnSpPr>
      <cdr:spPr>
        <a:xfrm xmlns:a="http://schemas.openxmlformats.org/drawingml/2006/main" flipV="1">
          <a:off x="544187" y="2511589"/>
          <a:ext cx="3999238" cy="7522"/>
        </a:xfrm>
        <a:prstGeom xmlns:a="http://schemas.openxmlformats.org/drawingml/2006/main" prst="line">
          <a:avLst/>
        </a:prstGeom>
        <a:ln xmlns:a="http://schemas.openxmlformats.org/drawingml/2006/main">
          <a:prstDash val="dash"/>
        </a:ln>
      </cdr:spPr>
      <cdr:style>
        <a:lnRef xmlns:a="http://schemas.openxmlformats.org/drawingml/2006/main" idx="1">
          <a:schemeClr val="dk1"/>
        </a:lnRef>
        <a:fillRef xmlns:a="http://schemas.openxmlformats.org/drawingml/2006/main" idx="0">
          <a:schemeClr val="dk1"/>
        </a:fillRef>
        <a:effectRef xmlns:a="http://schemas.openxmlformats.org/drawingml/2006/main" idx="0">
          <a:schemeClr val="dk1"/>
        </a:effectRef>
        <a:fontRef xmlns:a="http://schemas.openxmlformats.org/drawingml/2006/main" idx="minor">
          <a:schemeClr val="tx1"/>
        </a:fontRef>
      </cdr:style>
    </cdr:cxnSp>
  </cdr:relSizeAnchor>
</c:userShapes>
</file>

<file path=word/drawings/drawing5.xml><?xml version="1.0" encoding="utf-8"?>
<c:userShapes xmlns:c="http://schemas.openxmlformats.org/drawingml/2006/chart">
  <cdr:relSizeAnchor xmlns:cdr="http://schemas.openxmlformats.org/drawingml/2006/chartDrawing">
    <cdr:from>
      <cdr:x>0.5994</cdr:x>
      <cdr:y>0.31197</cdr:y>
    </cdr:from>
    <cdr:to>
      <cdr:x>0.5994</cdr:x>
      <cdr:y>0.34818</cdr:y>
    </cdr:to>
    <cdr:cxnSp macro="">
      <cdr:nvCxnSpPr>
        <cdr:cNvPr id="3" name="Straight Arrow Connector 2"/>
        <cdr:cNvCxnSpPr/>
      </cdr:nvCxnSpPr>
      <cdr:spPr>
        <a:xfrm xmlns:a="http://schemas.openxmlformats.org/drawingml/2006/main" flipV="1">
          <a:off x="3927978" y="1066789"/>
          <a:ext cx="0" cy="123819"/>
        </a:xfrm>
        <a:prstGeom xmlns:a="http://schemas.openxmlformats.org/drawingml/2006/main" prst="straightConnector1">
          <a:avLst/>
        </a:prstGeom>
        <a:ln xmlns:a="http://schemas.openxmlformats.org/drawingml/2006/main">
          <a:solidFill>
            <a:schemeClr val="tx1"/>
          </a:solidFill>
          <a:tailEnd type="triangle"/>
        </a:ln>
      </cdr:spPr>
      <cdr:style>
        <a:lnRef xmlns:a="http://schemas.openxmlformats.org/drawingml/2006/main" idx="1">
          <a:schemeClr val="accent1"/>
        </a:lnRef>
        <a:fillRef xmlns:a="http://schemas.openxmlformats.org/drawingml/2006/main" idx="0">
          <a:schemeClr val="accent1"/>
        </a:fillRef>
        <a:effectRef xmlns:a="http://schemas.openxmlformats.org/drawingml/2006/main" idx="0">
          <a:schemeClr val="accent1"/>
        </a:effectRef>
        <a:fontRef xmlns:a="http://schemas.openxmlformats.org/drawingml/2006/main" idx="minor">
          <a:schemeClr val="tx1"/>
        </a:fontRef>
      </cdr:style>
    </cdr:cxnSp>
  </cdr:relSizeAnchor>
</c:userShapes>
</file>

<file path=word/drawings/drawing6.xml><?xml version="1.0" encoding="utf-8"?>
<c:userShapes xmlns:c="http://schemas.openxmlformats.org/drawingml/2006/chart">
  <cdr:relSizeAnchor xmlns:cdr="http://schemas.openxmlformats.org/drawingml/2006/chartDrawing">
    <cdr:from>
      <cdr:x>0.54172</cdr:x>
      <cdr:y>0.08091</cdr:y>
    </cdr:from>
    <cdr:to>
      <cdr:x>0.85875</cdr:x>
      <cdr:y>0.1271</cdr:y>
    </cdr:to>
    <cdr:sp macro="" textlink="">
      <cdr:nvSpPr>
        <cdr:cNvPr id="4" name="Text Box 94"/>
        <cdr:cNvSpPr txBox="1"/>
      </cdr:nvSpPr>
      <cdr:spPr>
        <a:xfrm xmlns:a="http://schemas.openxmlformats.org/drawingml/2006/main">
          <a:off x="3214607" y="363807"/>
          <a:ext cx="1881268" cy="207693"/>
        </a:xfrm>
        <a:prstGeom xmlns:a="http://schemas.openxmlformats.org/drawingml/2006/main" prst="rect">
          <a:avLst/>
        </a:prstGeom>
        <a:noFill xmlns:a="http://schemas.openxmlformats.org/drawingml/2006/main"/>
        <a:ln xmlns:a="http://schemas.openxmlformats.org/drawingml/2006/main" w="6350">
          <a:noFill/>
        </a:ln>
      </cdr:spPr>
      <cdr:txBody>
        <a:bodyPr xmlns:a="http://schemas.openxmlformats.org/drawingml/2006/main" rot="0" spcFirstLastPara="0" vert="horz" wrap="square" lIns="91440" tIns="45720" rIns="91440" bIns="45720" numCol="1" spcCol="0" rtlCol="0" fromWordArt="0" anchor="t" anchorCtr="0" forceAA="0" compatLnSpc="1">
          <a:prstTxWarp prst="textNoShape">
            <a:avLst/>
          </a:prstTxWarp>
          <a:noAutofit/>
        </a:bodyPr>
        <a:lstStyle xmlns:a="http://schemas.openxmlformats.org/drawingml/2006/main"/>
        <a:p xmlns:a="http://schemas.openxmlformats.org/drawingml/2006/main">
          <a:pPr algn="just">
            <a:lnSpc>
              <a:spcPct val="107000"/>
            </a:lnSpc>
            <a:spcAft>
              <a:spcPts val="800"/>
            </a:spcAft>
          </a:pPr>
          <a:r>
            <a:rPr lang="sr-Cyrl-RS" sz="800" b="0">
              <a:solidFill>
                <a:srgbClr val="44546A"/>
              </a:solidFill>
              <a:effectLst/>
              <a:latin typeface="Times New Roman" panose="02020603050405020304" pitchFamily="18" charset="0"/>
              <a:ea typeface="Calibri" panose="020F0502020204030204" pitchFamily="34" charset="0"/>
              <a:cs typeface="Times New Roman" panose="02020603050405020304" pitchFamily="18" charset="0"/>
            </a:rPr>
            <a:t>Праг фискалног подиндекса (0,36)</a:t>
          </a:r>
          <a:endParaRPr lang="en-GB" sz="800" b="0">
            <a:solidFill>
              <a:srgbClr val="44546A"/>
            </a:solidFill>
            <a:effectLst/>
            <a:latin typeface="Times New Roman" panose="02020603050405020304" pitchFamily="18" charset="0"/>
            <a:ea typeface="Calibri" panose="020F0502020204030204" pitchFamily="34" charset="0"/>
            <a:cs typeface="Times New Roman" panose="02020603050405020304" pitchFamily="18" charset="0"/>
          </a:endParaRPr>
        </a:p>
      </cdr:txBody>
    </cdr:sp>
  </cdr:relSizeAnchor>
  <cdr:relSizeAnchor xmlns:cdr="http://schemas.openxmlformats.org/drawingml/2006/chartDrawing">
    <cdr:from>
      <cdr:x>0.511</cdr:x>
      <cdr:y>0.11032</cdr:y>
    </cdr:from>
    <cdr:to>
      <cdr:x>0.53947</cdr:x>
      <cdr:y>0.12696</cdr:y>
    </cdr:to>
    <cdr:cxnSp macro="">
      <cdr:nvCxnSpPr>
        <cdr:cNvPr id="5" name="Straight Arrow Connector 4"/>
        <cdr:cNvCxnSpPr/>
      </cdr:nvCxnSpPr>
      <cdr:spPr>
        <a:xfrm xmlns:a="http://schemas.openxmlformats.org/drawingml/2006/main" flipV="1">
          <a:off x="3419886" y="568624"/>
          <a:ext cx="190500" cy="85725"/>
        </a:xfrm>
        <a:prstGeom xmlns:a="http://schemas.openxmlformats.org/drawingml/2006/main" prst="straightConnector1">
          <a:avLst/>
        </a:prstGeom>
        <a:ln xmlns:a="http://schemas.openxmlformats.org/drawingml/2006/main">
          <a:solidFill>
            <a:schemeClr val="tx1">
              <a:lumMod val="75000"/>
              <a:lumOff val="25000"/>
            </a:schemeClr>
          </a:solidFill>
          <a:prstDash val="sysDash"/>
          <a:tailEnd type="triangle"/>
        </a:ln>
      </cdr:spPr>
      <cdr:style>
        <a:lnRef xmlns:a="http://schemas.openxmlformats.org/drawingml/2006/main" idx="1">
          <a:schemeClr val="accent1"/>
        </a:lnRef>
        <a:fillRef xmlns:a="http://schemas.openxmlformats.org/drawingml/2006/main" idx="0">
          <a:schemeClr val="accent1"/>
        </a:fillRef>
        <a:effectRef xmlns:a="http://schemas.openxmlformats.org/drawingml/2006/main" idx="0">
          <a:schemeClr val="accent1"/>
        </a:effectRef>
        <a:fontRef xmlns:a="http://schemas.openxmlformats.org/drawingml/2006/main" idx="minor">
          <a:schemeClr val="tx1"/>
        </a:fontRef>
      </cdr:style>
    </cdr:cxnSp>
  </cdr:relSizeAnchor>
  <cdr:relSizeAnchor xmlns:cdr="http://schemas.openxmlformats.org/drawingml/2006/chartDrawing">
    <cdr:from>
      <cdr:x>0.70246</cdr:x>
      <cdr:y>0.26085</cdr:y>
    </cdr:from>
    <cdr:to>
      <cdr:x>0.96149</cdr:x>
      <cdr:y>0.30151</cdr:y>
    </cdr:to>
    <cdr:sp macro="" textlink="">
      <cdr:nvSpPr>
        <cdr:cNvPr id="6" name="Text Box 96"/>
        <cdr:cNvSpPr txBox="1"/>
      </cdr:nvSpPr>
      <cdr:spPr>
        <a:xfrm xmlns:a="http://schemas.openxmlformats.org/drawingml/2006/main">
          <a:off x="4701205" y="1344481"/>
          <a:ext cx="1733550" cy="209550"/>
        </a:xfrm>
        <a:prstGeom xmlns:a="http://schemas.openxmlformats.org/drawingml/2006/main" prst="rect">
          <a:avLst/>
        </a:prstGeom>
        <a:noFill xmlns:a="http://schemas.openxmlformats.org/drawingml/2006/main"/>
        <a:ln xmlns:a="http://schemas.openxmlformats.org/drawingml/2006/main" w="6350">
          <a:noFill/>
        </a:ln>
      </cdr:spPr>
      <cdr:txBody>
        <a:bodyPr xmlns:a="http://schemas.openxmlformats.org/drawingml/2006/main" rot="0" spcFirstLastPara="0" vert="horz" wrap="square" lIns="91440" tIns="45720" rIns="91440" bIns="45720" numCol="1" spcCol="0" rtlCol="0" fromWordArt="0" anchor="t" anchorCtr="0" forceAA="0" compatLnSpc="1">
          <a:prstTxWarp prst="textNoShape">
            <a:avLst/>
          </a:prstTxWarp>
          <a:noAutofit/>
        </a:bodyPr>
        <a:lstStyle xmlns:a="http://schemas.openxmlformats.org/drawingml/2006/main"/>
        <a:p xmlns:a="http://schemas.openxmlformats.org/drawingml/2006/main">
          <a:pPr algn="just">
            <a:lnSpc>
              <a:spcPct val="107000"/>
            </a:lnSpc>
            <a:spcAft>
              <a:spcPts val="800"/>
            </a:spcAft>
          </a:pPr>
          <a:r>
            <a:rPr lang="sr-Cyrl-RS" sz="700" b="0">
              <a:solidFill>
                <a:srgbClr val="44546A"/>
              </a:solidFill>
              <a:effectLst/>
              <a:latin typeface="Times New Roman" panose="02020603050405020304" pitchFamily="18" charset="0"/>
              <a:ea typeface="Calibri" panose="020F0502020204030204" pitchFamily="34" charset="0"/>
              <a:cs typeface="Times New Roman" panose="02020603050405020304" pitchFamily="18" charset="0"/>
            </a:rPr>
            <a:t>Праг финансијског подиндекса (0,49)</a:t>
          </a:r>
          <a:endParaRPr lang="en-GB" sz="1000" b="0">
            <a:solidFill>
              <a:srgbClr val="44546A"/>
            </a:solidFill>
            <a:effectLst/>
            <a:latin typeface="Times New Roman" panose="02020603050405020304" pitchFamily="18" charset="0"/>
            <a:ea typeface="Calibri" panose="020F0502020204030204" pitchFamily="34" charset="0"/>
            <a:cs typeface="Times New Roman" panose="02020603050405020304" pitchFamily="18" charset="0"/>
          </a:endParaRPr>
        </a:p>
      </cdr:txBody>
    </cdr:sp>
  </cdr:relSizeAnchor>
  <cdr:relSizeAnchor xmlns:cdr="http://schemas.openxmlformats.org/drawingml/2006/chartDrawing">
    <cdr:from>
      <cdr:x>0.91728</cdr:x>
      <cdr:y>0.24173</cdr:y>
    </cdr:from>
    <cdr:to>
      <cdr:x>0.94693</cdr:x>
      <cdr:y>0.26079</cdr:y>
    </cdr:to>
    <cdr:cxnSp macro="">
      <cdr:nvCxnSpPr>
        <cdr:cNvPr id="8" name="Straight Arrow Connector 7"/>
        <cdr:cNvCxnSpPr/>
      </cdr:nvCxnSpPr>
      <cdr:spPr>
        <a:xfrm xmlns:a="http://schemas.openxmlformats.org/drawingml/2006/main" flipH="1">
          <a:off x="6138919" y="1245908"/>
          <a:ext cx="198381" cy="98237"/>
        </a:xfrm>
        <a:prstGeom xmlns:a="http://schemas.openxmlformats.org/drawingml/2006/main" prst="straightConnector1">
          <a:avLst/>
        </a:prstGeom>
        <a:ln xmlns:a="http://schemas.openxmlformats.org/drawingml/2006/main">
          <a:solidFill>
            <a:schemeClr val="tx1">
              <a:lumMod val="75000"/>
              <a:lumOff val="25000"/>
            </a:schemeClr>
          </a:solidFill>
          <a:prstDash val="sysDash"/>
          <a:tailEnd type="triangle"/>
        </a:ln>
      </cdr:spPr>
      <cdr:style>
        <a:lnRef xmlns:a="http://schemas.openxmlformats.org/drawingml/2006/main" idx="1">
          <a:schemeClr val="accent1"/>
        </a:lnRef>
        <a:fillRef xmlns:a="http://schemas.openxmlformats.org/drawingml/2006/main" idx="0">
          <a:schemeClr val="accent1"/>
        </a:fillRef>
        <a:effectRef xmlns:a="http://schemas.openxmlformats.org/drawingml/2006/main" idx="0">
          <a:schemeClr val="accent1"/>
        </a:effectRef>
        <a:fontRef xmlns:a="http://schemas.openxmlformats.org/drawingml/2006/main" idx="minor">
          <a:schemeClr val="tx1"/>
        </a:fontRef>
      </cdr:style>
    </cdr:cxnSp>
  </cdr:relSizeAnchor>
</c:userShapes>
</file>

<file path=word/drawings/drawing7.xml><?xml version="1.0" encoding="utf-8"?>
<c:userShapes xmlns:c="http://schemas.openxmlformats.org/drawingml/2006/chart">
  <cdr:relSizeAnchor xmlns:cdr="http://schemas.openxmlformats.org/drawingml/2006/chartDrawing">
    <cdr:from>
      <cdr:x>0.83237</cdr:x>
      <cdr:y>0.04452</cdr:y>
    </cdr:from>
    <cdr:to>
      <cdr:x>0.96904</cdr:x>
      <cdr:y>0.10408</cdr:y>
    </cdr:to>
    <cdr:sp macro="" textlink="">
      <cdr:nvSpPr>
        <cdr:cNvPr id="2" name="TextBox 1"/>
        <cdr:cNvSpPr txBox="1"/>
      </cdr:nvSpPr>
      <cdr:spPr>
        <a:xfrm xmlns:a="http://schemas.openxmlformats.org/drawingml/2006/main">
          <a:off x="5378606" y="170300"/>
          <a:ext cx="883129" cy="227845"/>
        </a:xfrm>
        <a:prstGeom xmlns:a="http://schemas.openxmlformats.org/drawingml/2006/main" prst="rect">
          <a:avLst/>
        </a:prstGeom>
      </cdr:spPr>
      <cdr:txBody>
        <a:bodyPr xmlns:a="http://schemas.openxmlformats.org/drawingml/2006/main" wrap="none" rtlCol="0"/>
        <a:lstStyle xmlns:a="http://schemas.openxmlformats.org/drawingml/2006/main"/>
        <a:p xmlns:a="http://schemas.openxmlformats.org/drawingml/2006/main">
          <a:endParaRPr lang="en-US" sz="1100">
            <a:latin typeface="+mj-lt"/>
          </a:endParaRPr>
        </a:p>
      </cdr:txBody>
    </cdr:sp>
  </cdr:relSizeAnchor>
</c:userShapes>
</file>

<file path=word/drawings/drawing8.xml><?xml version="1.0" encoding="utf-8"?>
<c:userShapes xmlns:c="http://schemas.openxmlformats.org/drawingml/2006/chart">
  <cdr:relSizeAnchor xmlns:cdr="http://schemas.openxmlformats.org/drawingml/2006/chartDrawing">
    <cdr:from>
      <cdr:x>0.81932</cdr:x>
      <cdr:y>0.0769</cdr:y>
    </cdr:from>
    <cdr:to>
      <cdr:x>0.82058</cdr:x>
      <cdr:y>0.9015</cdr:y>
    </cdr:to>
    <cdr:cxnSp macro="">
      <cdr:nvCxnSpPr>
        <cdr:cNvPr id="3" name="Straight Connector 2"/>
        <cdr:cNvCxnSpPr/>
      </cdr:nvCxnSpPr>
      <cdr:spPr>
        <a:xfrm xmlns:a="http://schemas.openxmlformats.org/drawingml/2006/main">
          <a:off x="6231367" y="342471"/>
          <a:ext cx="9583" cy="3672244"/>
        </a:xfrm>
        <a:prstGeom xmlns:a="http://schemas.openxmlformats.org/drawingml/2006/main" prst="line">
          <a:avLst/>
        </a:prstGeom>
        <a:ln xmlns:a="http://schemas.openxmlformats.org/drawingml/2006/main">
          <a:prstDash val="dash"/>
        </a:ln>
      </cdr:spPr>
      <cdr:style>
        <a:lnRef xmlns:a="http://schemas.openxmlformats.org/drawingml/2006/main" idx="1">
          <a:schemeClr val="dk1"/>
        </a:lnRef>
        <a:fillRef xmlns:a="http://schemas.openxmlformats.org/drawingml/2006/main" idx="0">
          <a:schemeClr val="dk1"/>
        </a:fillRef>
        <a:effectRef xmlns:a="http://schemas.openxmlformats.org/drawingml/2006/main" idx="0">
          <a:schemeClr val="dk1"/>
        </a:effectRef>
        <a:fontRef xmlns:a="http://schemas.openxmlformats.org/drawingml/2006/main" idx="minor">
          <a:schemeClr val="tx1"/>
        </a:fontRef>
      </cdr:style>
    </cdr:cxnSp>
  </cdr:relSizeAnchor>
</c:userShapes>
</file>

<file path=word/drawings/drawing9.xml><?xml version="1.0" encoding="utf-8"?>
<c:userShapes xmlns:c="http://schemas.openxmlformats.org/drawingml/2006/chart">
  <cdr:relSizeAnchor xmlns:cdr="http://schemas.openxmlformats.org/drawingml/2006/chartDrawing">
    <cdr:from>
      <cdr:x>0.105</cdr:x>
      <cdr:y>0.17764</cdr:y>
    </cdr:from>
    <cdr:to>
      <cdr:x>0.3287</cdr:x>
      <cdr:y>0.5815</cdr:y>
    </cdr:to>
    <cdr:sp macro="" textlink="">
      <cdr:nvSpPr>
        <cdr:cNvPr id="11" name="Oval 10"/>
        <cdr:cNvSpPr/>
      </cdr:nvSpPr>
      <cdr:spPr>
        <a:xfrm xmlns:a="http://schemas.openxmlformats.org/drawingml/2006/main">
          <a:off x="289560" y="424697"/>
          <a:ext cx="616931" cy="965539"/>
        </a:xfrm>
        <a:prstGeom xmlns:a="http://schemas.openxmlformats.org/drawingml/2006/main" prst="ellipse">
          <a:avLst/>
        </a:prstGeom>
        <a:solidFill xmlns:a="http://schemas.openxmlformats.org/drawingml/2006/main">
          <a:srgbClr val="51BBE7">
            <a:alpha val="16000"/>
          </a:srgbClr>
        </a:solidFill>
        <a:ln xmlns:a="http://schemas.openxmlformats.org/drawingml/2006/main">
          <a:solidFill>
            <a:srgbClr val="29489A">
              <a:alpha val="50000"/>
            </a:srgbClr>
          </a:solidFill>
        </a:ln>
      </cdr:spPr>
      <cdr:style>
        <a:lnRef xmlns:a="http://schemas.openxmlformats.org/drawingml/2006/main" idx="2">
          <a:schemeClr val="accent1">
            <a:shade val="50000"/>
          </a:schemeClr>
        </a:lnRef>
        <a:fillRef xmlns:a="http://schemas.openxmlformats.org/drawingml/2006/main" idx="1">
          <a:schemeClr val="accent1"/>
        </a:fillRef>
        <a:effectRef xmlns:a="http://schemas.openxmlformats.org/drawingml/2006/main" idx="0">
          <a:schemeClr val="accent1"/>
        </a:effectRef>
        <a:fontRef xmlns:a="http://schemas.openxmlformats.org/drawingml/2006/main" idx="minor">
          <a:schemeClr val="lt1"/>
        </a:fontRef>
      </cdr:style>
      <cdr:txBody>
        <a:bodyPr xmlns:a="http://schemas.openxmlformats.org/drawingml/2006/main" vertOverflow="clip"/>
        <a:lstStyle xmlns:a="http://schemas.openxmlformats.org/drawingml/2006/main"/>
        <a:p xmlns:a="http://schemas.openxmlformats.org/drawingml/2006/main">
          <a:endParaRPr lang="en-US"/>
        </a:p>
      </cdr:txBody>
    </cdr:sp>
  </cdr:relSizeAnchor>
  <cdr:relSizeAnchor xmlns:cdr="http://schemas.openxmlformats.org/drawingml/2006/chartDrawing">
    <cdr:from>
      <cdr:x>0.04835</cdr:x>
      <cdr:y>0.10757</cdr:y>
    </cdr:from>
    <cdr:to>
      <cdr:x>0.26918</cdr:x>
      <cdr:y>0.18693</cdr:y>
    </cdr:to>
    <cdr:sp macro="" textlink="">
      <cdr:nvSpPr>
        <cdr:cNvPr id="6" name="TextBox 5"/>
        <cdr:cNvSpPr txBox="1"/>
      </cdr:nvSpPr>
      <cdr:spPr>
        <a:xfrm xmlns:a="http://schemas.openxmlformats.org/drawingml/2006/main">
          <a:off x="133350" y="257175"/>
          <a:ext cx="608997" cy="189737"/>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sr-Cyrl-RS" sz="800" b="0" i="0" u="none" strike="noStrike" kern="1200" baseline="0">
              <a:solidFill>
                <a:srgbClr val="44546A"/>
              </a:solidFill>
              <a:effectLst/>
              <a:latin typeface="Times New Roman" panose="02020603050405020304" pitchFamily="18" charset="0"/>
              <a:ea typeface="+mn-ea"/>
              <a:cs typeface="+mn-cs"/>
            </a:rPr>
            <a:t>Експанзивна</a:t>
          </a:r>
          <a:r>
            <a:rPr lang="en-US" sz="600" baseline="0">
              <a:latin typeface="+mn-lt"/>
            </a:rPr>
            <a:t> </a:t>
          </a:r>
        </a:p>
      </cdr:txBody>
    </cdr:sp>
  </cdr:relSizeAnchor>
  <cdr:relSizeAnchor xmlns:cdr="http://schemas.openxmlformats.org/drawingml/2006/chartDrawing">
    <cdr:from>
      <cdr:x>0.34193</cdr:x>
      <cdr:y>0.71315</cdr:y>
    </cdr:from>
    <cdr:to>
      <cdr:x>0.59941</cdr:x>
      <cdr:y>0.79283</cdr:y>
    </cdr:to>
    <cdr:sp macro="" textlink="">
      <cdr:nvSpPr>
        <cdr:cNvPr id="7" name="TextBox 6"/>
        <cdr:cNvSpPr txBox="1"/>
      </cdr:nvSpPr>
      <cdr:spPr>
        <a:xfrm xmlns:a="http://schemas.openxmlformats.org/drawingml/2006/main">
          <a:off x="942975" y="1704975"/>
          <a:ext cx="710094" cy="190499"/>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sr-Cyrl-RS" sz="800" b="0" baseline="0">
              <a:solidFill>
                <a:srgbClr val="44546A"/>
              </a:solidFill>
              <a:latin typeface="Times New Roman" panose="02020603050405020304" pitchFamily="18" charset="0"/>
              <a:cs typeface="Times New Roman" pitchFamily="18" charset="0"/>
            </a:rPr>
            <a:t>Рестриктивна</a:t>
          </a:r>
          <a:endParaRPr lang="en-US" sz="800" b="0" baseline="0">
            <a:solidFill>
              <a:srgbClr val="44546A"/>
            </a:solidFill>
            <a:latin typeface="Times New Roman" panose="02020603050405020304" pitchFamily="18" charset="0"/>
            <a:cs typeface="Times New Roman" pitchFamily="18" charset="0"/>
          </a:endParaRPr>
        </a:p>
      </cdr:txBody>
    </cdr:sp>
  </cdr:relSizeAnchor>
  <cdr:relSizeAnchor xmlns:cdr="http://schemas.openxmlformats.org/drawingml/2006/chartDrawing">
    <cdr:from>
      <cdr:x>0.3287</cdr:x>
      <cdr:y>0.24444</cdr:y>
    </cdr:from>
    <cdr:to>
      <cdr:x>0.41157</cdr:x>
      <cdr:y>0.61707</cdr:y>
    </cdr:to>
    <cdr:sp macro="" textlink="">
      <cdr:nvSpPr>
        <cdr:cNvPr id="12" name="Oval 11"/>
        <cdr:cNvSpPr/>
      </cdr:nvSpPr>
      <cdr:spPr>
        <a:xfrm xmlns:a="http://schemas.openxmlformats.org/drawingml/2006/main">
          <a:off x="2304576" y="1115251"/>
          <a:ext cx="581025" cy="1700115"/>
        </a:xfrm>
        <a:prstGeom xmlns:a="http://schemas.openxmlformats.org/drawingml/2006/main" prst="ellipse">
          <a:avLst/>
        </a:prstGeom>
        <a:solidFill xmlns:a="http://schemas.openxmlformats.org/drawingml/2006/main">
          <a:schemeClr val="accent3">
            <a:lumMod val="40000"/>
            <a:lumOff val="60000"/>
            <a:alpha val="15000"/>
          </a:schemeClr>
        </a:solidFill>
        <a:ln xmlns:a="http://schemas.openxmlformats.org/drawingml/2006/main">
          <a:solidFill>
            <a:schemeClr val="accent3">
              <a:alpha val="50000"/>
            </a:schemeClr>
          </a:solidFill>
        </a:ln>
      </cdr:spPr>
      <cdr:style>
        <a:lnRef xmlns:a="http://schemas.openxmlformats.org/drawingml/2006/main" idx="2">
          <a:schemeClr val="accent1">
            <a:shade val="50000"/>
          </a:schemeClr>
        </a:lnRef>
        <a:fillRef xmlns:a="http://schemas.openxmlformats.org/drawingml/2006/main" idx="1">
          <a:schemeClr val="accent1"/>
        </a:fillRef>
        <a:effectRef xmlns:a="http://schemas.openxmlformats.org/drawingml/2006/main" idx="0">
          <a:schemeClr val="accent1"/>
        </a:effectRef>
        <a:fontRef xmlns:a="http://schemas.openxmlformats.org/drawingml/2006/main" idx="minor">
          <a:schemeClr val="lt1"/>
        </a:fontRef>
      </cdr:style>
      <cdr:txBody>
        <a:bodyPr xmlns:a="http://schemas.openxmlformats.org/drawingml/2006/main" vertOverflow="clip"/>
        <a:lstStyle xmlns:a="http://schemas.openxmlformats.org/drawingml/2006/main"/>
        <a:p xmlns:a="http://schemas.openxmlformats.org/drawingml/2006/main">
          <a:endParaRPr lang="en-US">
            <a:latin typeface="Cambria" pitchFamily="18" charset="0"/>
          </a:endParaRPr>
        </a:p>
      </cdr:txBody>
    </cdr:sp>
  </cdr:relSizeAnchor>
  <cdr:relSizeAnchor xmlns:cdr="http://schemas.openxmlformats.org/drawingml/2006/chartDrawing">
    <cdr:from>
      <cdr:x>0.56041</cdr:x>
      <cdr:y>0.13825</cdr:y>
    </cdr:from>
    <cdr:to>
      <cdr:x>0.72635</cdr:x>
      <cdr:y>0.19124</cdr:y>
    </cdr:to>
    <cdr:sp macro="" textlink="">
      <cdr:nvSpPr>
        <cdr:cNvPr id="17" name="TextBox 16"/>
        <cdr:cNvSpPr txBox="1"/>
      </cdr:nvSpPr>
      <cdr:spPr>
        <a:xfrm xmlns:a="http://schemas.openxmlformats.org/drawingml/2006/main">
          <a:off x="3667126" y="571500"/>
          <a:ext cx="1085850" cy="219075"/>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endParaRPr lang="en-US" sz="1100"/>
        </a:p>
      </cdr:txBody>
    </cdr:sp>
  </cdr:relSizeAnchor>
  <cdr:relSizeAnchor xmlns:cdr="http://schemas.openxmlformats.org/drawingml/2006/chartDrawing">
    <cdr:from>
      <cdr:x>0.09671</cdr:x>
      <cdr:y>0.23506</cdr:y>
    </cdr:from>
    <cdr:to>
      <cdr:x>0.37136</cdr:x>
      <cdr:y>0.33226</cdr:y>
    </cdr:to>
    <cdr:sp macro="" textlink="">
      <cdr:nvSpPr>
        <cdr:cNvPr id="18" name="TextBox 17"/>
        <cdr:cNvSpPr txBox="1"/>
      </cdr:nvSpPr>
      <cdr:spPr>
        <a:xfrm xmlns:a="http://schemas.openxmlformats.org/drawingml/2006/main">
          <a:off x="266700" y="561975"/>
          <a:ext cx="757426" cy="232387"/>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sr-Cyrl-RS" sz="600" b="0" baseline="0">
              <a:solidFill>
                <a:srgbClr val="44546A"/>
              </a:solidFill>
              <a:latin typeface="+mn-lt"/>
              <a:cs typeface="Times New Roman" pitchFamily="18" charset="0"/>
            </a:rPr>
            <a:t>Проциклична</a:t>
          </a:r>
          <a:endParaRPr lang="en-US" sz="600" b="0" baseline="0">
            <a:solidFill>
              <a:srgbClr val="44546A"/>
            </a:solidFill>
            <a:latin typeface="+mn-lt"/>
            <a:cs typeface="Times New Roman" pitchFamily="18" charset="0"/>
          </a:endParaRPr>
        </a:p>
      </cdr:txBody>
    </cdr:sp>
  </cdr:relSizeAnchor>
  <cdr:relSizeAnchor xmlns:cdr="http://schemas.openxmlformats.org/drawingml/2006/chartDrawing">
    <cdr:from>
      <cdr:x>0.23141</cdr:x>
      <cdr:y>0.5317</cdr:y>
    </cdr:from>
    <cdr:to>
      <cdr:x>0.5388</cdr:x>
      <cdr:y>0.62549</cdr:y>
    </cdr:to>
    <cdr:sp macro="" textlink="">
      <cdr:nvSpPr>
        <cdr:cNvPr id="19" name="TextBox 18"/>
        <cdr:cNvSpPr txBox="1"/>
      </cdr:nvSpPr>
      <cdr:spPr>
        <a:xfrm xmlns:a="http://schemas.openxmlformats.org/drawingml/2006/main">
          <a:off x="638177" y="1271183"/>
          <a:ext cx="847722" cy="224230"/>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sr-Cyrl-RS" sz="800" b="0" baseline="0">
              <a:solidFill>
                <a:srgbClr val="44546A"/>
              </a:solidFill>
              <a:latin typeface="Times New Roman" panose="02020603050405020304" pitchFamily="18" charset="0"/>
              <a:cs typeface="Times New Roman" pitchFamily="18" charset="0"/>
            </a:rPr>
            <a:t>Контрациклична</a:t>
          </a:r>
          <a:endParaRPr lang="en-US" sz="800" b="0" baseline="0">
            <a:solidFill>
              <a:srgbClr val="44546A"/>
            </a:solidFill>
            <a:latin typeface="Times New Roman" panose="02020603050405020304" pitchFamily="18" charset="0"/>
            <a:cs typeface="Times New Roman" pitchFamily="18" charset="0"/>
          </a:endParaRPr>
        </a:p>
      </cdr:txBody>
    </cdr:sp>
  </cdr:relSizeAnchor>
  <cdr:relSizeAnchor xmlns:cdr="http://schemas.openxmlformats.org/drawingml/2006/chartDrawing">
    <cdr:from>
      <cdr:x>0.41429</cdr:x>
      <cdr:y>0.1902</cdr:y>
    </cdr:from>
    <cdr:to>
      <cdr:x>0.58393</cdr:x>
      <cdr:y>0.7217</cdr:y>
    </cdr:to>
    <cdr:sp macro="" textlink="">
      <cdr:nvSpPr>
        <cdr:cNvPr id="10" name="Oval 9"/>
        <cdr:cNvSpPr/>
      </cdr:nvSpPr>
      <cdr:spPr>
        <a:xfrm xmlns:a="http://schemas.openxmlformats.org/drawingml/2006/main">
          <a:off x="1142531" y="454725"/>
          <a:ext cx="467829" cy="1270697"/>
        </a:xfrm>
        <a:prstGeom xmlns:a="http://schemas.openxmlformats.org/drawingml/2006/main" prst="ellipse">
          <a:avLst/>
        </a:prstGeom>
        <a:solidFill xmlns:a="http://schemas.openxmlformats.org/drawingml/2006/main">
          <a:srgbClr val="51BBE7">
            <a:alpha val="15000"/>
          </a:srgbClr>
        </a:solidFill>
        <a:ln xmlns:a="http://schemas.openxmlformats.org/drawingml/2006/main">
          <a:solidFill>
            <a:schemeClr val="accent1">
              <a:shade val="50000"/>
              <a:alpha val="50000"/>
            </a:schemeClr>
          </a:solidFill>
        </a:ln>
      </cdr:spPr>
      <cdr:style>
        <a:lnRef xmlns:a="http://schemas.openxmlformats.org/drawingml/2006/main" idx="2">
          <a:schemeClr val="accent1">
            <a:shade val="50000"/>
          </a:schemeClr>
        </a:lnRef>
        <a:fillRef xmlns:a="http://schemas.openxmlformats.org/drawingml/2006/main" idx="1">
          <a:schemeClr val="accent1"/>
        </a:fillRef>
        <a:effectRef xmlns:a="http://schemas.openxmlformats.org/drawingml/2006/main" idx="0">
          <a:schemeClr val="accent1"/>
        </a:effectRef>
        <a:fontRef xmlns:a="http://schemas.openxmlformats.org/drawingml/2006/main" idx="minor">
          <a:schemeClr val="lt1"/>
        </a:fontRef>
      </cdr:style>
      <cdr:txBody>
        <a:bodyPr xmlns:a="http://schemas.openxmlformats.org/drawingml/2006/main" vertOverflow="clip"/>
        <a:lstStyle xmlns:a="http://schemas.openxmlformats.org/drawingml/2006/main"/>
        <a:p xmlns:a="http://schemas.openxmlformats.org/drawingml/2006/main">
          <a:endParaRPr lang="en-US"/>
        </a:p>
      </cdr:txBody>
    </cdr:sp>
  </cdr:relSizeAnchor>
  <cdr:relSizeAnchor xmlns:cdr="http://schemas.openxmlformats.org/drawingml/2006/chartDrawing">
    <cdr:from>
      <cdr:x>0.39028</cdr:x>
      <cdr:y>0.3004</cdr:y>
    </cdr:from>
    <cdr:to>
      <cdr:x>0.62169</cdr:x>
      <cdr:y>0.38645</cdr:y>
    </cdr:to>
    <cdr:sp macro="" textlink="">
      <cdr:nvSpPr>
        <cdr:cNvPr id="13" name="TextBox 12"/>
        <cdr:cNvSpPr txBox="1"/>
      </cdr:nvSpPr>
      <cdr:spPr>
        <a:xfrm xmlns:a="http://schemas.openxmlformats.org/drawingml/2006/main">
          <a:off x="1076325" y="718199"/>
          <a:ext cx="638175" cy="205726"/>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sr-Cyrl-CS" sz="800" b="0" baseline="0">
              <a:solidFill>
                <a:srgbClr val="44546A"/>
              </a:solidFill>
              <a:latin typeface="Times New Roman" panose="02020603050405020304" pitchFamily="18" charset="0"/>
            </a:rPr>
            <a:t>Проциклична</a:t>
          </a:r>
          <a:endParaRPr lang="en-US" sz="800" b="0" baseline="0">
            <a:solidFill>
              <a:srgbClr val="44546A"/>
            </a:solidFill>
            <a:latin typeface="Times New Roman" panose="02020603050405020304" pitchFamily="18" charset="0"/>
          </a:endParaRPr>
        </a:p>
      </cdr:txBody>
    </cdr:sp>
  </cdr:relSizeAnchor>
  <cdr:relSizeAnchor xmlns:cdr="http://schemas.openxmlformats.org/drawingml/2006/chartDrawing">
    <cdr:from>
      <cdr:x>0.52838</cdr:x>
      <cdr:y>0.08367</cdr:y>
    </cdr:from>
    <cdr:to>
      <cdr:x>0.79093</cdr:x>
      <cdr:y>0.11404</cdr:y>
    </cdr:to>
    <cdr:sp macro="" textlink="">
      <cdr:nvSpPr>
        <cdr:cNvPr id="15" name="TextBox 1"/>
        <cdr:cNvSpPr txBox="1"/>
      </cdr:nvSpPr>
      <cdr:spPr>
        <a:xfrm xmlns:a="http://schemas.openxmlformats.org/drawingml/2006/main">
          <a:off x="1457163" y="200025"/>
          <a:ext cx="724062" cy="72620"/>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sr-Cyrl-RS" sz="800" b="0" i="0" u="none" strike="noStrike" kern="1200" baseline="0">
              <a:solidFill>
                <a:srgbClr val="44546A"/>
              </a:solidFill>
              <a:effectLst/>
              <a:latin typeface="Times New Roman" panose="02020603050405020304" pitchFamily="18" charset="0"/>
              <a:ea typeface="+mn-ea"/>
              <a:cs typeface="Times New Roman" panose="02020603050405020304" pitchFamily="18" charset="0"/>
            </a:rPr>
            <a:t>Експанзивна</a:t>
          </a:r>
          <a:r>
            <a:rPr lang="en-US" sz="800" baseline="0">
              <a:latin typeface="Times New Roman" panose="02020603050405020304" pitchFamily="18" charset="0"/>
              <a:cs typeface="Times New Roman" panose="02020603050405020304" pitchFamily="18" charset="0"/>
            </a:rPr>
            <a:t> </a:t>
          </a:r>
        </a:p>
      </cdr:txBody>
    </cdr:sp>
  </cdr:relSizeAnchor>
  <cdr:relSizeAnchor xmlns:cdr="http://schemas.openxmlformats.org/drawingml/2006/chartDrawing">
    <cdr:from>
      <cdr:x>0.58761</cdr:x>
      <cdr:y>0.09391</cdr:y>
    </cdr:from>
    <cdr:to>
      <cdr:x>0.85102</cdr:x>
      <cdr:y>0.75514</cdr:y>
    </cdr:to>
    <cdr:sp macro="" textlink="">
      <cdr:nvSpPr>
        <cdr:cNvPr id="16" name="Oval 15"/>
        <cdr:cNvSpPr/>
      </cdr:nvSpPr>
      <cdr:spPr>
        <a:xfrm xmlns:a="http://schemas.openxmlformats.org/drawingml/2006/main">
          <a:off x="1620521" y="224518"/>
          <a:ext cx="726439" cy="1580852"/>
        </a:xfrm>
        <a:prstGeom xmlns:a="http://schemas.openxmlformats.org/drawingml/2006/main" prst="ellipse">
          <a:avLst/>
        </a:prstGeom>
        <a:solidFill xmlns:a="http://schemas.openxmlformats.org/drawingml/2006/main">
          <a:schemeClr val="accent3">
            <a:lumMod val="40000"/>
            <a:lumOff val="60000"/>
            <a:alpha val="15000"/>
          </a:schemeClr>
        </a:solidFill>
        <a:ln xmlns:a="http://schemas.openxmlformats.org/drawingml/2006/main">
          <a:solidFill>
            <a:schemeClr val="accent3">
              <a:alpha val="50000"/>
            </a:schemeClr>
          </a:solidFill>
        </a:ln>
      </cdr:spPr>
      <cdr:style>
        <a:lnRef xmlns:a="http://schemas.openxmlformats.org/drawingml/2006/main" idx="2">
          <a:schemeClr val="accent1">
            <a:shade val="50000"/>
          </a:schemeClr>
        </a:lnRef>
        <a:fillRef xmlns:a="http://schemas.openxmlformats.org/drawingml/2006/main" idx="1">
          <a:schemeClr val="accent1"/>
        </a:fillRef>
        <a:effectRef xmlns:a="http://schemas.openxmlformats.org/drawingml/2006/main" idx="0">
          <a:schemeClr val="accent1"/>
        </a:effectRef>
        <a:fontRef xmlns:a="http://schemas.openxmlformats.org/drawingml/2006/main" idx="minor">
          <a:schemeClr val="lt1"/>
        </a:fontRef>
      </cdr:style>
      <cdr:txBody>
        <a:bodyPr xmlns:a="http://schemas.openxmlformats.org/drawingml/2006/main"/>
        <a:lstStyle xmlns:a="http://schemas.openxmlformats.org/drawingml/2006/main">
          <a:lvl1pPr marL="0" indent="0">
            <a:defRPr sz="1100">
              <a:solidFill>
                <a:schemeClr val="lt1"/>
              </a:solidFill>
              <a:latin typeface="+mn-lt"/>
              <a:ea typeface="+mn-ea"/>
              <a:cs typeface="+mn-cs"/>
            </a:defRPr>
          </a:lvl1pPr>
          <a:lvl2pPr marL="457200" indent="0">
            <a:defRPr sz="1100">
              <a:solidFill>
                <a:schemeClr val="lt1"/>
              </a:solidFill>
              <a:latin typeface="+mn-lt"/>
              <a:ea typeface="+mn-ea"/>
              <a:cs typeface="+mn-cs"/>
            </a:defRPr>
          </a:lvl2pPr>
          <a:lvl3pPr marL="914400" indent="0">
            <a:defRPr sz="1100">
              <a:solidFill>
                <a:schemeClr val="lt1"/>
              </a:solidFill>
              <a:latin typeface="+mn-lt"/>
              <a:ea typeface="+mn-ea"/>
              <a:cs typeface="+mn-cs"/>
            </a:defRPr>
          </a:lvl3pPr>
          <a:lvl4pPr marL="1371600" indent="0">
            <a:defRPr sz="1100">
              <a:solidFill>
                <a:schemeClr val="lt1"/>
              </a:solidFill>
              <a:latin typeface="+mn-lt"/>
              <a:ea typeface="+mn-ea"/>
              <a:cs typeface="+mn-cs"/>
            </a:defRPr>
          </a:lvl4pPr>
          <a:lvl5pPr marL="1828800" indent="0">
            <a:defRPr sz="1100">
              <a:solidFill>
                <a:schemeClr val="lt1"/>
              </a:solidFill>
              <a:latin typeface="+mn-lt"/>
              <a:ea typeface="+mn-ea"/>
              <a:cs typeface="+mn-cs"/>
            </a:defRPr>
          </a:lvl5pPr>
          <a:lvl6pPr marL="2286000" indent="0">
            <a:defRPr sz="1100">
              <a:solidFill>
                <a:schemeClr val="lt1"/>
              </a:solidFill>
              <a:latin typeface="+mn-lt"/>
              <a:ea typeface="+mn-ea"/>
              <a:cs typeface="+mn-cs"/>
            </a:defRPr>
          </a:lvl6pPr>
          <a:lvl7pPr marL="2743200" indent="0">
            <a:defRPr sz="1100">
              <a:solidFill>
                <a:schemeClr val="lt1"/>
              </a:solidFill>
              <a:latin typeface="+mn-lt"/>
              <a:ea typeface="+mn-ea"/>
              <a:cs typeface="+mn-cs"/>
            </a:defRPr>
          </a:lvl7pPr>
          <a:lvl8pPr marL="3200400" indent="0">
            <a:defRPr sz="1100">
              <a:solidFill>
                <a:schemeClr val="lt1"/>
              </a:solidFill>
              <a:latin typeface="+mn-lt"/>
              <a:ea typeface="+mn-ea"/>
              <a:cs typeface="+mn-cs"/>
            </a:defRPr>
          </a:lvl8pPr>
          <a:lvl9pPr marL="3657600" indent="0">
            <a:defRPr sz="1100">
              <a:solidFill>
                <a:schemeClr val="lt1"/>
              </a:solidFill>
              <a:latin typeface="+mn-lt"/>
              <a:ea typeface="+mn-ea"/>
              <a:cs typeface="+mn-cs"/>
            </a:defRPr>
          </a:lvl9pPr>
        </a:lstStyle>
        <a:p xmlns:a="http://schemas.openxmlformats.org/drawingml/2006/main">
          <a:endParaRPr lang="en-US">
            <a:effectLst/>
          </a:endParaRPr>
        </a:p>
      </cdr:txBody>
    </cdr:sp>
  </cdr:relSizeAnchor>
  <cdr:relSizeAnchor xmlns:cdr="http://schemas.openxmlformats.org/drawingml/2006/chartDrawing">
    <cdr:from>
      <cdr:x>0.59406</cdr:x>
      <cdr:y>0.60242</cdr:y>
    </cdr:from>
    <cdr:to>
      <cdr:x>0.88418</cdr:x>
      <cdr:y>0.66932</cdr:y>
    </cdr:to>
    <cdr:sp macro="" textlink="">
      <cdr:nvSpPr>
        <cdr:cNvPr id="20" name="TextBox 1"/>
        <cdr:cNvSpPr txBox="1"/>
      </cdr:nvSpPr>
      <cdr:spPr>
        <a:xfrm xmlns:a="http://schemas.openxmlformats.org/drawingml/2006/main">
          <a:off x="1638300" y="1440252"/>
          <a:ext cx="800099" cy="159948"/>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sr-Cyrl-RS" sz="800" b="0" baseline="0">
              <a:solidFill>
                <a:srgbClr val="44546A"/>
              </a:solidFill>
              <a:latin typeface="Times New Roman" panose="02020603050405020304" pitchFamily="18" charset="0"/>
              <a:cs typeface="Times New Roman" pitchFamily="18" charset="0"/>
            </a:rPr>
            <a:t>Контрациклична</a:t>
          </a:r>
          <a:endParaRPr lang="en-US" sz="800" b="0" baseline="0">
            <a:solidFill>
              <a:srgbClr val="44546A"/>
            </a:solidFill>
            <a:latin typeface="Times New Roman" panose="02020603050405020304" pitchFamily="18" charset="0"/>
            <a:cs typeface="Times New Roman" pitchFamily="18" charset="0"/>
          </a:endParaRPr>
        </a:p>
      </cdr:txBody>
    </cdr:sp>
  </cdr:relSizeAnchor>
</c:userShapes>
</file>

<file path=word/drawings/drawing10.xml><?xml version="1.0" encoding="utf-8"?>
<c:userShapes xmlns:c="http://schemas.openxmlformats.org/drawingml/2006/chart">
  <cdr:relSizeAnchor xmlns:cdr="http://schemas.openxmlformats.org/drawingml/2006/chartDrawing">
    <cdr:from>
      <cdr:x>0.04375</cdr:x>
      <cdr:y>0.88368</cdr:y>
    </cdr:from>
    <cdr:to>
      <cdr:x>0.16667</cdr:x>
      <cdr:y>0.93576</cdr:y>
    </cdr:to>
    <cdr:sp macro="" textlink="">
      <cdr:nvSpPr>
        <cdr:cNvPr id="2" name="TextBox 1"/>
        <cdr:cNvSpPr txBox="1"/>
      </cdr:nvSpPr>
      <cdr:spPr>
        <a:xfrm xmlns:a="http://schemas.openxmlformats.org/drawingml/2006/main">
          <a:off x="200025" y="2424113"/>
          <a:ext cx="561975" cy="142875"/>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endParaRPr lang="sr-Cyrl-CS" sz="1100"/>
        </a:p>
      </cdr:txBody>
    </cdr:sp>
  </cdr:relSizeAnchor>
  <cdr:relSizeAnchor xmlns:cdr="http://schemas.openxmlformats.org/drawingml/2006/chartDrawing">
    <cdr:from>
      <cdr:x>0.04792</cdr:x>
      <cdr:y>0.73785</cdr:y>
    </cdr:from>
    <cdr:to>
      <cdr:x>0.24167</cdr:x>
      <cdr:y>0.86979</cdr:y>
    </cdr:to>
    <cdr:sp macro="" textlink="">
      <cdr:nvSpPr>
        <cdr:cNvPr id="3" name="TextBox 2"/>
        <cdr:cNvSpPr txBox="1"/>
      </cdr:nvSpPr>
      <cdr:spPr>
        <a:xfrm xmlns:a="http://schemas.openxmlformats.org/drawingml/2006/main">
          <a:off x="228061" y="2482144"/>
          <a:ext cx="922095" cy="443849"/>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endParaRPr lang="sr-Cyrl-CS" sz="800">
            <a:latin typeface="+mj-lt"/>
          </a:endParaRPr>
        </a:p>
      </cdr:txBody>
    </cdr:sp>
  </cdr:relSizeAnchor>
  <cdr:relSizeAnchor xmlns:cdr="http://schemas.openxmlformats.org/drawingml/2006/chartDrawing">
    <cdr:from>
      <cdr:x>0.66875</cdr:x>
      <cdr:y>0.74826</cdr:y>
    </cdr:from>
    <cdr:to>
      <cdr:x>0.9125</cdr:x>
      <cdr:y>0.84549</cdr:y>
    </cdr:to>
    <cdr:sp macro="" textlink="">
      <cdr:nvSpPr>
        <cdr:cNvPr id="4" name="TextBox 3"/>
        <cdr:cNvSpPr txBox="1"/>
      </cdr:nvSpPr>
      <cdr:spPr>
        <a:xfrm xmlns:a="http://schemas.openxmlformats.org/drawingml/2006/main">
          <a:off x="3057525" y="2052638"/>
          <a:ext cx="1114425" cy="266700"/>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endParaRPr lang="sr-Cyrl-CS" sz="1100"/>
        </a:p>
      </cdr:txBody>
    </cdr:sp>
  </cdr:relSizeAnchor>
  <cdr:relSizeAnchor xmlns:cdr="http://schemas.openxmlformats.org/drawingml/2006/chartDrawing">
    <cdr:from>
      <cdr:x>0.76703</cdr:x>
      <cdr:y>0.16819</cdr:y>
    </cdr:from>
    <cdr:to>
      <cdr:x>0.98856</cdr:x>
      <cdr:y>0.2903</cdr:y>
    </cdr:to>
    <cdr:sp macro="" textlink="">
      <cdr:nvSpPr>
        <cdr:cNvPr id="5" name="TextBox 1"/>
        <cdr:cNvSpPr txBox="1"/>
      </cdr:nvSpPr>
      <cdr:spPr>
        <a:xfrm xmlns:a="http://schemas.openxmlformats.org/drawingml/2006/main">
          <a:off x="3650440" y="565780"/>
          <a:ext cx="1054306" cy="410781"/>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endParaRPr lang="sr-Cyrl-CS" sz="800">
            <a:latin typeface="+mj-lt"/>
          </a:endParaRPr>
        </a:p>
      </cdr:txBody>
    </cdr:sp>
  </cdr:relSizeAnchor>
  <cdr:relSizeAnchor xmlns:cdr="http://schemas.openxmlformats.org/drawingml/2006/chartDrawing">
    <cdr:from>
      <cdr:x>0.73125</cdr:x>
      <cdr:y>0.8206</cdr:y>
    </cdr:from>
    <cdr:to>
      <cdr:x>0.95417</cdr:x>
      <cdr:y>0.94271</cdr:y>
    </cdr:to>
    <cdr:sp macro="" textlink="">
      <cdr:nvSpPr>
        <cdr:cNvPr id="6" name="TextBox 1"/>
        <cdr:cNvSpPr txBox="1"/>
      </cdr:nvSpPr>
      <cdr:spPr>
        <a:xfrm xmlns:a="http://schemas.openxmlformats.org/drawingml/2006/main">
          <a:off x="3480164" y="2760516"/>
          <a:ext cx="1060921" cy="410781"/>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endParaRPr lang="sr-Cyrl-CS" sz="800">
            <a:latin typeface="+mj-lt"/>
          </a:endParaRPr>
        </a:p>
      </cdr:txBody>
    </cdr:sp>
  </cdr:relSizeAnchor>
  <cdr:relSizeAnchor xmlns:cdr="http://schemas.openxmlformats.org/drawingml/2006/chartDrawing">
    <cdr:from>
      <cdr:x>0.04928</cdr:x>
      <cdr:y>0.22036</cdr:y>
    </cdr:from>
    <cdr:to>
      <cdr:x>0.27219</cdr:x>
      <cdr:y>0.34247</cdr:y>
    </cdr:to>
    <cdr:sp macro="" textlink="">
      <cdr:nvSpPr>
        <cdr:cNvPr id="7" name="TextBox 1"/>
        <cdr:cNvSpPr txBox="1"/>
      </cdr:nvSpPr>
      <cdr:spPr>
        <a:xfrm xmlns:a="http://schemas.openxmlformats.org/drawingml/2006/main">
          <a:off x="234530" y="741312"/>
          <a:ext cx="1060873" cy="410780"/>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endParaRPr lang="sr-Cyrl-CS" sz="800">
            <a:latin typeface="Cambria" panose="02040503050406030204" pitchFamily="18" charset="0"/>
          </a:endParaRPr>
        </a:p>
      </cdr:txBody>
    </cdr:sp>
  </cdr:relSizeAnchor>
  <cdr:relSizeAnchor xmlns:cdr="http://schemas.openxmlformats.org/drawingml/2006/chartDrawing">
    <cdr:from>
      <cdr:x>0.04375</cdr:x>
      <cdr:y>0.88368</cdr:y>
    </cdr:from>
    <cdr:to>
      <cdr:x>0.16667</cdr:x>
      <cdr:y>0.93576</cdr:y>
    </cdr:to>
    <cdr:sp macro="" textlink="">
      <cdr:nvSpPr>
        <cdr:cNvPr id="14" name="TextBox 1"/>
        <cdr:cNvSpPr txBox="1"/>
      </cdr:nvSpPr>
      <cdr:spPr>
        <a:xfrm xmlns:a="http://schemas.openxmlformats.org/drawingml/2006/main">
          <a:off x="200025" y="2424113"/>
          <a:ext cx="561975" cy="142875"/>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endParaRPr lang="sr-Cyrl-CS" sz="1100"/>
        </a:p>
      </cdr:txBody>
    </cdr:sp>
  </cdr:relSizeAnchor>
  <cdr:relSizeAnchor xmlns:cdr="http://schemas.openxmlformats.org/drawingml/2006/chartDrawing">
    <cdr:from>
      <cdr:x>0</cdr:x>
      <cdr:y>0.90228</cdr:y>
    </cdr:from>
    <cdr:to>
      <cdr:x>0.32492</cdr:x>
      <cdr:y>1</cdr:y>
    </cdr:to>
    <cdr:sp macro="" textlink="">
      <cdr:nvSpPr>
        <cdr:cNvPr id="15" name="TextBox 2"/>
        <cdr:cNvSpPr txBox="1"/>
      </cdr:nvSpPr>
      <cdr:spPr>
        <a:xfrm xmlns:a="http://schemas.openxmlformats.org/drawingml/2006/main">
          <a:off x="-4114800" y="3042353"/>
          <a:ext cx="923920" cy="329497"/>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sr-Cyrl-CS" sz="900" b="0">
              <a:solidFill>
                <a:srgbClr val="44546A"/>
              </a:solidFill>
              <a:latin typeface="Times New Roman" panose="02020603050405020304" pitchFamily="18" charset="0"/>
            </a:rPr>
            <a:t>проциклично</a:t>
          </a:r>
          <a:r>
            <a:rPr lang="sr-Cyrl-CS" sz="900" b="0" baseline="0">
              <a:solidFill>
                <a:srgbClr val="44546A"/>
              </a:solidFill>
              <a:latin typeface="Times New Roman" panose="02020603050405020304" pitchFamily="18" charset="0"/>
            </a:rPr>
            <a:t> - рестриктивна</a:t>
          </a:r>
          <a:endParaRPr lang="sr-Cyrl-CS" sz="900" b="0">
            <a:solidFill>
              <a:srgbClr val="44546A"/>
            </a:solidFill>
            <a:latin typeface="Times New Roman" panose="02020603050405020304" pitchFamily="18" charset="0"/>
          </a:endParaRPr>
        </a:p>
      </cdr:txBody>
    </cdr:sp>
  </cdr:relSizeAnchor>
  <cdr:relSizeAnchor xmlns:cdr="http://schemas.openxmlformats.org/drawingml/2006/chartDrawing">
    <cdr:from>
      <cdr:x>0.66875</cdr:x>
      <cdr:y>0.74826</cdr:y>
    </cdr:from>
    <cdr:to>
      <cdr:x>0.9125</cdr:x>
      <cdr:y>0.84549</cdr:y>
    </cdr:to>
    <cdr:sp macro="" textlink="">
      <cdr:nvSpPr>
        <cdr:cNvPr id="16" name="TextBox 3"/>
        <cdr:cNvSpPr txBox="1"/>
      </cdr:nvSpPr>
      <cdr:spPr>
        <a:xfrm xmlns:a="http://schemas.openxmlformats.org/drawingml/2006/main">
          <a:off x="3057525" y="2052638"/>
          <a:ext cx="1114425" cy="266700"/>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endParaRPr lang="sr-Cyrl-CS" sz="1100"/>
        </a:p>
      </cdr:txBody>
    </cdr:sp>
  </cdr:relSizeAnchor>
  <cdr:relSizeAnchor xmlns:cdr="http://schemas.openxmlformats.org/drawingml/2006/chartDrawing">
    <cdr:from>
      <cdr:x>0.68919</cdr:x>
      <cdr:y>0</cdr:y>
    </cdr:from>
    <cdr:to>
      <cdr:x>1</cdr:x>
      <cdr:y>0.09594</cdr:y>
    </cdr:to>
    <cdr:sp macro="" textlink="">
      <cdr:nvSpPr>
        <cdr:cNvPr id="17" name="TextBox 1"/>
        <cdr:cNvSpPr txBox="1"/>
      </cdr:nvSpPr>
      <cdr:spPr>
        <a:xfrm xmlns:a="http://schemas.openxmlformats.org/drawingml/2006/main">
          <a:off x="3886201" y="0"/>
          <a:ext cx="1752599" cy="330806"/>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sr-Cyrl-CS" sz="900" b="0">
              <a:solidFill>
                <a:srgbClr val="44546A"/>
              </a:solidFill>
              <a:latin typeface="Times New Roman" panose="02020603050405020304" pitchFamily="18" charset="0"/>
            </a:rPr>
            <a:t>проциклично</a:t>
          </a:r>
          <a:r>
            <a:rPr lang="sr-Cyrl-CS" sz="900" b="0" baseline="0">
              <a:solidFill>
                <a:srgbClr val="44546A"/>
              </a:solidFill>
              <a:latin typeface="Times New Roman" panose="02020603050405020304" pitchFamily="18" charset="0"/>
            </a:rPr>
            <a:t> - експанзивна</a:t>
          </a:r>
        </a:p>
      </cdr:txBody>
    </cdr:sp>
  </cdr:relSizeAnchor>
  <cdr:relSizeAnchor xmlns:cdr="http://schemas.openxmlformats.org/drawingml/2006/chartDrawing">
    <cdr:from>
      <cdr:x>0.67736</cdr:x>
      <cdr:y>0.90748</cdr:y>
    </cdr:from>
    <cdr:to>
      <cdr:x>1</cdr:x>
      <cdr:y>1</cdr:y>
    </cdr:to>
    <cdr:sp macro="" textlink="">
      <cdr:nvSpPr>
        <cdr:cNvPr id="18" name="TextBox 1"/>
        <cdr:cNvSpPr txBox="1"/>
      </cdr:nvSpPr>
      <cdr:spPr>
        <a:xfrm xmlns:a="http://schemas.openxmlformats.org/drawingml/2006/main">
          <a:off x="3819525" y="3129036"/>
          <a:ext cx="1819275" cy="319014"/>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sr-Cyrl-CS" sz="900" b="0">
              <a:solidFill>
                <a:srgbClr val="44546A"/>
              </a:solidFill>
              <a:latin typeface="Times New Roman" panose="02020603050405020304" pitchFamily="18" charset="0"/>
            </a:rPr>
            <a:t>контрациклично</a:t>
          </a:r>
          <a:r>
            <a:rPr lang="sr-Cyrl-CS" sz="900" b="0" baseline="0">
              <a:solidFill>
                <a:srgbClr val="44546A"/>
              </a:solidFill>
              <a:latin typeface="Times New Roman" panose="02020603050405020304" pitchFamily="18" charset="0"/>
            </a:rPr>
            <a:t> - рестриктивна</a:t>
          </a:r>
          <a:endParaRPr lang="sr-Cyrl-CS" sz="900" b="0">
            <a:solidFill>
              <a:srgbClr val="44546A"/>
            </a:solidFill>
            <a:latin typeface="Times New Roman" panose="02020603050405020304" pitchFamily="18" charset="0"/>
          </a:endParaRPr>
        </a:p>
      </cdr:txBody>
    </cdr:sp>
  </cdr:relSizeAnchor>
  <cdr:relSizeAnchor xmlns:cdr="http://schemas.openxmlformats.org/drawingml/2006/chartDrawing">
    <cdr:from>
      <cdr:x>0</cdr:x>
      <cdr:y>0</cdr:y>
    </cdr:from>
    <cdr:to>
      <cdr:x>0.35172</cdr:x>
      <cdr:y>0.0791</cdr:y>
    </cdr:to>
    <cdr:sp macro="" textlink="">
      <cdr:nvSpPr>
        <cdr:cNvPr id="19" name="TextBox 1"/>
        <cdr:cNvSpPr txBox="1"/>
      </cdr:nvSpPr>
      <cdr:spPr>
        <a:xfrm xmlns:a="http://schemas.openxmlformats.org/drawingml/2006/main">
          <a:off x="-4114800" y="-4562475"/>
          <a:ext cx="1000125" cy="266700"/>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sr-Cyrl-CS" sz="900" b="0">
              <a:solidFill>
                <a:srgbClr val="44546A"/>
              </a:solidFill>
              <a:latin typeface="Times New Roman" panose="02020603050405020304" pitchFamily="18" charset="0"/>
            </a:rPr>
            <a:t>контрациклично</a:t>
          </a:r>
          <a:r>
            <a:rPr lang="sr-Cyrl-CS" sz="900" b="0" baseline="0">
              <a:solidFill>
                <a:srgbClr val="44546A"/>
              </a:solidFill>
              <a:latin typeface="Times New Roman" panose="02020603050405020304" pitchFamily="18" charset="0"/>
            </a:rPr>
            <a:t> - експанзивна</a:t>
          </a:r>
        </a:p>
      </cdr:txBody>
    </cdr:sp>
  </cdr:relSizeAnchor>
</c:userShapes>
</file>

<file path=word/drawings/drawing11.xml><?xml version="1.0" encoding="utf-8"?>
<c:userShapes xmlns:c="http://schemas.openxmlformats.org/drawingml/2006/chart">
  <cdr:relSizeAnchor xmlns:cdr="http://schemas.openxmlformats.org/drawingml/2006/chartDrawing">
    <cdr:from>
      <cdr:x>0.86333</cdr:x>
      <cdr:y>0.04452</cdr:y>
    </cdr:from>
    <cdr:to>
      <cdr:x>1</cdr:x>
      <cdr:y>0.23529</cdr:y>
    </cdr:to>
    <cdr:sp macro="" textlink="">
      <cdr:nvSpPr>
        <cdr:cNvPr id="2" name="TextBox 1"/>
        <cdr:cNvSpPr txBox="1"/>
      </cdr:nvSpPr>
      <cdr:spPr>
        <a:xfrm xmlns:a="http://schemas.openxmlformats.org/drawingml/2006/main">
          <a:off x="6065520" y="213360"/>
          <a:ext cx="914400" cy="914400"/>
        </a:xfrm>
        <a:prstGeom xmlns:a="http://schemas.openxmlformats.org/drawingml/2006/main" prst="rect">
          <a:avLst/>
        </a:prstGeom>
      </cdr:spPr>
      <cdr:txBody>
        <a:bodyPr xmlns:a="http://schemas.openxmlformats.org/drawingml/2006/main" wrap="none" rtlCol="0"/>
        <a:lstStyle xmlns:a="http://schemas.openxmlformats.org/drawingml/2006/main"/>
        <a:p xmlns:a="http://schemas.openxmlformats.org/drawingml/2006/main">
          <a:endParaRPr lang="en-US" sz="1100"/>
        </a:p>
      </cdr:txBody>
    </cdr:sp>
  </cdr:relSizeAnchor>
</c:userShape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3.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4.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5.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6.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7.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8.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9.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0.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2.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3.xml><?xml version="1.0" encoding="utf-8"?>
<a:themeOverride xmlns:a="http://schemas.openxmlformats.org/drawingml/2006/main">
  <a:clrScheme name="Business Set_Red">
    <a:dk1>
      <a:sysClr val="windowText" lastClr="000000"/>
    </a:dk1>
    <a:lt1>
      <a:sysClr val="window" lastClr="FFFFFF"/>
    </a:lt1>
    <a:dk2>
      <a:srgbClr val="000000"/>
    </a:dk2>
    <a:lt2>
      <a:srgbClr val="F8F8F8"/>
    </a:lt2>
    <a:accent1>
      <a:srgbClr val="EF4623"/>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4.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5.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6.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7.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750EBB0-9640-4175-9736-8DEED817E7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741</TotalTime>
  <Pages>66</Pages>
  <Words>28920</Words>
  <Characters>164848</Characters>
  <Application>Microsoft Office Word</Application>
  <DocSecurity>0</DocSecurity>
  <Lines>1373</Lines>
  <Paragraphs>386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193382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Jelena Terzic</dc:creator>
  <cp:lastModifiedBy>Jelena Jevtović</cp:lastModifiedBy>
  <cp:revision>112</cp:revision>
  <cp:lastPrinted>2020-12-11T13:32:00Z</cp:lastPrinted>
  <dcterms:created xsi:type="dcterms:W3CDTF">2024-11-07T09:06:00Z</dcterms:created>
  <dcterms:modified xsi:type="dcterms:W3CDTF">2024-11-29T12:28:00Z</dcterms:modified>
</cp:coreProperties>
</file>