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6f04787" w14:textId="6f04787">
      <w:pPr>
        <w:spacing w:after="150"/>
        <w:ind w:left="0"/>
        <w:jc w:val="left"/>
        <w15:collapsed w:val="false"/>
      </w:pPr>
      <w:r>
        <w:rPr>
          <w:rFonts w:ascii="Arial"/>
          <w:b w:val="false"/>
          <w:i w:val="false"/>
          <w:color w:val="000000"/>
          <w:sz w:val="22"/>
        </w:rPr>
        <w:t xml:space="preserve">﻿       </w:t>
      </w:r>
      <w:r>
        <w:rPr>
          <w:rFonts w:ascii="Verdana"/>
          <w:b w:val="false"/>
          <w:i w:val="false"/>
          <w:color w:val="000000"/>
          <w:sz w:val="22"/>
        </w:rPr>
        <w:t xml:space="preserve">Преузето са </w:t>
      </w:r>
      <w:hyperlink r:id="rId3">
        <w:r>
          <w:rPr>
            <w:rStyle w:val="Hyperlink"/>
            <w:rFonts w:ascii="Verdana"/>
            <w:b w:val="false"/>
            <w:i w:val="false"/>
            <w:color w:val="337ab7"/>
            <w:sz w:val="22"/>
          </w:rPr>
          <w:t>www.pravno-informacioni-sistem.rs</w:t>
        </w:r>
      </w:hyperlink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На основу члана 9. став 10. Закона о инспекцијском надзору („Службени гласник РСˮ, бр. 36/15 и 44/18 – др. закон), а у вези са чланом 90. став 2. Закона о буџетском систему („Службени гласник РСˮ, бр. 54/09, 73/10, 101/10, 101/11, 93/12, 62/13, 63/13 – исправка, 108/13, 142/14, 68/15 – др. закон, 103/15, 99/16 и 113/17),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Mинистар финансија доноси</w:t>
      </w:r>
    </w:p>
    <w:p>
      <w:pPr>
        <w:spacing w:after="225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ПРАВИЛНИК</w:t>
      </w:r>
    </w:p>
    <w:p>
      <w:pPr>
        <w:spacing w:after="225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о посебним елементима процене ризика, учесталости вршења инспекцијског надзора, односно контроле на основу процене ризика и посебним елементима програма инспекцијског надзора, односно контроле из делокруга буџетске инспекције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"Службени гласник РС", број 90 од 21. новембра 2018.</w:t>
      </w:r>
    </w:p>
    <w:p>
      <w:pPr>
        <w:spacing w:after="12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Предмет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Члан 1.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Овим правилником прописују се посебни елементи процене ризика, учесталост вршења, односно утврђивање приоритета вршења инспекцијског надзора, односно контроле (у даљем тексту: инспекцијска контрола) на основу процене ризика и посебни елементи програма инспекцијске контроле у областима из делокруга буџетске инспекције.</w:t>
      </w:r>
    </w:p>
    <w:p>
      <w:pPr>
        <w:spacing w:after="12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Посебни елементи за процену ризика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Члан 2.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Избор субјеката инспекцијске контроле врши се на основу анализе и процене ризика. У циљу утврђивања приоритета у поступању буџетске инспекције примењују се посебни елементи за процену ризика, и то: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1) захтеви за поступање упућени од стране тужилаштва, органа унутрашњих послова и министарстава, пријаве, представке грађана и других органа и организација;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2) непоступање у складу са прописима;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3) висина и значај незаконитости, односно неправилности на коју се указује (штета по буџет);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4) учесталост и број пријава које су поднете против истог субјекта инспекцијске контроле;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5) догађаји или радње које могу угрозити углед државе и државних органа.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Преглед посебних елемената за процену ризика и матрица ризика (Прилог), одштампан је уз овај правилник и чини његов саставни део.</w:t>
      </w:r>
    </w:p>
    <w:p>
      <w:pPr>
        <w:spacing w:after="12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Утврђивање учесталости, односно приоритета вршења инспекцијске контроле на основу процене ризика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Члан 3.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На основу процене ризика одређује се степен ризика и утврђује приоритет вршења инспекцијске контроле код корисника јавних средстава.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Инспекцијска контрола неће се вршити ако је процењен ризик незнатан или када се промене елементи на основу којих је извршена процена ризика и накнадно се утврди да је ризик незнатан.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О учесталости, односно о приоритету вршења инспекцијске контроле код субјекта код кога је процењен, односно утврђен низак, средњи, висок или критичан степен ризика одлука се доноси у поступку разматрања пријава, представки, приговора и захтева за вршење инспекцијске контроле.</w:t>
      </w:r>
    </w:p>
    <w:p>
      <w:pPr>
        <w:spacing w:after="12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Посебни елементи Програма инспекцијске контроле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Члан 4.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Буџетска инспекција послове инспекцијске контроле обавља по програму рада који утврђује министар надлежан за послове финансија. Програм рада сачињава се првенствено на основу пријава, представки, приговора и захтева за вршење инспекцијске контроле пристиглих од органа, организација, правних и физичких лица.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Посебни елементи Програма инспекцијске контроле су: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1) започете инспекцијске контроле из Програма рада буџетске инспекције за претходну годину;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2) број и врста субјеката код којих је планирана редовна инспекцијска контрола;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3) рок за завршетак планираних активности.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Буџетска инспекција, по исказаној потреби, врши и ванредне инспекцијске контроле по захтеву министра надлежног за послове финансија. Број ванредних контрола може утицати на проценат извршења редовних контрола.</w:t>
      </w:r>
    </w:p>
    <w:p>
      <w:pPr>
        <w:spacing w:after="12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Завршна одредба</w:t>
      </w:r>
    </w:p>
    <w:p>
      <w:pPr>
        <w:spacing w:after="120"/>
        <w:ind w:left="0"/>
        <w:jc w:val="center"/>
      </w:pPr>
      <w:r>
        <w:rPr>
          <w:rFonts w:ascii="Verdana"/>
          <w:b w:val="false"/>
          <w:i w:val="false"/>
          <w:color w:val="000000"/>
          <w:sz w:val="22"/>
        </w:rPr>
        <w:t>Члан 5.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Овај правилник ступа на снагу осмог дана од дана објављивања у „Службеном гласнику Републике Србијеˮ.</w:t>
      </w:r>
    </w:p>
    <w:p>
      <w:pPr>
        <w:spacing w:after="150"/>
        <w:ind w:left="0"/>
        <w:jc w:val="right"/>
      </w:pPr>
      <w:r>
        <w:rPr>
          <w:rFonts w:ascii="Verdana"/>
          <w:b w:val="false"/>
          <w:i w:val="false"/>
          <w:color w:val="000000"/>
          <w:sz w:val="22"/>
        </w:rPr>
        <w:t>Број 110-00-00438/2018-26</w:t>
      </w:r>
    </w:p>
    <w:p>
      <w:pPr>
        <w:spacing w:after="150"/>
        <w:ind w:left="0"/>
        <w:jc w:val="right"/>
      </w:pPr>
      <w:r>
        <w:rPr>
          <w:rFonts w:ascii="Verdana"/>
          <w:b w:val="false"/>
          <w:i w:val="false"/>
          <w:color w:val="000000"/>
          <w:sz w:val="22"/>
        </w:rPr>
        <w:t>У Београду, 8. новембра 2018. године</w:t>
      </w:r>
    </w:p>
    <w:p>
      <w:pPr>
        <w:spacing w:after="150"/>
        <w:ind w:left="0"/>
        <w:jc w:val="right"/>
      </w:pPr>
      <w:r>
        <w:rPr>
          <w:rFonts w:ascii="Verdana"/>
          <w:b w:val="false"/>
          <w:i w:val="false"/>
          <w:color w:val="000000"/>
          <w:sz w:val="22"/>
        </w:rPr>
        <w:t>Министар,</w:t>
      </w:r>
    </w:p>
    <w:p>
      <w:pPr>
        <w:spacing w:after="150"/>
        <w:ind w:left="0"/>
        <w:jc w:val="right"/>
      </w:pPr>
      <w:r>
        <w:rPr>
          <w:rFonts w:ascii="Verdana"/>
          <w:b/>
          <w:i w:val="false"/>
          <w:color w:val="000000"/>
          <w:sz w:val="22"/>
        </w:rPr>
        <w:t>Синиша Мали</w:t>
      </w:r>
      <w:r>
        <w:rPr>
          <w:rFonts w:ascii="Verdana"/>
          <w:b/>
          <w:i w:val="false"/>
          <w:color w:val="000000"/>
          <w:sz w:val="22"/>
        </w:rPr>
        <w:t>,</w:t>
      </w:r>
      <w:r>
        <w:rPr>
          <w:rFonts w:ascii="Verdana"/>
          <w:b w:val="false"/>
          <w:i w:val="false"/>
          <w:color w:val="000000"/>
          <w:sz w:val="22"/>
        </w:rPr>
        <w:t xml:space="preserve"> с.р.</w:t>
      </w:r>
    </w:p>
    <w:p>
      <w:pPr>
        <w:spacing w:after="120"/>
        <w:ind w:left="0"/>
        <w:jc w:val="right"/>
      </w:pPr>
      <w:r>
        <w:rPr>
          <w:rFonts w:ascii="Verdana"/>
          <w:b w:val="false"/>
          <w:i w:val="false"/>
          <w:color w:val="000000"/>
          <w:sz w:val="22"/>
        </w:rPr>
        <w:t>Прилог</w:t>
      </w:r>
    </w:p>
    <w:p>
      <w:pPr>
        <w:spacing w:after="15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Преглед посебних елемената за процену ризика и матрица ризика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4400"/>
      </w:tblGrid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Посебни елементи процене ризика по значају</w:t>
            </w:r>
          </w:p>
        </w:tc>
      </w:tr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I. Захтеви за поступање упућени од стране тужилаштва, органа унутрашњих послова и министарстава, пријаве, представке грађана и других органа и организација</w:t>
            </w:r>
          </w:p>
        </w:tc>
      </w:tr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II. Непоступање у складу са законским прописима</w:t>
            </w:r>
          </w:p>
        </w:tc>
      </w:tr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III. Висина и значај незаконитости, односно неправилности на коју се указује (штета по буџет)</w:t>
            </w:r>
          </w:p>
        </w:tc>
      </w:tr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IV. Учесталост и број пријава које су поднете против истог субјекта инспекцијске контроле</w:t>
            </w:r>
          </w:p>
        </w:tc>
      </w:tr>
      <w:tr>
        <w:trPr>
          <w:trHeight w:val="45" w:hRule="atLeast"/>
        </w:trPr>
        <w:tc>
          <w:tcPr>
            <w:tcW w:w="1440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V. Догађаји или радње које могу угрозити углед државе и државних органа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јесте производ вероватноће настанка штетних последица и утицаја – тежине штетних последица (табела 1 и 2).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Вероватноћа настанка штетних последица у обављању инспекцијских контрола процењује се на основу претходног поступања назираног субјекта.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За утврђену вероватноћу настанка штетних последица и тежину штетних последица, утврђује се степен ризика (одређује се степен ризика од 1 до 25).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Tабела 1: Метода 5 x 5 – Mатрица ризика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80"/>
        <w:gridCol w:w="1614"/>
        <w:gridCol w:w="1614"/>
        <w:gridCol w:w="2648"/>
        <w:gridCol w:w="2648"/>
        <w:gridCol w:w="2648"/>
        <w:gridCol w:w="2648"/>
      </w:tblGrid>
      <w:tr>
        <w:trPr>
          <w:trHeight w:val="45" w:hRule="atLeast"/>
        </w:trPr>
        <w:tc>
          <w:tcPr>
            <w:tcW w:w="0" w:type="auto"/>
            <w:gridSpan w:val="2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Вероватноћа</w:t>
            </w:r>
          </w:p>
        </w:tc>
        <w:tc>
          <w:tcPr>
            <w:tcW w:w="0" w:type="auto"/>
            <w:gridSpan w:val="5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Утицај – штетна последица</w:t>
            </w:r>
          </w:p>
        </w:tc>
      </w:tr>
      <w:tr>
        <w:trPr>
          <w:trHeight w:val="45" w:hRule="atLeast"/>
        </w:trPr>
        <w:tc>
          <w:tcPr>
            <w:tcW w:w="0" w:type="auto"/>
            <w:gridSpan w:val="2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</w:tr>
      <w:tr>
        <w:trPr>
          <w:trHeight w:val="45" w:hRule="atLeast"/>
        </w:trPr>
        <w:tc>
          <w:tcPr>
            <w:tcW w:w="5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Критична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5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10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15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20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25</w:t>
            </w:r>
          </w:p>
        </w:tc>
      </w:tr>
      <w:tr>
        <w:trPr>
          <w:trHeight w:val="45" w:hRule="atLeast"/>
        </w:trPr>
        <w:tc>
          <w:tcPr>
            <w:tcW w:w="5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Висока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4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8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12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16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20</w:t>
            </w:r>
          </w:p>
        </w:tc>
      </w:tr>
      <w:tr>
        <w:trPr>
          <w:trHeight w:val="45" w:hRule="atLeast"/>
        </w:trPr>
        <w:tc>
          <w:tcPr>
            <w:tcW w:w="5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Средња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3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6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9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12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15</w:t>
            </w:r>
          </w:p>
        </w:tc>
      </w:tr>
      <w:tr>
        <w:trPr>
          <w:trHeight w:val="45" w:hRule="atLeast"/>
        </w:trPr>
        <w:tc>
          <w:tcPr>
            <w:tcW w:w="5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Ниска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4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6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8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10</w:t>
            </w:r>
          </w:p>
        </w:tc>
      </w:tr>
      <w:tr>
        <w:trPr>
          <w:trHeight w:val="45" w:hRule="atLeast"/>
        </w:trPr>
        <w:tc>
          <w:tcPr>
            <w:tcW w:w="58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Назнатна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16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1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3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4</w:t>
            </w:r>
          </w:p>
        </w:tc>
        <w:tc>
          <w:tcPr>
            <w:tcW w:w="2648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5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Tабела 2: Степен ризика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86"/>
        <w:gridCol w:w="1714"/>
      </w:tblGrid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Бројчана вредност ризика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/>
                <w:i w:val="false"/>
                <w:color w:val="000000"/>
                <w:sz w:val="22"/>
              </w:rPr>
              <w:t>Квалитативни опис ризика</w:t>
            </w:r>
          </w:p>
        </w:tc>
      </w:tr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1, 2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Незнатан</w:t>
            </w:r>
          </w:p>
        </w:tc>
      </w:tr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3, 4, 5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Низак</w:t>
            </w:r>
          </w:p>
        </w:tc>
      </w:tr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6, 8, 9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Средњи</w:t>
            </w:r>
          </w:p>
        </w:tc>
      </w:tr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10, 12, 15, 16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Висок</w:t>
            </w:r>
          </w:p>
        </w:tc>
      </w:tr>
      <w:tr>
        <w:trPr>
          <w:trHeight w:val="45" w:hRule="atLeast"/>
        </w:trPr>
        <w:tc>
          <w:tcPr>
            <w:tcW w:w="1268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20, 25</w:t>
            </w:r>
          </w:p>
        </w:tc>
        <w:tc>
          <w:tcPr>
            <w:tcW w:w="171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Критичан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/>
          <w:i w:val="false"/>
          <w:color w:val="000000"/>
          <w:sz w:val="22"/>
        </w:rPr>
        <w:t>Рангирање степена ризика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За утврђену вероватноћу настанка штетних последица и тежину штетних последица, утврђује се степен ризика од 1 до 25, тако да су: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– системи контроле са индексом ризика 1 и 2 – незнатног ризика;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– системи контроле са индексом ризика 3, 4 и 5 – ниског ризика;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– системи контроле са индексом ризика 6, 8 и 9 – средњег ризика;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– системи контроле са индексом ризика 10, 12, 15 и 16 – високог ризика и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– системи контроле са индексом ризика 20 и 25 – критични.</w:t>
      </w:r>
    </w:p>
    <w:p>
      <w:pPr>
        <w:spacing w:after="150"/>
        <w:ind w:left="0"/>
        <w:jc w:val="left"/>
      </w:pPr>
      <w:r>
        <w:rPr>
          <w:rFonts w:ascii="Verdana"/>
          <w:b/>
          <w:i w:val="false"/>
          <w:color w:val="000000"/>
          <w:sz w:val="22"/>
        </w:rPr>
        <w:t>НАПОМЕНЕ И ОКВИРНЕ ИНСТРУКЦИЈЕ ЗА УТВРЂИВАЊЕ</w:t>
      </w:r>
      <w:r>
        <w:rPr>
          <w:rFonts w:ascii="Verdana"/>
          <w:b w:val="false"/>
          <w:i w:val="false"/>
          <w:color w:val="000000"/>
          <w:sz w:val="22"/>
        </w:rPr>
        <w:t xml:space="preserve"> </w:t>
      </w:r>
      <w:r>
        <w:rPr>
          <w:rFonts w:ascii="Verdana"/>
          <w:b/>
          <w:i w:val="false"/>
          <w:color w:val="000000"/>
          <w:sz w:val="22"/>
        </w:rPr>
        <w:t>ПРОЦЕНЕ РИЗИКА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јесте производ вероватноће настанка штетних последица и утицаја – тежине штетних последица.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Ср = В x Т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Ср – степен ризика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В – вероватноће настанка штетних последица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Т – тежина штетних последица – утицај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Вероватноћа настанка штетних последица је субјективна процена у обављању инспекцијских контрола и процењује се на основу претходног поступања надзираног субјекта. Нумеричка вредност вероватноће настанка штетних последица исказује се бодовима од 1 до 5.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Тежина штетних последица резултат је вредновања посебних елемената за процену ризика у области материјално финансијског пословања и наменског и законитог коришћења јавних средстава. Нумеричка вредност тежина штетних последица исказује се бодовима од 1 до 5.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Нумеричка вредност посебних елемената за процену ризика у области материјално финансијског пословања и наменског и законитог коришћења јавних средстава добија се као аритметичка средина нумеричких вредности за применљиве критеријуме посебних елемената.</w:t>
      </w:r>
    </w:p>
    <w:p>
      <w:pPr>
        <w:spacing w:after="150"/>
        <w:ind w:left="0"/>
        <w:jc w:val="center"/>
      </w:pPr>
      <w:r>
        <w:rPr>
          <w:rFonts w:ascii="Verdana"/>
          <w:b/>
          <w:i w:val="false"/>
          <w:color w:val="000000"/>
          <w:sz w:val="22"/>
        </w:rPr>
        <w:t>Образложење посебних елемената за процену ризика у области материјално финансијског пословања и наменског и законитог коришћења јавних средстава</w:t>
      </w:r>
    </w:p>
    <w:p>
      <w:pPr>
        <w:spacing w:after="150"/>
        <w:ind w:left="0"/>
        <w:jc w:val="left"/>
      </w:pPr>
      <w:r>
        <w:rPr>
          <w:rFonts w:ascii="Verdana"/>
          <w:b w:val="false"/>
          <w:i/>
          <w:color w:val="000000"/>
          <w:sz w:val="22"/>
        </w:rPr>
        <w:t>I. Захтеви за поступање упућени од стране тужилаштва, органа унутрашњих послова и министарстава, пријаве, представке грађана и других органа и организација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за овај елемент ризика утврђен је на следећи начин: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950"/>
        <w:gridCol w:w="11450"/>
      </w:tblGrid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Ранг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Опис</w:t>
            </w:r>
          </w:p>
        </w:tc>
      </w:tr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Недокументоване пријаве и представке</w:t>
            </w:r>
          </w:p>
        </w:tc>
      </w:tr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Документоване пријаве</w:t>
            </w:r>
          </w:p>
        </w:tc>
      </w:tr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Пријаве и представке других државних органа и организација који нису спровели контролу</w:t>
            </w:r>
          </w:p>
        </w:tc>
      </w:tr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Пријаве и представке других државних органа и организација који су спровели контролу</w:t>
            </w:r>
          </w:p>
        </w:tc>
      </w:tr>
      <w:tr>
        <w:trPr>
          <w:trHeight w:val="45" w:hRule="atLeast"/>
        </w:trPr>
        <w:tc>
          <w:tcPr>
            <w:tcW w:w="29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  <w:tc>
          <w:tcPr>
            <w:tcW w:w="1145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Захтеви тужилаштва и судова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/>
          <w:color w:val="000000"/>
          <w:sz w:val="22"/>
        </w:rPr>
        <w:t>II. Непоступање у складу са законским прописима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за овај елемент ризика утврђен је на следећи начин: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701"/>
        <w:gridCol w:w="11699"/>
      </w:tblGrid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Ранг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Опис</w:t>
            </w:r>
          </w:p>
        </w:tc>
      </w:tr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Субјект контроле примењује прописе</w:t>
            </w:r>
          </w:p>
        </w:tc>
      </w:tr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Субјект контроле погрешно примењује пропис (указивање на неправилност)</w:t>
            </w:r>
          </w:p>
        </w:tc>
      </w:tr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Субјект контроле не примењује прописе чиме чини прекршај (указивање на незаконитост)</w:t>
            </w:r>
          </w:p>
        </w:tc>
      </w:tr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Субјект контроле не примењује прописе чиме чини привредни преступ</w:t>
            </w:r>
          </w:p>
        </w:tc>
      </w:tr>
      <w:tr>
        <w:trPr>
          <w:trHeight w:val="45" w:hRule="atLeast"/>
        </w:trPr>
        <w:tc>
          <w:tcPr>
            <w:tcW w:w="270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  <w:tc>
          <w:tcPr>
            <w:tcW w:w="1169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Субјект контроле не примењује прописе чиме чини кривично дело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/>
          <w:color w:val="000000"/>
          <w:sz w:val="22"/>
        </w:rPr>
        <w:t>III. Висина и значај незаконитости, односно неправилности на коју се указује – штета по буџет (апсолутни износ)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за овај елемент ризика утврђен је на следећи начин: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3089"/>
        <w:gridCol w:w="11311"/>
      </w:tblGrid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Ранг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Вредност</w:t>
            </w:r>
          </w:p>
        </w:tc>
      </w:tr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1≤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1.000.000</w:t>
            </w:r>
          </w:p>
        </w:tc>
      </w:tr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2≤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5.000.000</w:t>
            </w:r>
          </w:p>
        </w:tc>
      </w:tr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3≤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10.000.000</w:t>
            </w:r>
          </w:p>
        </w:tc>
      </w:tr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4≤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20.000.000</w:t>
            </w:r>
          </w:p>
        </w:tc>
      </w:tr>
      <w:tr>
        <w:trPr>
          <w:trHeight w:val="45" w:hRule="atLeast"/>
        </w:trPr>
        <w:tc>
          <w:tcPr>
            <w:tcW w:w="3089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5&gt;</w:t>
            </w:r>
          </w:p>
        </w:tc>
        <w:tc>
          <w:tcPr>
            <w:tcW w:w="11311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30.000.000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/>
          <w:color w:val="000000"/>
          <w:sz w:val="22"/>
        </w:rPr>
        <w:t>IV. Учесталост и број пријава које су поднете против истог субјекта инспекцијске контроле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за овај елемент ризика утврђен је на следећи начин: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3157"/>
        <w:gridCol w:w="11243"/>
      </w:tblGrid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Ранг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Опис</w:t>
            </w:r>
          </w:p>
        </w:tc>
      </w:tr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Не постоје претходне пријаве, представке, приговори или захтеви</w:t>
            </w:r>
          </w:p>
        </w:tc>
      </w:tr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три претходне пријаве, представке, приговора или захтева</w:t>
            </w:r>
          </w:p>
        </w:tc>
      </w:tr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четири претходне пријаве, представке, приговора или захтева</w:t>
            </w:r>
          </w:p>
        </w:tc>
      </w:tr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пет претходних пријава, представки, приговора или захтева</w:t>
            </w:r>
          </w:p>
        </w:tc>
      </w:tr>
      <w:tr>
        <w:trPr>
          <w:trHeight w:val="45" w:hRule="atLeast"/>
        </w:trPr>
        <w:tc>
          <w:tcPr>
            <w:tcW w:w="315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  <w:tc>
          <w:tcPr>
            <w:tcW w:w="1124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Више од пет претходних пријава, представки, приговора или захтева</w:t>
            </w:r>
          </w:p>
        </w:tc>
      </w:tr>
    </w:tbl>
    <w:p>
      <w:pPr>
        <w:spacing w:after="150"/>
        <w:ind w:left="0"/>
        <w:jc w:val="left"/>
      </w:pPr>
      <w:r>
        <w:rPr>
          <w:rFonts w:ascii="Verdana"/>
          <w:b w:val="false"/>
          <w:i/>
          <w:color w:val="000000"/>
          <w:sz w:val="22"/>
        </w:rPr>
        <w:t>V. Догађаји или радње које могу угрозити углед државе и државних органа</w:t>
      </w:r>
    </w:p>
    <w:p>
      <w:pPr>
        <w:spacing w:after="150"/>
        <w:ind w:left="0"/>
        <w:jc w:val="left"/>
      </w:pPr>
      <w:r>
        <w:rPr>
          <w:rFonts w:ascii="Verdana"/>
          <w:b w:val="false"/>
          <w:i w:val="false"/>
          <w:color w:val="000000"/>
          <w:sz w:val="22"/>
        </w:rPr>
        <w:t>Степен ризика за овај елемент ризика утврђен је на следећи начин: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116"/>
        <w:gridCol w:w="12284"/>
      </w:tblGrid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Ранг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Опис представке</w:t>
            </w:r>
          </w:p>
        </w:tc>
      </w:tr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1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Не постоји непожељна објава у медијима, нити негативна кампања масовних медија која се односи на субјект контроле</w:t>
            </w:r>
          </w:p>
        </w:tc>
      </w:tr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2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Појединачне објаве у медијима против субјекта контроле</w:t>
            </w:r>
          </w:p>
        </w:tc>
      </w:tr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3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Постоји учестала непожељна објава у медијима против субјекта контроле</w:t>
            </w:r>
          </w:p>
        </w:tc>
      </w:tr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4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Постоји негативна кампања масовних медија против субјекта контроле</w:t>
            </w:r>
          </w:p>
        </w:tc>
      </w:tr>
      <w:tr>
        <w:trPr>
          <w:trHeight w:val="45" w:hRule="atLeast"/>
        </w:trPr>
        <w:tc>
          <w:tcPr>
            <w:tcW w:w="21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5</w:t>
            </w:r>
          </w:p>
        </w:tc>
        <w:tc>
          <w:tcPr>
            <w:tcW w:w="1228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vAlign w:val="center"/>
          </w:tcPr>
          <w:p>
            <w:pPr>
              <w:spacing w:after="150"/>
              <w:ind w:left="0"/>
              <w:jc w:val="left"/>
            </w:pPr>
            <w:r>
              <w:rPr>
                <w:rFonts w:ascii="Verdana"/>
                <w:b w:val="false"/>
                <w:i w:val="false"/>
                <w:color w:val="000000"/>
                <w:sz w:val="22"/>
              </w:rPr>
              <w:t>Сазнања о предузетим мерама од стране државних институција</w:t>
            </w:r>
          </w:p>
        </w:tc>
      </w:tr>
    </w:tbl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Mode="External" Target="http://www.pravno-informacioni-sistem.rs/" Type="http://schemas.openxmlformats.org/officeDocument/2006/relationships/hyperlink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