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A1" w:rsidRDefault="0005033F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43. став 3. Закона о Влади („Службени гласник РСˮ, бр. 55/05, 71/05 – исправка, 101/07, 65/08, 16/11, 68/12 – УС, 72/12, 7/14 – УС, 44/14 и 30/18 – др. закон), на предлог Министарства финансија,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ЗАКЉУЧАК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1. Усваја се Стратешки </w:t>
      </w:r>
      <w:r>
        <w:rPr>
          <w:rFonts w:ascii="Verdana" w:eastAsia="Verdana" w:hAnsi="Verdana" w:cs="Verdana"/>
        </w:rPr>
        <w:t>план за борбу против превара и управљање неправилностима у поступању са финансијским средствима Европске уније у Републици Србији за период 2024–2026. године, који je саставни део овог закључка.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2. Овај закључак објавити у „Службеном гласнику Републике Срб</w:t>
      </w:r>
      <w:r>
        <w:rPr>
          <w:rFonts w:ascii="Verdana" w:eastAsia="Verdana" w:hAnsi="Verdana" w:cs="Verdana"/>
        </w:rPr>
        <w:t>ије”.</w:t>
      </w:r>
    </w:p>
    <w:p w:rsidR="00C712A1" w:rsidRDefault="0005033F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48-4570/2024</w:t>
      </w:r>
    </w:p>
    <w:p w:rsidR="00C712A1" w:rsidRDefault="0005033F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30. маја 2024. године</w:t>
      </w:r>
    </w:p>
    <w:p w:rsidR="00C712A1" w:rsidRDefault="0005033F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C712A1" w:rsidRDefault="0005033F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C712A1" w:rsidRDefault="0005033F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Милош Вучевић,</w:t>
      </w:r>
      <w:r>
        <w:rPr>
          <w:rFonts w:ascii="Verdana" w:eastAsia="Verdana" w:hAnsi="Verdana" w:cs="Verdana"/>
        </w:rPr>
        <w:t xml:space="preserve"> с.р.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</w:rPr>
        <w:t>СТРАТЕШКИ ПЛАН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</w:rPr>
        <w:t>ЗА БОРБУ ПРОТИВ ПРЕВАРА И УПРАВЉАЊЕ НЕПРАВИЛНОСТИМА У ПОСТУПАЊУ СА ФИНАНСИЈСКИМ СРЕДСТВИМА ЕВРОПСКЕ УНИЈЕ У РЕПУБЛИЦИ СРБИЈИ ЗА ПЕРИОД 2024−20</w:t>
      </w:r>
      <w:r>
        <w:rPr>
          <w:rFonts w:ascii="Verdana" w:eastAsia="Verdana" w:hAnsi="Verdana" w:cs="Verdana"/>
        </w:rPr>
        <w:t>26. ГОДИНЕ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I. Увод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Један од главних стратешких циљева Републике Србије је пуноправно чланство у Европској унији. Како би се наведени циљ остварио неопходно је, између осталог, достизање стандарда Европске уније, успостављање владавине права, унапређење инс</w:t>
      </w:r>
      <w:r>
        <w:rPr>
          <w:rFonts w:ascii="Verdana" w:eastAsia="Verdana" w:hAnsi="Verdana" w:cs="Verdana"/>
        </w:rPr>
        <w:t>титуционалног оквира, као и економски развој и напредак државе. С тим у вези, а имајући у виду преузете обавезе, Република Србија спроводи реформе и предузима неопходне мере, а све у циљу остварења задовољавајућих резултатa у процесу европских интеграција.</w:t>
      </w:r>
      <w:r>
        <w:rPr>
          <w:rFonts w:ascii="Verdana" w:eastAsia="Verdana" w:hAnsi="Verdana" w:cs="Verdana"/>
        </w:rPr>
        <w:t xml:space="preserve"> У оквиру тог процеса, свим државама кандидатима за чланство, Европска унија пружа саветодавну и финансијску помоћ, кроз различите претприступне механизме.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Република Србија је, у циљу ефикасне и ефективне употребе наведенe финансијске помоћи, преузела обав</w:t>
      </w:r>
      <w:r>
        <w:rPr>
          <w:rFonts w:ascii="Verdana" w:eastAsia="Verdana" w:hAnsi="Verdana" w:cs="Verdana"/>
        </w:rPr>
        <w:t>езу да осигура одговорно коришћење исте и да успостави систем контроле како би се потенцијалне неправилности и преваре правовремено уочиле.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Како би унапредила област заштите финансијских интереса Европске уније, Влада је, на предлог Министарства финансија,</w:t>
      </w:r>
      <w:r>
        <w:rPr>
          <w:rFonts w:ascii="Verdana" w:eastAsia="Verdana" w:hAnsi="Verdana" w:cs="Verdana"/>
        </w:rPr>
        <w:t xml:space="preserve"> 26. октобра 2017. године, донела Стратегију за сузбијање неправилности и превара у поступању са финансијским средствима Европске уније у Републици Србији за период 2017–2020. године („Службени гласник РСˮ, број 98/17 – у даљем тексту: Стратегија 2017–2020</w:t>
      </w:r>
      <w:r>
        <w:rPr>
          <w:rFonts w:ascii="Verdana" w:eastAsia="Verdana" w:hAnsi="Verdana" w:cs="Verdana"/>
        </w:rPr>
        <w:t>) са пратећим акционим планом. Стратегија 2017–2020. је представљала документ који први пут у Републици Србији област заштите финансијских интереса Европске уније, а самим тим и сопствених финансијских интереса, третира на целовит и темељан начин дефинисањ</w:t>
      </w:r>
      <w:r>
        <w:rPr>
          <w:rFonts w:ascii="Verdana" w:eastAsia="Verdana" w:hAnsi="Verdana" w:cs="Verdana"/>
        </w:rPr>
        <w:t xml:space="preserve">ем </w:t>
      </w:r>
      <w:r>
        <w:rPr>
          <w:rFonts w:ascii="Verdana" w:eastAsia="Verdana" w:hAnsi="Verdana" w:cs="Verdana"/>
        </w:rPr>
        <w:lastRenderedPageBreak/>
        <w:t>области примене, повезивањем широког круга државних органа који кроз сарадњу и размену информација доприносе ефикаснијем поступању са идентификованим неправилностима и сумњама на превару.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Након имплементације Стратегије 2017–2020, 21. октобра 2021. годи</w:t>
      </w:r>
      <w:r>
        <w:rPr>
          <w:rFonts w:ascii="Verdana" w:eastAsia="Verdana" w:hAnsi="Verdana" w:cs="Verdana"/>
        </w:rPr>
        <w:t>не, Влада је, такође на предлог Министарства финансија, донела Закључак 05 број 48-9638/2021-1 којим је усвојен Стратешки план за борбу против превара и управљање неправилностима у поступању са финансијским средствима Европске уније у Републици Србији за п</w:t>
      </w:r>
      <w:r>
        <w:rPr>
          <w:rFonts w:ascii="Verdana" w:eastAsia="Verdana" w:hAnsi="Verdana" w:cs="Verdana"/>
        </w:rPr>
        <w:t>ериод 2021–2023. године („Службени гласник РСˮ, број 99/21 – у даљем тексту Стратешки план 2021–2023).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Сврха Стратешког плана 2021–2023. била је унапређење већ успостављених механизама, који би, на ефикаснији начин, довели до испуњења задатих циљева, уз еф</w:t>
      </w:r>
      <w:r>
        <w:rPr>
          <w:rFonts w:ascii="Verdana" w:eastAsia="Verdana" w:hAnsi="Verdana" w:cs="Verdana"/>
        </w:rPr>
        <w:t>ективну алокацију финансијских и кадровских ресурса.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Оба документа, Стратегија 2017–2020. и Стратешки план 2021–2023, су имплементирана путем реализације активности од стране Одељења за сузбијање неправилности и превара у поступању са финансијским средстви</w:t>
      </w:r>
      <w:r>
        <w:rPr>
          <w:rFonts w:ascii="Verdana" w:eastAsia="Verdana" w:hAnsi="Verdana" w:cs="Verdana"/>
        </w:rPr>
        <w:t>ма Европске уније (АФКОС) – (у даљем тексту: АФКОС) и институција које имају представнике у Мрежи за борбу против превара и управљање неправилностима у поступању са финансијским средствима Европске уније (у даљем тексту: АФКОС Мрежа).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Чланови и заменици чл</w:t>
      </w:r>
      <w:r>
        <w:rPr>
          <w:rFonts w:ascii="Verdana" w:eastAsia="Verdana" w:hAnsi="Verdana" w:cs="Verdana"/>
        </w:rPr>
        <w:t>анова АФКОС Мреже су именовани представници следећих институција: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Министарства финансија;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Министарства унутрашњих послова (у даљем тексту: МУП);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Министарства правде;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Министарства за европске интеграције;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Министарства пољопривреде, шумарства и водопривреде;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Врховног јавног тужилаштва;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Агенције за спречавање корупције;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Канцеларије за ревизију система управљања средствима Европске уније.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 циљу одржања постигнутог нивоа заштите финансијских интереса</w:t>
      </w:r>
      <w:r>
        <w:rPr>
          <w:rFonts w:ascii="Verdana" w:eastAsia="Verdana" w:hAnsi="Verdana" w:cs="Verdana"/>
        </w:rPr>
        <w:t xml:space="preserve"> Европске уније (у даљем тексту: ЕУ) и континуитета политике у вези са јачањем појединачних механизама, обезбеђен је даљи стратешки приступ кроз усвајање Стратешког плана за борбу против превара и управљање неправилностима у поступању са финансијским средс</w:t>
      </w:r>
      <w:r>
        <w:rPr>
          <w:rFonts w:ascii="Verdana" w:eastAsia="Verdana" w:hAnsi="Verdana" w:cs="Verdana"/>
        </w:rPr>
        <w:t>твима Европске уније у Републици Србији за период 2024–2026. године (у даљем тексту: Стратешки план 2024–2026). Процесом креирања Стратешког плана 2024–2026. управљао је АФКОС, сагласно члану 50. Закона о потврђивању Оквирног споразума о финансијском партн</w:t>
      </w:r>
      <w:r>
        <w:rPr>
          <w:rFonts w:ascii="Verdana" w:eastAsia="Verdana" w:hAnsi="Verdana" w:cs="Verdana"/>
        </w:rPr>
        <w:t>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(„Службени гласник РС – Међународни угов</w:t>
      </w:r>
      <w:r>
        <w:rPr>
          <w:rFonts w:ascii="Verdana" w:eastAsia="Verdana" w:hAnsi="Verdana" w:cs="Verdana"/>
        </w:rPr>
        <w:t>ори”, број 6/22).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Имајући у виду да је један од задатака АФКОС Мреже израда стратешког документа и акционог плана за његово спровођење, консултације са члановима исте спроведене су приликом вредновања учинака Стратешког плана 2021–2023, сагледавања промена</w:t>
      </w:r>
      <w:r>
        <w:rPr>
          <w:rFonts w:ascii="Verdana" w:eastAsia="Verdana" w:hAnsi="Verdana" w:cs="Verdana"/>
        </w:rPr>
        <w:t xml:space="preserve"> које треба постићи у наредном периоду, као и приликом креирања текста Стратешког плана 2024–2026. Резултати </w:t>
      </w:r>
      <w:r>
        <w:rPr>
          <w:rFonts w:ascii="Verdana" w:eastAsia="Verdana" w:hAnsi="Verdana" w:cs="Verdana"/>
          <w:i/>
        </w:rPr>
        <w:t xml:space="preserve">ex </w:t>
      </w:r>
      <w:r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  <w:i/>
        </w:rPr>
        <w:t xml:space="preserve"> post</w:t>
      </w:r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i/>
        </w:rPr>
        <w:t xml:space="preserve">ex </w:t>
      </w:r>
      <w:r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  <w:i/>
        </w:rPr>
        <w:t xml:space="preserve"> ante</w:t>
      </w:r>
      <w:r>
        <w:rPr>
          <w:rFonts w:ascii="Verdana" w:eastAsia="Verdana" w:hAnsi="Verdana" w:cs="Verdana"/>
        </w:rPr>
        <w:t xml:space="preserve"> анализе претходили су дефинисању циљева, мера и активности за остварење истих, као и препорука за побољшање у свим фазама циклуса борбе против превара.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II. Правни оквир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Правни оквир Републике Србије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Приликом израде Стратешког плана 2024–2026. разматранa с</w:t>
      </w:r>
      <w:r>
        <w:rPr>
          <w:rFonts w:ascii="Verdana" w:eastAsia="Verdana" w:hAnsi="Verdana" w:cs="Verdana"/>
        </w:rPr>
        <w:t>у следећa акта, и то: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Преговарачка позиција Републике Србије за Међувладину конференцију о приступању Републике Србије Европској унији за поглавље 32 Финансијски надзор;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Преговарачка позиција Републике Србије у оквиру Међувладине конференције о приступ</w:t>
      </w:r>
      <w:r>
        <w:rPr>
          <w:rFonts w:ascii="Verdana" w:eastAsia="Verdana" w:hAnsi="Verdana" w:cs="Verdana"/>
        </w:rPr>
        <w:t>ању Републике Србије Европској унији за Поглавље 23 Правосуђе и основна права;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Преговарачка позиција Републике Србије за Међувладину конференцију о приступању Републике Србије Европској унији за поглавље 24 Правда, слобода и безбедност;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Закон о буџетск</w:t>
      </w:r>
      <w:r>
        <w:rPr>
          <w:rFonts w:ascii="Verdana" w:eastAsia="Verdana" w:hAnsi="Verdana" w:cs="Verdana"/>
        </w:rPr>
        <w:t>ом систему („Службени гласник РС”, бр. 54/09, 73/10, 101/10, 101/11, 93/12, 62/13, 63/13 – исправка, 108/13, 142/14, 68/15 – др. закон, 103/15, 99/16, 113/17, 95/18, 31/19, 72/19, 149/20, 118/21, 118/21 – др. закон 138/22 и 92/23);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Закон о потврђивању Ок</w:t>
      </w:r>
      <w:r>
        <w:rPr>
          <w:rFonts w:ascii="Verdana" w:eastAsia="Verdana" w:hAnsi="Verdana" w:cs="Verdana"/>
        </w:rPr>
        <w:t>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(„Службени гласник РС – Међународни уговори”, број 19/14);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– Закон </w:t>
      </w:r>
      <w:r>
        <w:rPr>
          <w:rFonts w:ascii="Verdana" w:eastAsia="Verdana" w:hAnsi="Verdana" w:cs="Verdana"/>
        </w:rPr>
        <w:t>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</w:t>
      </w:r>
      <w:r>
        <w:rPr>
          <w:rFonts w:ascii="Verdana" w:eastAsia="Verdana" w:hAnsi="Verdana" w:cs="Verdana"/>
        </w:rPr>
        <w:t>омоћ (ИПА III);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Кривични законик („Службени гласник РСˮ, бр. 85/05, 88/05 – исправка, 107/05 – исправка, 72/09, 111/09, 121/12, 104/13, 108/14, 94/16 и 35/19);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Законик о кривичном поступку („Службени гласник РСˮ, бр. 72/11, 101/11, 121/12, 32/13, 45/13</w:t>
      </w:r>
      <w:r>
        <w:rPr>
          <w:rFonts w:ascii="Verdana" w:eastAsia="Verdana" w:hAnsi="Verdana" w:cs="Verdana"/>
        </w:rPr>
        <w:t>, 55/14, 35/19, 27/21 – УС и 62/21 – УС);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Закон о организацији и надлежности државних органа у сузбијању организованог криминала, тероризма и корупције („Службени гласник РСˮ, бр. 94/16 и 87/18 – др. закон);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Закон о одговорности правних лица за кривичн</w:t>
      </w:r>
      <w:r>
        <w:rPr>
          <w:rFonts w:ascii="Verdana" w:eastAsia="Verdana" w:hAnsi="Verdana" w:cs="Verdana"/>
        </w:rPr>
        <w:t>а дела („Службени гласник РСˮ, број 97/08);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– Уредба о управљању програмима претприступне помоћи Европске уније у оквиру инструмента за претприступну помоћ (ИПА II) за период 2014−2020. године („Службени гласник РС”, број 10/19);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Уредба о управљању Прогр</w:t>
      </w:r>
      <w:r>
        <w:rPr>
          <w:rFonts w:ascii="Verdana" w:eastAsia="Verdana" w:hAnsi="Verdana" w:cs="Verdana"/>
        </w:rPr>
        <w:t>амима претприступне помоћи Европске уније у оквиру инструмента за претприступну помоћ (ИПА III) за период 2021–2027. године („Службени гласник РС”, број 29/23);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Уредбa о спровођењу програма прекограничне и транснационалне сарадње са државама чланицама Eв</w:t>
      </w:r>
      <w:r>
        <w:rPr>
          <w:rFonts w:ascii="Verdana" w:eastAsia="Verdana" w:hAnsi="Verdana" w:cs="Verdana"/>
        </w:rPr>
        <w:t>ропске уније у Републици Србији у оквиру инструмента за претприступну помоћ (ИПА II) за период 2014–2020. године („Службени гласник РС”, број 37/18);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– Уредба o одређивању тела за ревизију система управљања програмима претприступне помоћи Европске уније у </w:t>
      </w:r>
      <w:r>
        <w:rPr>
          <w:rFonts w:ascii="Verdana" w:eastAsia="Verdana" w:hAnsi="Verdana" w:cs="Verdana"/>
        </w:rPr>
        <w:t>оквиру инструмента за претприступну помоћ (ИПА II) („Службени гласник РС”, број 86/15);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– Одлука о одређивању одговорних лица и тела за управљање програмима претприступне помоћи Европске уније у оквиру инструмента за претприступну помоћ (ИПА II) за период </w:t>
      </w:r>
      <w:r>
        <w:rPr>
          <w:rFonts w:ascii="Verdana" w:eastAsia="Verdana" w:hAnsi="Verdana" w:cs="Verdana"/>
        </w:rPr>
        <w:t>2014–2020. године („Службени гласник РС”, бр. 26/19, 90/21, 130/22 и 29/23);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Одлука о одређивању органа, лица и тела за управљање програмима претприступне помоћи Европске уније у оквиру инструмента за претприступну помоћ (ИПА III) за период 2021–2027. го</w:t>
      </w:r>
      <w:r>
        <w:rPr>
          <w:rFonts w:ascii="Verdana" w:eastAsia="Verdana" w:hAnsi="Verdana" w:cs="Verdana"/>
        </w:rPr>
        <w:t>дине („Службени гласник РС”, бр. 34/23 и 77/23);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Директива о спровођењу административних провера;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Методолошко упутство за управљање ризицима у вези са појавом неправилности и превара у поступању са финансијским средствима Европске уније.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Поред наведе</w:t>
      </w:r>
      <w:r>
        <w:rPr>
          <w:rFonts w:ascii="Verdana" w:eastAsia="Verdana" w:hAnsi="Verdana" w:cs="Verdana"/>
        </w:rPr>
        <w:t>них аката, узета су у обзир и следећа стратешка документа: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Стратегија реформе јавне управе у Републици Србији за период од 2021. до 2030. године;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Стратегија развоја правосуђа за период 2020–2025;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Стратешки план Агенције за спречавање корупције за период 2023–2027. године;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Стратегија пољопривреде и руралног развоја Републике Србије за период 2014–2024. године;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– Стратегија за борбу против прања новца и финансирања тероризма за период 2020–2024. </w:t>
      </w:r>
      <w:r>
        <w:rPr>
          <w:rFonts w:ascii="Verdana" w:eastAsia="Verdana" w:hAnsi="Verdana" w:cs="Verdana"/>
        </w:rPr>
        <w:t>године;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Програм реформе управљања јавним финансијама за период 2021–2025. године.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Правни оквир ЕУ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Приликом израде Стратешког плана 2024–2026, поред правних аката и стратешких докумената Републике Србије, разматран је и правни оквир ЕУ, односно документ</w:t>
      </w:r>
      <w:r>
        <w:rPr>
          <w:rFonts w:ascii="Verdana" w:eastAsia="Verdana" w:hAnsi="Verdana" w:cs="Verdana"/>
        </w:rPr>
        <w:t>а која имају директан утицај на област заштите финансијских интереса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Главoм II Уговорa о функционисању Европске уније </w:t>
      </w:r>
      <w:r>
        <w:rPr>
          <w:rFonts w:ascii="Verdana" w:eastAsia="Verdana" w:hAnsi="Verdana" w:cs="Verdana"/>
          <w:i/>
        </w:rPr>
        <w:t>(Treaty on the Functioning of the European Union)</w:t>
      </w:r>
      <w:r>
        <w:rPr>
          <w:rFonts w:ascii="Verdana" w:eastAsia="Verdana" w:hAnsi="Verdana" w:cs="Verdana"/>
        </w:rPr>
        <w:t>, која се односи на Финансијске одредбе, уређена је борба против превара. Чланом 325.</w:t>
      </w:r>
      <w:r>
        <w:rPr>
          <w:rFonts w:ascii="Verdana" w:eastAsia="Verdana" w:hAnsi="Verdana" w:cs="Verdana"/>
        </w:rPr>
        <w:t xml:space="preserve"> наведеног уговора установљена је обавеза ЕУ и држава чланица да сузбијају преваре и друге противправне активности усмерене против финансијских интереса ЕУ. Државе чланице дужне су да, ради сузбијања превара које угрожавају финансијске интересе ЕУ, предузи</w:t>
      </w:r>
      <w:r>
        <w:rPr>
          <w:rFonts w:ascii="Verdana" w:eastAsia="Verdana" w:hAnsi="Verdana" w:cs="Verdana"/>
        </w:rPr>
        <w:t>мају исте мере, као и у случају сузбијања превара које штете њиховим сопственим финансијским интересима. Такође, државе чланице су у обавези да координирају своје деловање усмерено на заштиту финансијских интереса ЕУ, као и да организују редовну сарадњу из</w:t>
      </w:r>
      <w:r>
        <w:rPr>
          <w:rFonts w:ascii="Verdana" w:eastAsia="Verdana" w:hAnsi="Verdana" w:cs="Verdana"/>
        </w:rPr>
        <w:t>међу надлежних националних тела. Поред наведеног, утврђена је и потреба за доношењем мера које имају за циљ борбу против превара усмерених против финансијских интереса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Република Србија је, као држава кандидат за чланство у ЕУ, преузела обавезу усклађив</w:t>
      </w:r>
      <w:r>
        <w:rPr>
          <w:rFonts w:ascii="Verdana" w:eastAsia="Verdana" w:hAnsi="Verdana" w:cs="Verdana"/>
        </w:rPr>
        <w:t>ања свог националног законодавства са законодавством ЕУ, као и обавезу успостављања свих органа и тела који су потребни за правилну примену обавеза које произилазе из чланства.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Успостављање заштите финансијских интереса ЕУ представља меру институционалне н</w:t>
      </w:r>
      <w:r>
        <w:rPr>
          <w:rFonts w:ascii="Verdana" w:eastAsia="Verdana" w:hAnsi="Verdana" w:cs="Verdana"/>
        </w:rPr>
        <w:t>адоградње којом Република Србија показује спремност да пружи ефикасну заштиту средствима ЕУ, у једнакој мери и под истим третманом, као да је реч о сопственим буџетским средствима. Заштита финансијских интереса ЕУ представља обавезу свих земаља чланица ЕУ,</w:t>
      </w:r>
      <w:r>
        <w:rPr>
          <w:rFonts w:ascii="Verdana" w:eastAsia="Verdana" w:hAnsi="Verdana" w:cs="Verdana"/>
        </w:rPr>
        <w:t xml:space="preserve"> као и земаља које су у процесу приступања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Уредба бр. 883/2013 Европског парламента и Савета од 11. септембра 2013. године донета је у циљу јачања борбе против превара, корупције и других незаконитих активности којима се угрожавају финансијски интереси</w:t>
      </w:r>
      <w:r>
        <w:rPr>
          <w:rFonts w:ascii="Verdana" w:eastAsia="Verdana" w:hAnsi="Verdana" w:cs="Verdana"/>
        </w:rPr>
        <w:t xml:space="preserve">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Ради остварења наведеног циља, Европска канцеларија за борбу против превара (ОЛАФ) – (у даљем тексту: ОЛАФ) пружа помоћ државама чланицама у организовању редовне сарадње између надлежних националних тела како би активности које имају за циљ заштиту фи</w:t>
      </w:r>
      <w:r>
        <w:rPr>
          <w:rFonts w:ascii="Verdana" w:eastAsia="Verdana" w:hAnsi="Verdana" w:cs="Verdana"/>
        </w:rPr>
        <w:t xml:space="preserve">нансијских интереса ЕУ биле усклађене. Такође, ОЛАФ спроводи административне истраге у циљу борбе против превара, корупције и других незаконитих активности којима се штети финансијским интересима ЕУ. Приликом спровођења ових истрага, ОЛАФ има могућност да </w:t>
      </w:r>
      <w:r>
        <w:rPr>
          <w:rFonts w:ascii="Verdana" w:eastAsia="Verdana" w:hAnsi="Verdana" w:cs="Verdana"/>
        </w:rPr>
        <w:t>спроводи провере и инспекције на лицу места, како у државама чланицама ЕУ, тако и у трећим земљама, као и у просторијама међународних организација.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Наведене контролне активности ОЛАФ спроводи на основу овлашћења која су Европској комисији додељена Уредбом </w:t>
      </w:r>
      <w:r>
        <w:rPr>
          <w:rFonts w:ascii="Verdana" w:eastAsia="Verdana" w:hAnsi="Verdana" w:cs="Verdana"/>
        </w:rPr>
        <w:t xml:space="preserve">број 2185/96, као и у складу са важећим споразумима о сарадњи и међусобној помоћи. Током провера и инспекција на лицу места, ОЛАФ поступа сагласно важећем праву ЕУ, правилима и праксама државе која је на захтев ОЛАФ-а дужна пружити неопходну помоћ његовом </w:t>
      </w:r>
      <w:r>
        <w:rPr>
          <w:rFonts w:ascii="Verdana" w:eastAsia="Verdana" w:hAnsi="Verdana" w:cs="Verdana"/>
        </w:rPr>
        <w:t>особљу у циљу успешног обављања контролних активности.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Чланом 12а Уредбе бр. 883/2013 прописано је, без детаљнијег дефинисања мандата, задатака и институционалног оквира, да свака држава чланица треба да установи службу за координацију борбе против превара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>(Anti</w:t>
      </w: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  <w:i/>
        </w:rPr>
        <w:t>fraud coordination service</w:t>
      </w:r>
      <w:r>
        <w:rPr>
          <w:rFonts w:ascii="Verdana" w:eastAsia="Verdana" w:hAnsi="Verdana" w:cs="Verdana"/>
        </w:rPr>
        <w:t xml:space="preserve"> − </w:t>
      </w:r>
      <w:r>
        <w:rPr>
          <w:rFonts w:ascii="Verdana" w:eastAsia="Verdana" w:hAnsi="Verdana" w:cs="Verdana"/>
          <w:i/>
        </w:rPr>
        <w:t>AFCOS)</w:t>
      </w:r>
      <w:r>
        <w:rPr>
          <w:rFonts w:ascii="Verdana" w:eastAsia="Verdana" w:hAnsi="Verdana" w:cs="Verdana"/>
        </w:rPr>
        <w:t xml:space="preserve"> са циљем унапређења сарадње и размене информација са ОЛАФ-ом.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Уредба 2020/2223 Европског парламента и Савета од 23. децембра 2020. године односи се на измену и допуну Уредбе бр. 883/2013, а у погледу дефинисања нових правила за даље јачање ОЛАФ-а и утврђивања начинa рада и координације са Европском канцеларијом јавни</w:t>
      </w:r>
      <w:r>
        <w:rPr>
          <w:rFonts w:ascii="Verdana" w:eastAsia="Verdana" w:hAnsi="Verdana" w:cs="Verdana"/>
        </w:rPr>
        <w:t>х тужилаца (</w:t>
      </w:r>
      <w:r>
        <w:rPr>
          <w:rFonts w:ascii="Verdana" w:eastAsia="Verdana" w:hAnsi="Verdana" w:cs="Verdana"/>
          <w:i/>
        </w:rPr>
        <w:t>EPPO</w:t>
      </w:r>
      <w:r>
        <w:rPr>
          <w:rFonts w:ascii="Verdana" w:eastAsia="Verdana" w:hAnsi="Verdana" w:cs="Verdana"/>
        </w:rPr>
        <w:t>). Европска канцеларија јавних тужилаца (</w:t>
      </w:r>
      <w:r>
        <w:rPr>
          <w:rFonts w:ascii="Verdana" w:eastAsia="Verdana" w:hAnsi="Verdana" w:cs="Verdana"/>
          <w:i/>
        </w:rPr>
        <w:t>EPPO</w:t>
      </w:r>
      <w:r>
        <w:rPr>
          <w:rFonts w:ascii="Verdana" w:eastAsia="Verdana" w:hAnsi="Verdana" w:cs="Verdana"/>
        </w:rPr>
        <w:t>), успостављена Уредбом Савета 2017/1939, представља прво наднационално јавно тужилаштво које ће деловати у 22 државе чланице ЕУ, са основним циљем који се односи на спровођење истрага и процесуи</w:t>
      </w:r>
      <w:r>
        <w:rPr>
          <w:rFonts w:ascii="Verdana" w:eastAsia="Verdana" w:hAnsi="Verdana" w:cs="Verdana"/>
        </w:rPr>
        <w:t>рање извршилаца кривичних дела која погађају финансијске интересе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С тим у вези, Европска комисија и ОЛАФ објавили су „</w:t>
      </w:r>
      <w:r>
        <w:rPr>
          <w:rFonts w:ascii="Verdana" w:eastAsia="Verdana" w:hAnsi="Verdana" w:cs="Verdana"/>
          <w:i/>
        </w:rPr>
        <w:t>Guidance note on main tasks and responsibilities of an Anti</w:t>
      </w: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  <w:i/>
        </w:rPr>
        <w:t>Fraud Co</w:t>
      </w: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  <w:i/>
        </w:rPr>
        <w:t>ordination Service (AFCOS)</w:t>
      </w:r>
      <w:r>
        <w:rPr>
          <w:rFonts w:ascii="Verdana" w:eastAsia="Verdana" w:hAnsi="Verdana" w:cs="Verdana"/>
        </w:rPr>
        <w:t>” („Смернице о главним задацима и одгов</w:t>
      </w:r>
      <w:r>
        <w:rPr>
          <w:rFonts w:ascii="Verdana" w:eastAsia="Verdana" w:hAnsi="Verdana" w:cs="Verdana"/>
        </w:rPr>
        <w:t xml:space="preserve">орностима Службе за координацију борбе против превара </w:t>
      </w:r>
      <w:r>
        <w:rPr>
          <w:rFonts w:ascii="Verdana" w:eastAsia="Verdana" w:hAnsi="Verdana" w:cs="Verdana"/>
          <w:i/>
        </w:rPr>
        <w:t>(AFCOS)</w:t>
      </w:r>
      <w:r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 xml:space="preserve"> које имају за циљ пружање подршке државама приликом успостављања </w:t>
      </w:r>
      <w:r>
        <w:rPr>
          <w:rFonts w:ascii="Verdana" w:eastAsia="Verdana" w:hAnsi="Verdana" w:cs="Verdana"/>
          <w:i/>
        </w:rPr>
        <w:t>AFCOS-</w:t>
      </w:r>
      <w:r>
        <w:rPr>
          <w:rFonts w:ascii="Verdana" w:eastAsia="Verdana" w:hAnsi="Verdana" w:cs="Verdana"/>
        </w:rPr>
        <w:t xml:space="preserve">а и утврђивања надлежности и делокруга истог. Према овом документу, мандат </w:t>
      </w:r>
      <w:r>
        <w:rPr>
          <w:rFonts w:ascii="Verdana" w:eastAsia="Verdana" w:hAnsi="Verdana" w:cs="Verdana"/>
          <w:i/>
        </w:rPr>
        <w:t>AFCOS</w:t>
      </w:r>
      <w:r>
        <w:rPr>
          <w:rFonts w:ascii="Verdana" w:eastAsia="Verdana" w:hAnsi="Verdana" w:cs="Verdana"/>
        </w:rPr>
        <w:t xml:space="preserve">-а може се разликовати од земље до земље </w:t>
      </w:r>
      <w:r>
        <w:rPr>
          <w:rFonts w:ascii="Verdana" w:eastAsia="Verdana" w:hAnsi="Verdana" w:cs="Verdana"/>
        </w:rPr>
        <w:t xml:space="preserve">узимајући у обзир специфичност сваке понаособ. Минимум утврђен поменутим смерницама налаже да </w:t>
      </w:r>
      <w:r>
        <w:rPr>
          <w:rFonts w:ascii="Verdana" w:eastAsia="Verdana" w:hAnsi="Verdana" w:cs="Verdana"/>
          <w:i/>
        </w:rPr>
        <w:t>AFCOS</w:t>
      </w:r>
      <w:r>
        <w:rPr>
          <w:rFonts w:ascii="Verdana" w:eastAsia="Verdana" w:hAnsi="Verdana" w:cs="Verdana"/>
        </w:rPr>
        <w:t xml:space="preserve"> унутар земље координира свим законодавним, административним и истражним обавезама и активностима у вези са заштитом финансијских интереса ЕУ, као и да осигу</w:t>
      </w:r>
      <w:r>
        <w:rPr>
          <w:rFonts w:ascii="Verdana" w:eastAsia="Verdana" w:hAnsi="Verdana" w:cs="Verdana"/>
        </w:rPr>
        <w:t>ра сарадњу са ОЛАФ-ом. На захтев ОЛАФ-а, наведена служба пружа потребну помоћ пре доношења одлуке о спровођењу истраге, током истраге, као и након спровoђења исте.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У већини држава чланица ЕУ, </w:t>
      </w:r>
      <w:r>
        <w:rPr>
          <w:rFonts w:ascii="Verdana" w:eastAsia="Verdana" w:hAnsi="Verdana" w:cs="Verdana"/>
          <w:i/>
        </w:rPr>
        <w:t>AFCOS</w:t>
      </w:r>
      <w:r>
        <w:rPr>
          <w:rFonts w:ascii="Verdana" w:eastAsia="Verdana" w:hAnsi="Verdana" w:cs="Verdana"/>
        </w:rPr>
        <w:t xml:space="preserve"> је позициониран у Министарству финансија, док се надлежнос</w:t>
      </w:r>
      <w:r>
        <w:rPr>
          <w:rFonts w:ascii="Verdana" w:eastAsia="Verdana" w:hAnsi="Verdana" w:cs="Verdana"/>
        </w:rPr>
        <w:t xml:space="preserve">т и улога истог разликују и варирају од координационе улоге до независне службе са истражним овлашћењима (нпр. </w:t>
      </w:r>
      <w:r>
        <w:rPr>
          <w:rFonts w:ascii="Verdana" w:eastAsia="Verdana" w:hAnsi="Verdana" w:cs="Verdana"/>
          <w:i/>
        </w:rPr>
        <w:t xml:space="preserve">Fight Against Fraud Department </w:t>
      </w: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  <w:i/>
        </w:rPr>
        <w:t xml:space="preserve"> DLAF, Romania</w:t>
      </w:r>
      <w:r>
        <w:rPr>
          <w:rFonts w:ascii="Verdana" w:eastAsia="Verdana" w:hAnsi="Verdana" w:cs="Verdana"/>
        </w:rPr>
        <w:t>).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Од изузетне важности je примена ОЛАФ-ових смерница за израду стратешких докумената националних т</w:t>
      </w:r>
      <w:r>
        <w:rPr>
          <w:rFonts w:ascii="Verdana" w:eastAsia="Verdana" w:hAnsi="Verdana" w:cs="Verdana"/>
        </w:rPr>
        <w:t>ела за борбу против неправилности и превара у поступању са средствима ЕУ, које се разрађују у наведеном документу, а односе се на извршавање следећих задатака: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1. истражне радње, укључујући размену информација добијених у поступцима истрагa;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2. превентивно</w:t>
      </w:r>
      <w:r>
        <w:rPr>
          <w:rFonts w:ascii="Verdana" w:eastAsia="Verdana" w:hAnsi="Verdana" w:cs="Verdana"/>
        </w:rPr>
        <w:t xml:space="preserve"> деловање;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3. обуке.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Исто тако, узети су у обзир и Практични кораци у изради Националне стратегије за сузбијање неправилности и превара у поступању са средствима ЕУ </w:t>
      </w:r>
      <w:r>
        <w:rPr>
          <w:rFonts w:ascii="Verdana" w:eastAsia="Verdana" w:hAnsi="Verdana" w:cs="Verdana"/>
          <w:i/>
        </w:rPr>
        <w:t>„Practical steps in the preparation of the National Strategy for combating irregularities</w:t>
      </w:r>
      <w:r>
        <w:rPr>
          <w:rFonts w:ascii="Verdana" w:eastAsia="Verdana" w:hAnsi="Verdana" w:cs="Verdana"/>
          <w:i/>
        </w:rPr>
        <w:t xml:space="preserve"> and fraud in the handling of EU funds”.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Додатно, за упоредну анализу сагледана је Национална стратегија за превенцију и борбу против неправилности и превара које утичу на финансијске интересе Европске уније за период 2021−2027. у Републици Бугарској </w:t>
      </w:r>
      <w:r>
        <w:rPr>
          <w:rFonts w:ascii="Verdana" w:eastAsia="Verdana" w:hAnsi="Verdana" w:cs="Verdana"/>
          <w:i/>
        </w:rPr>
        <w:t>(„Nat</w:t>
      </w:r>
      <w:r>
        <w:rPr>
          <w:rFonts w:ascii="Verdana" w:eastAsia="Verdana" w:hAnsi="Verdana" w:cs="Verdana"/>
          <w:i/>
        </w:rPr>
        <w:t>ional Strategy for Preventing And Combating Irregularities and Fraud Affecting the Financial Interests of the European Union over the Period 2021</w:t>
      </w: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  <w:i/>
        </w:rPr>
        <w:t>2027. in Republic of Bulgaria”)</w:t>
      </w:r>
      <w:r>
        <w:rPr>
          <w:rFonts w:ascii="Verdana" w:eastAsia="Verdana" w:hAnsi="Verdana" w:cs="Verdana"/>
        </w:rPr>
        <w:t>. Република Бугарска, као земља чланица ЕУ, са дужим искуством у коришћењу фонд</w:t>
      </w:r>
      <w:r>
        <w:rPr>
          <w:rFonts w:ascii="Verdana" w:eastAsia="Verdana" w:hAnsi="Verdana" w:cs="Verdana"/>
        </w:rPr>
        <w:t>ова ЕУ, дефинисала је следеће стратешке циљеве: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1. бољу превенцију,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2. већу ефикасност у откривању и сузбијању неправилности и превара,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3. већу ефикасност истраге, повраћаја новца и санкције,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4. унапређење сарадње са ОЛАФ-ом и надлежним институцијама ЕУ,</w:t>
      </w:r>
      <w:r>
        <w:rPr>
          <w:rFonts w:ascii="Verdana" w:eastAsia="Verdana" w:hAnsi="Verdana" w:cs="Verdana"/>
        </w:rPr>
        <w:t xml:space="preserve"> другим државама чланицама и трећим земљама, као и проактивно укључивање у развој политика ЕУ.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III. Анализа ефеката Стратешког плана 2021−2023.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Методолошки оквир анализе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 процесу анализе ефеката Стратешког плана 2021−2023, учествовали су, поред представника АФКОС-а, и чланови АФКОС Мреже. Прикупљање релевантних података ради анализе ефеката Стратешког плана 2021−2023, као и анализе постојећег стања, извршено је уз помоћ м</w:t>
      </w:r>
      <w:r>
        <w:rPr>
          <w:rFonts w:ascii="Verdana" w:eastAsia="Verdana" w:hAnsi="Verdana" w:cs="Verdana"/>
        </w:rPr>
        <w:t>етодолошког оквира који садржи следеће: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1) извештаје о спроведеним активностима из Стратешког плана 2021–2023, Стратегије 2017–2020, као и релевантна документа која се односе на Стратешки план 2021–2023;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2) упитник за анализу ефeката Стратешког плана 2021–</w:t>
      </w:r>
      <w:r>
        <w:rPr>
          <w:rFonts w:ascii="Verdana" w:eastAsia="Verdana" w:hAnsi="Verdana" w:cs="Verdana"/>
        </w:rPr>
        <w:t>2023, намењен представницима АФКОС-а и члановима АФКОС Мреже, са 35 питања подељених у четири области (релевантност, ефективност, ефикасност и одрживост);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3) преглед и квалификацију спроведених активности из Стратешког плана 2021–2023;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r>
        <w:rPr>
          <w:rFonts w:ascii="Verdana" w:eastAsia="Verdana" w:hAnsi="Verdana" w:cs="Verdana"/>
          <w:i/>
        </w:rPr>
        <w:t>SWOT</w:t>
      </w:r>
      <w:r>
        <w:rPr>
          <w:rFonts w:ascii="Verdana" w:eastAsia="Verdana" w:hAnsi="Verdana" w:cs="Verdana"/>
        </w:rPr>
        <w:t xml:space="preserve"> анализу којо</w:t>
      </w:r>
      <w:r>
        <w:rPr>
          <w:rFonts w:ascii="Verdana" w:eastAsia="Verdana" w:hAnsi="Verdana" w:cs="Verdana"/>
        </w:rPr>
        <w:t>м су чланови АФКОС Мреже проценили снаге, слабости, могућности и претње у делокругу институција којима припадају, а приликом имплементације Стратешког плана 2021–2023;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5) структурисане интервјуе са члановима АФКОС Мреже, који су служили за прикупљање додат</w:t>
      </w:r>
      <w:r>
        <w:rPr>
          <w:rFonts w:ascii="Verdana" w:eastAsia="Verdana" w:hAnsi="Verdana" w:cs="Verdana"/>
        </w:rPr>
        <w:t>них података за обе анализе, предлагање нових активности, као и идентификовање ризика и начина за њихово превазилажење;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6) континуиране консултације са представницима АФКОС-а.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Ex – post анализа ефеката Стратешког плана 2021−2023.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За спровођење </w:t>
      </w:r>
      <w:r>
        <w:rPr>
          <w:rFonts w:ascii="Verdana" w:eastAsia="Verdana" w:hAnsi="Verdana" w:cs="Verdana"/>
          <w:i/>
        </w:rPr>
        <w:t xml:space="preserve">ex </w:t>
      </w: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  <w:i/>
        </w:rPr>
        <w:t xml:space="preserve"> post</w:t>
      </w:r>
      <w:r>
        <w:rPr>
          <w:rFonts w:ascii="Verdana" w:eastAsia="Verdana" w:hAnsi="Verdana" w:cs="Verdana"/>
        </w:rPr>
        <w:t xml:space="preserve"> анализе примењен је упитник којим је извршена анализа ефеката Стратегије 2017−2020. и који је, с обзиром на разлике, прилагођен процени Стратешког плана 2021−2023. Упитник садржи 35 питања, подељених у четири области (релевантност, ефективност, ефикасност</w:t>
      </w:r>
      <w:r>
        <w:rPr>
          <w:rFonts w:ascii="Verdana" w:eastAsia="Verdana" w:hAnsi="Verdana" w:cs="Verdana"/>
        </w:rPr>
        <w:t xml:space="preserve"> и одрживост), пружа могућност оцене досадашње ситуације и предлагања мера за будућу примену. Наведени упитник попуњен је од стране свих чланова АФКОС Мреже и представника АФКОС-а, а информације садржане у истoм дају прилику за поређење ефеката Стратешког </w:t>
      </w:r>
      <w:r>
        <w:rPr>
          <w:rFonts w:ascii="Verdana" w:eastAsia="Verdana" w:hAnsi="Verdana" w:cs="Verdana"/>
        </w:rPr>
        <w:t>плана 2021−2023. са ефектима Стратегије 2017−2020.</w:t>
      </w:r>
    </w:p>
    <w:p w:rsidR="00C712A1" w:rsidRDefault="0005033F">
      <w:pPr>
        <w:spacing w:line="137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2435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AAAABJRU5ErkJggg==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8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Графикон 1: Укупна оцена учинка Стратешког плана 2021−2023. и Стратегије 2017−2020.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Подаци из првог графикона показују да је оцена учинка Стратешког плана 2021–2023.незнатно виша у односу на Стратегију 2</w:t>
      </w:r>
      <w:r>
        <w:rPr>
          <w:rFonts w:ascii="Verdana" w:eastAsia="Verdana" w:hAnsi="Verdana" w:cs="Verdana"/>
        </w:rPr>
        <w:t xml:space="preserve">017–2020. (4,41 према 4,23). Повећани су резултати за релевантност (4,66 према 4,44), ефективност (4,01 према 3,60) и одрживост (4,59 према 4,46), док су вредности за ефикасност занемарљиво ниже (4,39 према 4,41). Незнатно више вредности учинка Стратешког </w:t>
      </w:r>
      <w:r>
        <w:rPr>
          <w:rFonts w:ascii="Verdana" w:eastAsia="Verdana" w:hAnsi="Verdana" w:cs="Verdana"/>
        </w:rPr>
        <w:t>плана 2021−2023. образлажу се протеком времена, у коме су чланови АФКОС Мреже добро упознали делокруг и значај АФКОС-а, своју улогу у АФКОС Мрежи, као и активности које треба да остваре. Препоруке дате приликом анализе ефеката Стратегије 2017–2020, у погле</w:t>
      </w:r>
      <w:r>
        <w:rPr>
          <w:rFonts w:ascii="Verdana" w:eastAsia="Verdana" w:hAnsi="Verdana" w:cs="Verdana"/>
        </w:rPr>
        <w:t>ду критеријума ефективности, посебно су узете у обзир од стране релевантних субјеката, што је резултирало бољом оценом овог критеријума у односу на друге. Може се извести општи закључак да процес стратешког планирања има позитиван утицај на испуњење мисије</w:t>
      </w:r>
      <w:r>
        <w:rPr>
          <w:rFonts w:ascii="Verdana" w:eastAsia="Verdana" w:hAnsi="Verdana" w:cs="Verdana"/>
        </w:rPr>
        <w:t xml:space="preserve"> у процесу борбе против превара и управљања неправилностима у поступању са финансијским средствима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 наставку следи преглед по критеријумима: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Релевантност</w:t>
      </w:r>
    </w:p>
    <w:p w:rsidR="00C712A1" w:rsidRDefault="0005033F">
      <w:pPr>
        <w:spacing w:line="137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5196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692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Графикон 2: Релевантност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Увидом у други графикон може се констатовати да је средња оцена одгово</w:t>
      </w:r>
      <w:r>
        <w:rPr>
          <w:rFonts w:ascii="Verdana" w:eastAsia="Verdana" w:hAnsi="Verdana" w:cs="Verdana"/>
        </w:rPr>
        <w:t>ра у погледу релевантности Стратешког плана 2021−2023. висока, (4,66/5), као и то да је виша у односу на Стратегију 2017−2020. што указује да је у области заштите финансијских интереса ЕУ, стратешко планирање, као процес, оправдано. Такође, препозната је н</w:t>
      </w:r>
      <w:r>
        <w:rPr>
          <w:rFonts w:ascii="Verdana" w:eastAsia="Verdana" w:hAnsi="Verdana" w:cs="Verdana"/>
        </w:rPr>
        <w:t>еопходност наставка политике у вези са заштитом финансијских интереса ЕУ и даљег развоја ове области као „интегралног дела процеса ЕУ интеграција”, што је исказано највећом оценом (5,00).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Укљученост организација цивилног друштва је позитивније оцењена, као</w:t>
      </w:r>
      <w:r>
        <w:rPr>
          <w:rFonts w:ascii="Verdana" w:eastAsia="Verdana" w:hAnsi="Verdana" w:cs="Verdana"/>
        </w:rPr>
        <w:t xml:space="preserve"> и чињеница да је документ заснован на препорукама ОЛАФ-а, уз повећање транспарентности Стратешког плана 2021−2023. Одговори достављени у писаној форми, и појашњени на интервјуима, показују да је неопходно још више радити на транспарентности и подизању све</w:t>
      </w:r>
      <w:r>
        <w:rPr>
          <w:rFonts w:ascii="Verdana" w:eastAsia="Verdana" w:hAnsi="Verdana" w:cs="Verdana"/>
        </w:rPr>
        <w:t>сти у вези са заштитом финансијских интереса ЕУ.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Имајући у виду да је већина параметара боље оцењена него код анализе ефеката Стратегије 2017−2020, примећује се важност дефинисања препрека и препознавања решења која се могу користити за нови стратешки окви</w:t>
      </w:r>
      <w:r>
        <w:rPr>
          <w:rFonts w:ascii="Verdana" w:eastAsia="Verdana" w:hAnsi="Verdana" w:cs="Verdana"/>
        </w:rPr>
        <w:t xml:space="preserve">р. То </w:t>
      </w:r>
      <w:r>
        <w:rPr>
          <w:rFonts w:ascii="Verdana" w:eastAsia="Verdana" w:hAnsi="Verdana" w:cs="Verdana"/>
        </w:rPr>
        <w:lastRenderedPageBreak/>
        <w:t>додатно захтева праћење имплементације, кроз редовне анализе проблема, и проактивно деловање на њиховом отклањању.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Такође, наведено је да се за процес израде Стратешког плана 2024−2026. искористе и стратешка документа која се баве овом тематиком, као</w:t>
      </w:r>
      <w:r>
        <w:rPr>
          <w:rFonts w:ascii="Verdana" w:eastAsia="Verdana" w:hAnsi="Verdana" w:cs="Verdana"/>
        </w:rPr>
        <w:t xml:space="preserve"> и то да је потребно укључење и других актера којих се тиче ова област, што остаје, услед кратког временског рока, препорука за наредни стратешки документ.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Ефективност</w:t>
      </w:r>
    </w:p>
    <w:p w:rsidR="00C712A1" w:rsidRDefault="0005033F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5000000" cy="25892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9RAGRhuuExywAAAABJRU5ErkJggg==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34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Графикон 3: Ефективност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Анализом дела питања из упитника која се односе на ефективност</w:t>
      </w:r>
      <w:r>
        <w:rPr>
          <w:rFonts w:ascii="Verdana" w:eastAsia="Verdana" w:hAnsi="Verdana" w:cs="Verdana"/>
        </w:rPr>
        <w:t xml:space="preserve"> уочава се да је средња оцена досадашње имплементације повећана са 3,60 на 4,01. Приметан је напредак код три параметра ефективности, док се код преостала два може констатовати стагнација.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Ефективност циљева Стратешког плана 2021−2023 оцењена је посебно, а</w:t>
      </w:r>
      <w:r>
        <w:rPr>
          <w:rFonts w:ascii="Verdana" w:eastAsia="Verdana" w:hAnsi="Verdana" w:cs="Verdana"/>
        </w:rPr>
        <w:t xml:space="preserve"> преглед резултата дат је у Графикону 4.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Ефективност циљева Стратешког плана 2021−2023.</w:t>
      </w:r>
    </w:p>
    <w:p w:rsidR="00C712A1" w:rsidRDefault="0005033F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0" cy="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k=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Графикон 4: Ефективност циљева Стратешког плана 2021−2023.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Иако се приказани резултати не могу директно упоредити са резултатима испуњености циљева Стратегије 2017−2020., посредно се може закључити да је дошло до побољшања у погледу испуњености циљева Стратешког плана 2021−2023. Оцене испуњености посебних циљева С</w:t>
      </w:r>
      <w:r>
        <w:rPr>
          <w:rFonts w:ascii="Verdana" w:eastAsia="Verdana" w:hAnsi="Verdana" w:cs="Verdana"/>
        </w:rPr>
        <w:t>тратешког плана 2021−2023. су више и варирају од 3,29 до 4,22, док су у Стратегији 2017−2020. имале нижи распон, од 2,57 до 3,25, што указује на бољу испуњеност циљева Стратешког плана 2021−2023. по перцепцији чланова АФКОС Мреже. Испуњеност општег циља, к</w:t>
      </w:r>
      <w:r>
        <w:rPr>
          <w:rFonts w:ascii="Verdana" w:eastAsia="Verdana" w:hAnsi="Verdana" w:cs="Verdana"/>
        </w:rPr>
        <w:t>оји је редефинисан у Стратешком плану 2021−2023, оцењена је са 4,18, као и код Стратегије 2017−2020.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Евидентан је напредак у делу који се односи на превентивно деловање и унапређење процеса раног откривања превара, док спровођење истражних радњи, сходно да</w:t>
      </w:r>
      <w:r>
        <w:rPr>
          <w:rFonts w:ascii="Verdana" w:eastAsia="Verdana" w:hAnsi="Verdana" w:cs="Verdana"/>
        </w:rPr>
        <w:t xml:space="preserve">тим оценама, захтева унапређење. Иако су активности у </w:t>
      </w:r>
      <w:r>
        <w:rPr>
          <w:rFonts w:ascii="Verdana" w:eastAsia="Verdana" w:hAnsi="Verdana" w:cs="Verdana"/>
        </w:rPr>
        <w:lastRenderedPageBreak/>
        <w:t>оквиру посебног циља 5, који се односи на подизање нивоа свести јавности, спроведене, оне нису обухватиле ширу циљну групу и јавност у целини.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На основу разговора са представницима АФКОС-а и члановима А</w:t>
      </w:r>
      <w:r>
        <w:rPr>
          <w:rFonts w:ascii="Verdana" w:eastAsia="Verdana" w:hAnsi="Verdana" w:cs="Verdana"/>
        </w:rPr>
        <w:t xml:space="preserve">ФКОС Мреже, закључено је, да се мора наставити са активностима које се односе на јачање превентивног деловања, раног откривања превара и истражних радњи, како би се побољшали капацитети и унапредио систем заштите финансијских интереса ЕУ. Када се сумирају </w:t>
      </w:r>
      <w:r>
        <w:rPr>
          <w:rFonts w:ascii="Verdana" w:eastAsia="Verdana" w:hAnsi="Verdana" w:cs="Verdana"/>
        </w:rPr>
        <w:t>оцене и сагледају коментари анкетираних учесника у процесу анализе ефеката, може се констатовати да је Стратешки план 2021−2023. у потпуности обухватио релевантне области.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Ефикасност</w:t>
      </w:r>
    </w:p>
    <w:p w:rsidR="00C712A1" w:rsidRDefault="0005033F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5000000" cy="2204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q28mIJQGorAAAAAASUVORK5CYII=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Графикон 5: Ефикасност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Одговори у сегменту ефикасности указују да су из</w:t>
      </w:r>
      <w:r>
        <w:rPr>
          <w:rFonts w:ascii="Verdana" w:eastAsia="Verdana" w:hAnsi="Verdana" w:cs="Verdana"/>
        </w:rPr>
        <w:t>абрани параметри у имплементацији Стратешког плана 2021−2023. оцењени средњом оценом 4,39/5, што је скоро у истом нивоу као и код оцене Стратегије 2017−2020. Запажена је адекватнија утрошеност средстава и поступање сходно утврђеним роковима, с тим што је С</w:t>
      </w:r>
      <w:r>
        <w:rPr>
          <w:rFonts w:ascii="Verdana" w:eastAsia="Verdana" w:hAnsi="Verdana" w:cs="Verdana"/>
        </w:rPr>
        <w:t>тратешким планом 2021−2023, као крајњи рок за спровођење активности предвиђен последњи квартал 2023. године, што је резултирало реализацијом великог броја активности у овом интервалу. Препоручено је да се активности у Стратешком плану 2024−2026. предвиђају</w:t>
      </w:r>
      <w:r>
        <w:rPr>
          <w:rFonts w:ascii="Verdana" w:eastAsia="Verdana" w:hAnsi="Verdana" w:cs="Verdana"/>
        </w:rPr>
        <w:t xml:space="preserve"> на годишњем нивоу, а не трогодишњем, као до сада, што ће омогућити фреквентније уочавање препрека, њихово благовремено отклањање и евентуално утврђивање алтернативних решења.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Одрживост</w:t>
      </w:r>
    </w:p>
    <w:p w:rsidR="00C712A1" w:rsidRDefault="0005033F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5000000" cy="16102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zqvNOZ2FYAAAAASUVORK5CYII=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Графикон 6: Одрживост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Средња оцена у области одрживости је такође ви</w:t>
      </w:r>
      <w:r>
        <w:rPr>
          <w:rFonts w:ascii="Verdana" w:eastAsia="Verdana" w:hAnsi="Verdana" w:cs="Verdana"/>
        </w:rPr>
        <w:t>сока (4,59/5). Одговори упућују на то да је АФКОС унапредио координациону улогу (сa 4,40 на 4,78) што не искључује потребу за одржавањем високог нивоа у наредном периоду. Такође, побољшани су механизми у погледу дуготрајне одрживости и користи од Стратешко</w:t>
      </w:r>
      <w:r>
        <w:rPr>
          <w:rFonts w:ascii="Verdana" w:eastAsia="Verdana" w:hAnsi="Verdana" w:cs="Verdana"/>
        </w:rPr>
        <w:t>г плана 2021−2023, док је незнатно нижа оцена у вези са институционалним капацитетом последица флуктуације кадрова.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IV. Анализа ризика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Анализом ризика разматран је начин функционисања система заштите финансијских интереса ЕУ по фазама циклуса борбе против </w:t>
      </w:r>
      <w:r>
        <w:rPr>
          <w:rFonts w:ascii="Verdana" w:eastAsia="Verdana" w:hAnsi="Verdana" w:cs="Verdana"/>
        </w:rPr>
        <w:t>превара. За потребе ове анализе узете су у обзир три основне фазе, и то: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фаза превентивног деловања на заштити финансијских интереса ЕУ;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фаза раног откривања, пријављивања и поступања по неправилностима и сумњама на превару;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– фаза спровођења истражн</w:t>
      </w:r>
      <w:r>
        <w:rPr>
          <w:rFonts w:ascii="Verdana" w:eastAsia="Verdana" w:hAnsi="Verdana" w:cs="Verdana"/>
        </w:rPr>
        <w:t>их радњи у вези са злоупотребом финансијских средстава ЕУ, праћења судских поступака и повраћаја финансијских средстава у буџет Републике Србије.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Такође, узета је у обзир и међуинституционална координација и сарадња, која прожима све фазе у домену сарадње </w:t>
      </w:r>
      <w:r>
        <w:rPr>
          <w:rFonts w:ascii="Verdana" w:eastAsia="Verdana" w:hAnsi="Verdana" w:cs="Verdana"/>
        </w:rPr>
        <w:t>релевантних институција. Поменутим поступком идентификовани су и описани ризици са могућим узроцима и спроведена је квалитативна анализа и процена укупне изложености ризику.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</w:rPr>
        <w:t>Табела 1: Оцена укупне изложености ризицима по фазама циклуса борбе против превара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6442"/>
        <w:gridCol w:w="1701"/>
      </w:tblGrid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Опис ризика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Укупна изложеност ризику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Превентивно деловање на заштити финансијских интереса ЕУ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Неадекватно постављање приоритета задацима у вези са заштитом финансијских интереса ЕУ, као и недовољно утврђена одговорност лица у процесу.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Непрепознавање слабости у процесу управљања финансијским средствима ЕУ или злоупотребљена знања о слабостима.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Недовољно познавање прописа, процедура, пројектног циклуса, као и недостатак искуства запослених и новозапослених у процесу </w:t>
            </w:r>
            <w:r>
              <w:rPr>
                <w:rFonts w:ascii="Verdana" w:eastAsia="Verdana" w:hAnsi="Verdana" w:cs="Verdana"/>
              </w:rPr>
              <w:t>управљања финансијским средствима ЕУ.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Неблаговремено праћење процеса имплементације одобрених пројеката (уместо од самог почетка прати се у одмаклим фазама).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Недовољна информисаност јавности, као и корисника и потенцијалних корисника финансијских средстава ЕУ о потреби и важности наменског коришћења тих </w:t>
            </w:r>
            <w:r>
              <w:rPr>
                <w:rFonts w:ascii="Verdana" w:eastAsia="Verdana" w:hAnsi="Verdana" w:cs="Verdana"/>
              </w:rPr>
              <w:lastRenderedPageBreak/>
              <w:t>средстава и сузбијања неправилности и превара.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Рано откривање, пријављивање и поступање по неправилн</w:t>
            </w:r>
            <w:r>
              <w:rPr>
                <w:rFonts w:ascii="Verdana" w:eastAsia="Verdana" w:hAnsi="Verdana" w:cs="Verdana"/>
                <w:b/>
              </w:rPr>
              <w:t>остима и сумњама на превару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Занемарљив број пријава неправилности које подносе запослени у систему управљања финансијским средствима ЕУ.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Смањен број пријава неправилности из екстерних извора.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Недовољна информисаност јавности о потреби и важности пријављивања потенцијалних злоупотреба насталих приликом коришћења финансијских средстава ЕУ.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Недовољно развијена структура за извештавање кроз интерне информационе системе као и кроз Информа</w:t>
            </w:r>
            <w:r>
              <w:rPr>
                <w:rFonts w:ascii="Verdana" w:eastAsia="Verdana" w:hAnsi="Verdana" w:cs="Verdana"/>
              </w:rPr>
              <w:t>циони систем за управљање неправилностима (ИМС).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Недовољно транспарентан и јавности видљив начин пријављивања неправилности и сумњи на превару.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Неблаговремена размена информација о уоченим неправилностима односно црвених сигнала у п</w:t>
            </w:r>
            <w:r>
              <w:rPr>
                <w:rFonts w:ascii="Verdana" w:eastAsia="Verdana" w:hAnsi="Verdana" w:cs="Verdana"/>
              </w:rPr>
              <w:t>оступку контроле унутар система.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средња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Спровођење истражних радњи у вези са злоупотребом финансијских средстава ЕУ, праћење судских поступака и повраћаја финансијских средстава у буџет Републике Србије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Неадекватна и/или неблаговремена реакција одговорних тела на пријављене неправилности и сумње на превару.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Неблаговремена размена информација и недовољно познавање методологије рада ОЛАФ-а.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Успоравање процеса подизања оптужница услед недовољног познавања важећих правила ЕУ, недостатка изворних докумената на српском језику и ограничених преводилачких ресурса.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Недовољно развијен механизам за повраћај ненаменски утрошених средстава у буџет Републике Србије.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висока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Недостатак развијене свести запослених у систему локалне самоуправе о обавези повраћаја ненаменски утрошених средстава у буџет Републике Србије.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</w:t>
            </w:r>
            <w:r>
              <w:rPr>
                <w:rFonts w:ascii="Verdana" w:eastAsia="Verdana" w:hAnsi="Verdana" w:cs="Verdana"/>
              </w:rPr>
              <w:t>исока</w:t>
            </w:r>
          </w:p>
        </w:tc>
      </w:tr>
    </w:tbl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Анализа ризика у погледу начина функционисања система заштите финансијских интереса ЕУ указала је да постоји значајан простор за унапређење мера и механизама у свим фазама циклуса борбе против </w:t>
      </w:r>
      <w:r>
        <w:rPr>
          <w:rFonts w:ascii="Verdana" w:eastAsia="Verdana" w:hAnsi="Verdana" w:cs="Verdana"/>
        </w:rPr>
        <w:lastRenderedPageBreak/>
        <w:t>превара, а што је преточено у мере и активности за оства</w:t>
      </w:r>
      <w:r>
        <w:rPr>
          <w:rFonts w:ascii="Verdana" w:eastAsia="Verdana" w:hAnsi="Verdana" w:cs="Verdana"/>
        </w:rPr>
        <w:t>рење општег и посебних циљева у оквиру Стратешког плана 2024−2026.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V. Визија и циљеви Стратешког плана 2024−2026.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Визија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 xml:space="preserve">Јака и стабилна позиција Републике Србије у погледу преговора о чланству, као и коришћења финансијске помоћи ЕУ у наредним програмским </w:t>
      </w:r>
      <w:r>
        <w:rPr>
          <w:rFonts w:ascii="Verdana" w:eastAsia="Verdana" w:hAnsi="Verdana" w:cs="Verdana"/>
        </w:rPr>
        <w:t>периодима.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Општи циљ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Подизање заштите финансијских интереса ЕУ на виши ниво, путем ангажовања релевантних институција Републике Србије, а кроз све фазе циклуса борбе против превара.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Посебни циљеви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На темељу анализа постојећег стања, претходно постигнутих р</w:t>
      </w:r>
      <w:r>
        <w:rPr>
          <w:rFonts w:ascii="Verdana" w:eastAsia="Verdana" w:hAnsi="Verdana" w:cs="Verdana"/>
        </w:rPr>
        <w:t>езултата и приоритета за деловање путем новог стратешког документа издвојени су посебни циљеви, и то: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1. јачање превентивног деловања на заштити финансијских интереса ЕУ;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2. унапређење процеса раног откривања превара, пријављивања и поступања по пријављени</w:t>
      </w:r>
      <w:r>
        <w:rPr>
          <w:rFonts w:ascii="Verdana" w:eastAsia="Verdana" w:hAnsi="Verdana" w:cs="Verdana"/>
        </w:rPr>
        <w:t>м неправилностима и сумњама на превару;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3. унапређење процеса спровођења истражних радњи у вези са злоупотребом финансијских средстава ЕУ, праћења судских поступака и праћењa повраћаја финансијских средстава у буџет Републике Србије.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VI. Мере за остваривање циљева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Имајући у виду да испуњење посебних циљева представља предуслов за остваривање општег циља, пратећим планом активности предвиђене су мере, као скуп међусобно повезаних активности, чије спровођење ће бити поверено надлежним ин</w:t>
      </w:r>
      <w:r>
        <w:rPr>
          <w:rFonts w:ascii="Verdana" w:eastAsia="Verdana" w:hAnsi="Verdana" w:cs="Verdana"/>
        </w:rPr>
        <w:t>ституцијама.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Сагласно утврђеним посебним циљевима, предвиђене су, у оквиру истих, следеће мере: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  <w:b/>
        </w:rPr>
        <w:t>1. Јачање превентивног деловања на заштити финансијских интереса ЕУ: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1.1 – Подизање капацитета људских ресурса у оквиру превентивног деловања на заштити фи</w:t>
      </w:r>
      <w:r>
        <w:rPr>
          <w:rFonts w:ascii="Verdana" w:eastAsia="Verdana" w:hAnsi="Verdana" w:cs="Verdana"/>
        </w:rPr>
        <w:t>нансијских интереса ЕУ (усвајање знања из области подршке ЕУ, управљања пројектима и праћења имплементације пројеката);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1.2 – Унапређење интерних процедура у области превентивног деловања на заштити финансијских интереса ЕУ;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1.3 – Развијање сарад</w:t>
      </w:r>
      <w:r>
        <w:rPr>
          <w:rFonts w:ascii="Verdana" w:eastAsia="Verdana" w:hAnsi="Verdana" w:cs="Verdana"/>
        </w:rPr>
        <w:t>ње и размене информација у сфери превентивног деловања на заштити финансијских интереса ЕУ, а самим тим и финансијских интереса Републике Србије;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Мерa 1.4 – Измена и/или усклађивање правног оквира ради јачања превентивног деловања на заштити финансијских и</w:t>
      </w:r>
      <w:r>
        <w:rPr>
          <w:rFonts w:ascii="Verdana" w:eastAsia="Verdana" w:hAnsi="Verdana" w:cs="Verdana"/>
        </w:rPr>
        <w:t>нтереса ЕУ;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Мера 1.5 – Подизање нивоа свести о значају заштите финансијских интереса ЕУ и финансијских интереса Републике Србије и пријављивања неправилности и сумњи на превару унутар и ван система;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1.6 – Повећање видљивости о значају заштите финанс</w:t>
      </w:r>
      <w:r>
        <w:rPr>
          <w:rFonts w:ascii="Verdana" w:eastAsia="Verdana" w:hAnsi="Verdana" w:cs="Verdana"/>
        </w:rPr>
        <w:t>ијских интереса ЕУ и финансијских интереса Републике Србије код других заинтересованих страна, јавности и потенцијалних субјеката који пријављују неправилности унутар и ван система.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  <w:b/>
        </w:rPr>
        <w:t>2.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Унапређење процеса раног откривања превара, пријављивања и поступања по</w:t>
      </w:r>
      <w:r>
        <w:rPr>
          <w:rFonts w:ascii="Verdana" w:eastAsia="Verdana" w:hAnsi="Verdana" w:cs="Verdana"/>
          <w:b/>
        </w:rPr>
        <w:t xml:space="preserve"> пријављеним неправилностима и сумњама на превару: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2.1 – Развијање сарадње и размене информација у области раног откривања превара;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2.2 – Подизање капацитета АФКОС-а ради унапређења процеса раног откривања превара;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2.3 – Подизање капацитет</w:t>
      </w:r>
      <w:r>
        <w:rPr>
          <w:rFonts w:ascii="Verdana" w:eastAsia="Verdana" w:hAnsi="Verdana" w:cs="Verdana"/>
        </w:rPr>
        <w:t>а људских ресурса унутар система у оквиру процеса раног откривања превара за уочавање и детектовање поузданих и валидних сигнала неправилности и процену значаја пријављених информација.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  <w:b/>
        </w:rPr>
        <w:t>3. Унапређење процеса спровођења истражних радњи у вези са злоупотребо</w:t>
      </w:r>
      <w:r>
        <w:rPr>
          <w:rFonts w:ascii="Verdana" w:eastAsia="Verdana" w:hAnsi="Verdana" w:cs="Verdana"/>
          <w:b/>
        </w:rPr>
        <w:t>м финансијских средстава ЕУ, праћења судских поступака и праћењa повраћаја финансијских средстава у буџет Републике Србије: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3.1 – Унапређење сарадње и размене информација у спровођењу истражних радњи;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3.2 – Подизање капацитета људских ресурса рад</w:t>
      </w:r>
      <w:r>
        <w:rPr>
          <w:rFonts w:ascii="Verdana" w:eastAsia="Verdana" w:hAnsi="Verdana" w:cs="Verdana"/>
        </w:rPr>
        <w:t>и унапређења спровођења истражних радњи;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3.3 – Измена и/или усклађивање правног оквира у циљу унапређења спровођења истражних радњи;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3.4 – Измена и/или усклађивање организационе структуре ради унапређења спровођења истражних радњи; 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Мера 3.5 – П</w:t>
      </w:r>
      <w:r>
        <w:rPr>
          <w:rFonts w:ascii="Verdana" w:eastAsia="Verdana" w:hAnsi="Verdana" w:cs="Verdana"/>
        </w:rPr>
        <w:t>обољшање материјално-техничких капацитета институција надлежних за спровођење истражних радњи.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VII. Институције укључене у процес спровођења активности, праћење и извештавање о оствареним резултатима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Остваривање циљева и отклањање уочених ризика конкретизо</w:t>
      </w:r>
      <w:r>
        <w:rPr>
          <w:rFonts w:ascii="Verdana" w:eastAsia="Verdana" w:hAnsi="Verdana" w:cs="Verdana"/>
        </w:rPr>
        <w:t>вано је кроз поједине кораке, односно активности утврђене планом активности који чини саставни део Стратешког плана 2024−2026.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Спровођење Стратешког плана 2024−2026. у надлежности је АФКОС-а и институција које имају именоване представнике у АФКОС Мрежи. На</w:t>
      </w:r>
      <w:r>
        <w:rPr>
          <w:rFonts w:ascii="Verdana" w:eastAsia="Verdana" w:hAnsi="Verdana" w:cs="Verdana"/>
        </w:rPr>
        <w:t>ведене институције су планом активности одређене за носиоце појединачних активности, а праћење спровођења Стратешког плана 2024−2026. у надлежности је АФКОС-а и представља континуирану активност. О свим реализованим активностима АФКОС информише АФКОС Мрежу</w:t>
      </w:r>
      <w:r>
        <w:rPr>
          <w:rFonts w:ascii="Verdana" w:eastAsia="Verdana" w:hAnsi="Verdana" w:cs="Verdana"/>
        </w:rPr>
        <w:t xml:space="preserve"> путем редовних састанака.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lastRenderedPageBreak/>
        <w:t>Министарство финансија − АФКОС извештава Владу сваких шест месеци о спровођењу циљева и активности из Стратешког плана 2024−2026. Приликом израде ових извештаја, институције одређене за носиоце појединачних активности, писаним путем, извештавају АФКОС о ре</w:t>
      </w:r>
      <w:r>
        <w:rPr>
          <w:rFonts w:ascii="Verdana" w:eastAsia="Verdana" w:hAnsi="Verdana" w:cs="Verdana"/>
        </w:rPr>
        <w:t>ализацији активности за које су задужене.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VIII. Финансијска средстава потребна за усвајање Стратешког плана 2024−2026.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За поступак усвајања Стратешког плана 2024−2026. нису потребна финансијска средства.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IX. План активности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План активности садржи скуп мера и активности које је потребно предузети ради остварења предвиђених циљева. Поред наведеног, истим су утврђене институције задужене за спровођење активности, органи партнери у спровођењу активности, рокови за спровођење акти</w:t>
      </w:r>
      <w:r>
        <w:rPr>
          <w:rFonts w:ascii="Verdana" w:eastAsia="Verdana" w:hAnsi="Verdana" w:cs="Verdana"/>
        </w:rPr>
        <w:t>вности, извори финансирања, као и показатељи.</w:t>
      </w:r>
    </w:p>
    <w:p w:rsidR="00C712A1" w:rsidRDefault="0005033F">
      <w:pPr>
        <w:spacing w:line="210" w:lineRule="atLeast"/>
      </w:pPr>
      <w:r>
        <w:rPr>
          <w:rFonts w:ascii="Verdana" w:eastAsia="Verdana" w:hAnsi="Verdana" w:cs="Verdana"/>
        </w:rPr>
        <w:t>План активности чини саставни део овог документа.</w:t>
      </w:r>
    </w:p>
    <w:p w:rsidR="00C712A1" w:rsidRDefault="0005033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План активности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671"/>
        <w:gridCol w:w="1441"/>
        <w:gridCol w:w="1441"/>
        <w:gridCol w:w="586"/>
        <w:gridCol w:w="280"/>
        <w:gridCol w:w="280"/>
        <w:gridCol w:w="1346"/>
        <w:gridCol w:w="1507"/>
      </w:tblGrid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Општи циљ:</w:t>
            </w:r>
            <w:r>
              <w:rPr>
                <w:rFonts w:ascii="Verdana" w:eastAsia="Verdana" w:hAnsi="Verdana" w:cs="Verdana"/>
              </w:rPr>
              <w:t xml:space="preserve"> Подизање заштите финансијских интереса ЕУ на виши ниво, путем ангажовања релевантних институција Републике Србије, а кроз све фазе ци</w:t>
            </w:r>
            <w:r>
              <w:rPr>
                <w:rFonts w:ascii="Verdana" w:eastAsia="Verdana" w:hAnsi="Verdana" w:cs="Verdana"/>
              </w:rPr>
              <w:t>клуса борбе против превара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Посебни циљ 1. Јачање превентивног деловања на заштити финансијских интереса ЕУ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Мера 1.1 Подизање капацитета људских ресурса у оквиру превентивног деловања на заштити финансијских интереса ЕУ (усвајање знања из области подршке </w:t>
            </w:r>
            <w:r>
              <w:rPr>
                <w:rFonts w:ascii="Verdana" w:eastAsia="Verdana" w:hAnsi="Verdana" w:cs="Verdana"/>
              </w:rPr>
              <w:t>ЕУ, управљања пројектима и праћења имплементације пројеката)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Одржавање обука и радионица у циљу подизања капацитета свих релевантних учесника у процесу управљања средствима </w:t>
            </w:r>
            <w:r>
              <w:rPr>
                <w:rFonts w:ascii="Verdana" w:eastAsia="Verdana" w:hAnsi="Verdana" w:cs="Verdana"/>
              </w:rPr>
              <w:lastRenderedPageBreak/>
              <w:t>ЕУ са фокусом на приоритизацију задатака и одговорнoсти појединаца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Министарство финансија – Сектор за управљање средствима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</w:t>
            </w:r>
            <w:r>
              <w:rPr>
                <w:rFonts w:ascii="Verdana" w:eastAsia="Verdana" w:hAnsi="Verdana" w:cs="Verdana"/>
              </w:rPr>
              <w:t xml:space="preserve">арство финансија – Сектор за уговарање и финансирање програма из средстава Европске уније, </w:t>
            </w:r>
            <w:r>
              <w:rPr>
                <w:rFonts w:ascii="Verdana" w:eastAsia="Verdana" w:hAnsi="Verdana" w:cs="Verdana"/>
              </w:rPr>
              <w:lastRenderedPageBreak/>
              <w:t>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Донаторска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Спроведене обуке и радионице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Тренинзи и радионице прилагођене захтевима и потребама запослених у Канцеларији за ревизију си</w:t>
            </w:r>
            <w:r>
              <w:rPr>
                <w:rFonts w:ascii="Verdana" w:eastAsia="Verdana" w:hAnsi="Verdana" w:cs="Verdana"/>
              </w:rPr>
              <w:t>стема управљања средствима Европске уније, на теме: превенције и детекције превара и форензичко рачуноводство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Канцеларија за ревизију система управљања средствима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Тwinning light projekat EUD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Донаторска средства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Број сати едукације по запосленом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Одржавање радионица за кориснике пројеката финансираних из програма европске територијалне сарадње са државама чланицама ЕУ у Републици Србији у оквиру ИПА III, а у циљу јачања капацитета корисника за самостално спр</w:t>
            </w:r>
            <w:r>
              <w:rPr>
                <w:rFonts w:ascii="Verdana" w:eastAsia="Verdana" w:hAnsi="Verdana" w:cs="Verdana"/>
              </w:rPr>
              <w:t>овођење пројектних активности ради обезбеђивањ</w:t>
            </w:r>
            <w:r>
              <w:rPr>
                <w:rFonts w:ascii="Verdana" w:eastAsia="Verdana" w:hAnsi="Verdana" w:cs="Verdana"/>
              </w:rPr>
              <w:lastRenderedPageBreak/>
              <w:t>а свеобухватније заштите финансијских интереса ЕУ, као и сопствених буџета корисника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Министарство за европске интеграције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Управљачка тела програма европске територијалне сарадње, Заједнички секретаријати, Минис</w:t>
            </w:r>
            <w:r>
              <w:rPr>
                <w:rFonts w:ascii="Verdana" w:eastAsia="Verdana" w:hAnsi="Verdana" w:cs="Verdana"/>
              </w:rPr>
              <w:t>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постојећи капацитети: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извор 1: буџетска средства – плате државних службеника;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извор 2: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ИПА накнаде које лица ангажована за рад у антенама заједничких секретаријата редовно примају из </w:t>
            </w:r>
            <w:r>
              <w:rPr>
                <w:rFonts w:ascii="Verdana" w:eastAsia="Verdana" w:hAnsi="Verdana" w:cs="Verdana"/>
              </w:rPr>
              <w:lastRenderedPageBreak/>
              <w:t>ИПА средстава за конкретни програм европске територијалне сарадње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Број одржаних радионица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1.2 Унапређење интерних процедура у области превентивног деловањ</w:t>
            </w:r>
            <w:r>
              <w:rPr>
                <w:rFonts w:ascii="Verdana" w:eastAsia="Verdana" w:hAnsi="Verdana" w:cs="Verdana"/>
              </w:rPr>
              <w:t>а на заштити финансијских интереса ЕУ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Доношење Приручника o процедурама за рад Националног органа и Приручника o процедурама за рад Контролног тела у Републици Србији за програме европске територијалне сарадње са државама чланицама ЕУ који се спроводе по моделу дељеног управљања у оквиру ИПА I</w:t>
            </w:r>
            <w:r>
              <w:rPr>
                <w:rFonts w:ascii="Verdana" w:eastAsia="Verdana" w:hAnsi="Verdana" w:cs="Verdana"/>
              </w:rPr>
              <w:t>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за европске интеграције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1: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Project Preparation Facility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</w:rPr>
              <w:t>(PPF 10)</w:t>
            </w:r>
            <w:r>
              <w:rPr>
                <w:rFonts w:ascii="Verdana" w:eastAsia="Verdana" w:hAnsi="Verdana" w:cs="Verdana"/>
              </w:rPr>
              <w:t xml:space="preserve"> и извор 2: 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Донет Приручник o процедурама за рад Националног органа, као и Приручник o процедурама за рад Контролног тела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1.3 Развијање сарадње и размене информација у сфери превентивног деловања на заштити финансијских интереса ЕУ, а самим тим и финансијских интереса Републике Србије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</w:t>
            </w:r>
            <w:r>
              <w:rPr>
                <w:rFonts w:ascii="Verdana" w:eastAsia="Verdana" w:hAnsi="Verdana" w:cs="Verdana"/>
              </w:rPr>
              <w:t>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Успостављање софтверске платформе за размену података и информација из области управљања неправилностима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Сектор за уговарање и финансирање програма из средстава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Сектор за управљање средствима Европске уније,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Успостављена софтверска платформа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Одржавање регионалне радионице службеника за неправилности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Сектор за уговарање и финансирање програма из средстава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Сектор за управљање средствима Европске уније,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1: буџетск</w:t>
            </w:r>
            <w:r>
              <w:rPr>
                <w:rFonts w:ascii="Verdana" w:eastAsia="Verdana" w:hAnsi="Verdana" w:cs="Verdana"/>
              </w:rPr>
              <w:t>а средства и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2: донаторска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Одржана радионица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1.4 Измена и/или усклађивање правног оквира ради јачања превентивног деловања на заштити финансијских интереса ЕУ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Спровођење обука за јавне функционере у области пријаве и провере </w:t>
            </w:r>
            <w:r>
              <w:rPr>
                <w:rFonts w:ascii="Verdana" w:eastAsia="Verdana" w:hAnsi="Verdana" w:cs="Verdana"/>
              </w:rPr>
              <w:lastRenderedPageBreak/>
              <w:t>имовине и решавања о сукобу интереса тако да садрже и сегмент заштите финансијских интереса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Агенција за спречавање корупције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финансија,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(1601-0007)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Спроведене обуке за јавне функционере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Спровођење обука о примени Методологије за процену ризика корупције у прописима за овлашћене предлагаче прописа тако да садрже и сегмент заштите финансијских интереса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Агенција за спречавање корупције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финансија,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</w:t>
            </w:r>
            <w:r>
              <w:rPr>
                <w:rFonts w:ascii="Verdana" w:eastAsia="Verdana" w:hAnsi="Verdana" w:cs="Verdana"/>
              </w:rPr>
              <w:t>тва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(1601-0007)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Спроведене обуке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Усвајање Уредбе о спровођењу програма европске територијалне сарадње са државама чланицама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за европске интеграције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Републички секретаријат за законодавство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1: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Project Preparation Facility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</w:rPr>
              <w:t>(PPF 10)</w:t>
            </w:r>
            <w:r>
              <w:rPr>
                <w:rFonts w:ascii="Verdana" w:eastAsia="Verdana" w:hAnsi="Verdana" w:cs="Verdana"/>
              </w:rPr>
              <w:t xml:space="preserve"> и извор 2: 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Усвојена Уредба о спровођењу програма европске територијалне сарадње са државама чланицама ЕУ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1.5 Подизање нивоа свести о значају заштите финансијских интереса ЕУ и финансијских интереса Републике Србије и прија</w:t>
            </w:r>
            <w:r>
              <w:rPr>
                <w:rFonts w:ascii="Verdana" w:eastAsia="Verdana" w:hAnsi="Verdana" w:cs="Verdana"/>
              </w:rPr>
              <w:t>вљивања неправилности и сумњи на превару унутар и ван система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Упознавање представника локалних </w:t>
            </w:r>
            <w:r>
              <w:rPr>
                <w:rFonts w:ascii="Verdana" w:eastAsia="Verdana" w:hAnsi="Verdana" w:cs="Verdana"/>
              </w:rPr>
              <w:lastRenderedPageBreak/>
              <w:t>самоуправа, као корисника средстава ЕУ, са значајем правилног трошења истих и последицама кршења одредаба релевантних прописа и уговора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Министарство финансија </w:t>
            </w:r>
            <w:r>
              <w:rPr>
                <w:rFonts w:ascii="Verdana" w:eastAsia="Verdana" w:hAnsi="Verdana" w:cs="Verdana"/>
              </w:rPr>
              <w:lastRenderedPageBreak/>
              <w:t>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Министарство за европске </w:t>
            </w:r>
            <w:r>
              <w:rPr>
                <w:rFonts w:ascii="Verdana" w:eastAsia="Verdana" w:hAnsi="Verdana" w:cs="Verdana"/>
              </w:rPr>
              <w:lastRenderedPageBreak/>
              <w:t>интеграције и Министарство фина</w:t>
            </w:r>
            <w:r>
              <w:rPr>
                <w:rFonts w:ascii="Verdana" w:eastAsia="Verdana" w:hAnsi="Verdana" w:cs="Verdana"/>
              </w:rPr>
              <w:t>нсија – Сектор за уговарање и финансирање програма из средстава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Одржана радионица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Радионица за запослене у Министарству пољопривреде, шумарства и водопривреде који учествују у спровођењу ИПА пројеката на тему подизања нивоа свести о значају заштите финансијских интереса ЕУ и финансијских интереса Републике Србије и пријављивања неправил</w:t>
            </w:r>
            <w:r>
              <w:rPr>
                <w:rFonts w:ascii="Verdana" w:eastAsia="Verdana" w:hAnsi="Verdana" w:cs="Verdana"/>
              </w:rPr>
              <w:t>ности и сумњи на превару унутар система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пољопривреде, шумарства и водопривреде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Органи унутар Министарства пољопривреде, шумарства и водопривреде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Одржана радионица за подизање нивоа свести о значају заштите финансијски</w:t>
            </w:r>
            <w:r>
              <w:rPr>
                <w:rFonts w:ascii="Verdana" w:eastAsia="Verdana" w:hAnsi="Verdana" w:cs="Verdana"/>
              </w:rPr>
              <w:t>х интереса ЕУ и финансијских интереса Републике Србије и пријављивања неправилности и сумњи на превару унутар система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1.6 Повећање видљивости о значају заштите финансијских интереса ЕУ и финансијских интереса Републике Србије код других заинтересован</w:t>
            </w:r>
            <w:r>
              <w:rPr>
                <w:rFonts w:ascii="Verdana" w:eastAsia="Verdana" w:hAnsi="Verdana" w:cs="Verdana"/>
              </w:rPr>
              <w:t>их страна, јавности и потенцијалних субјеката који пријављују неправилности унутар и ван система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Oргани партнери у спровођењу </w:t>
            </w:r>
            <w:r>
              <w:rPr>
                <w:rFonts w:ascii="Verdana" w:eastAsia="Verdana" w:hAnsi="Verdana" w:cs="Verdana"/>
              </w:rPr>
              <w:lastRenderedPageBreak/>
              <w:t>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Рок за спровођење </w:t>
            </w:r>
            <w:r>
              <w:rPr>
                <w:rFonts w:ascii="Verdana" w:eastAsia="Verdana" w:hAnsi="Verdana" w:cs="Verdana"/>
              </w:rPr>
              <w:lastRenderedPageBreak/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Извори финансира</w:t>
            </w:r>
            <w:r>
              <w:rPr>
                <w:rFonts w:ascii="Verdana" w:eastAsia="Verdana" w:hAnsi="Verdana" w:cs="Verdana"/>
              </w:rPr>
              <w:lastRenderedPageBreak/>
              <w:t>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Израда промотивног материјала за потребе кампање и постављање истог на видљивом месту у просторијама локалних самоуправа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Постављен промотивни материјал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Израда интернет странице АФКОС-а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Одсек за односе министарства са јавношћу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Израђена интернет страница АФКОС-а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Посебни циљ 2. Унапређење процеса раног откривања превара, пријављивања и поступања по пријављеним</w:t>
            </w:r>
            <w:r>
              <w:rPr>
                <w:rFonts w:ascii="Verdana" w:eastAsia="Verdana" w:hAnsi="Verdana" w:cs="Verdana"/>
                <w:b/>
              </w:rPr>
              <w:t xml:space="preserve"> неправилностима и сумњама на превару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2.1 Развијање сарадње и размене информација у области раног откривања превара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Одржавање обука инспекторима Буџетске инспекције у циљу унапређења сарадње и размене информација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Сектор за буџетску инспекцију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Одржане обуке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Мера 2.2 Подизање капацитета АФКОС-а ради унапређења процеса раног откривања превара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Јачање капацитета АФКОС-а квантитативно и квалитативно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Секретаријат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Повећан број запослених и спроведено усавршавање постојећих и новозапослених кадрова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2.3 Подизање к</w:t>
            </w:r>
            <w:r>
              <w:rPr>
                <w:rFonts w:ascii="Verdana" w:eastAsia="Verdana" w:hAnsi="Verdana" w:cs="Verdana"/>
              </w:rPr>
              <w:t>апацитета људских ресурса унутар система у оквиру процеса раног откривања превара за уочавање и детектовање поузданих и валидних сигнала неправилности и процену значаја пријављених информација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Израда и објављивање брошуре (на сајту Канцеларије за ревизију система управљања средствима Европске уније), обрада најчешћих случајева (анонимна) неправилности и превара </w:t>
            </w:r>
            <w:r>
              <w:rPr>
                <w:rFonts w:ascii="Verdana" w:eastAsia="Verdana" w:hAnsi="Verdana" w:cs="Verdana"/>
              </w:rPr>
              <w:lastRenderedPageBreak/>
              <w:t xml:space="preserve">утврђених у поступцима ревизије, узрочно последична веза код недостатка превенције и </w:t>
            </w:r>
            <w:r>
              <w:rPr>
                <w:rFonts w:ascii="Verdana" w:eastAsia="Verdana" w:hAnsi="Verdana" w:cs="Verdana"/>
              </w:rPr>
              <w:t>настанка неправилности и преваре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Канцеларија за ревизију система управљања средствима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Израђена и објављена брошура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Обуке и радионице у циљу сертификације учесника за област познавања процеса управљања неправилностима и раног откривања превара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Сектор за уговарање и финансирање програма из средстава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-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Сектор </w:t>
            </w:r>
            <w:r>
              <w:rPr>
                <w:rFonts w:ascii="Verdana" w:eastAsia="Verdana" w:hAnsi="Verdana" w:cs="Verdana"/>
              </w:rPr>
              <w:t>за управљање средствима Европске уније,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1: буџетска средства и</w:t>
            </w:r>
          </w:p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2: донаторска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Одржане обуке и радионице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Посебни циљ 3. Унапређење процеса спровођења истражних радњи у вези са злоупотребом финансијских средстава ЕУ, праћења</w:t>
            </w:r>
            <w:r>
              <w:rPr>
                <w:rFonts w:ascii="Verdana" w:eastAsia="Verdana" w:hAnsi="Verdana" w:cs="Verdana"/>
                <w:b/>
              </w:rPr>
              <w:t xml:space="preserve"> судских поступака и праћењa повраћаја финансијских средстава у буџет Републике Србије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3.1 Унапређење сарадње и размене информација у спровођењу истражних радњи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Одржавање регионалне конференције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Врховно јавно тужилаштво, МУП, АФКОС Мрежа и ОЛАФ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Донаторска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Одржана регионална конференција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Одржавање састанка са представници</w:t>
            </w:r>
            <w:r>
              <w:rPr>
                <w:rFonts w:ascii="Verdana" w:eastAsia="Verdana" w:hAnsi="Verdana" w:cs="Verdana"/>
              </w:rPr>
              <w:lastRenderedPageBreak/>
              <w:t>ма ОЛАФ-а у циљу јачања сарадње и размене информација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Министарство финансија </w:t>
            </w:r>
            <w:r>
              <w:rPr>
                <w:rFonts w:ascii="Verdana" w:eastAsia="Verdana" w:hAnsi="Verdana" w:cs="Verdana"/>
              </w:rPr>
              <w:lastRenderedPageBreak/>
              <w:t>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МУП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 састанак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3.2 Подизање капацитета људских ресурса ради унапређења спровођења истражних радњи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Одржавање обука тужиоцима, правобраниоцима и припадницима МУП-а у вези са заштитом финансијских интереса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финансија – АФКОС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Министарство за европске интеграције и Министарство финансија – Сектор за уговарање и финансирање програма из средста</w:t>
            </w:r>
            <w:r>
              <w:rPr>
                <w:rFonts w:ascii="Verdana" w:eastAsia="Verdana" w:hAnsi="Verdana" w:cs="Verdana"/>
              </w:rPr>
              <w:t>ва Европске уније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Одржане обуке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3.3 Измена и/или усклађивање правног оквира у циљу унапређења спровођења истражних радњи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Израда Табеле усклађености кривичног законодавства са Директивом </w:t>
            </w:r>
            <w:r>
              <w:rPr>
                <w:rFonts w:ascii="Verdana" w:eastAsia="Verdana" w:hAnsi="Verdana" w:cs="Verdana"/>
              </w:rPr>
              <w:lastRenderedPageBreak/>
              <w:t>1371/17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Министарство правде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Израђена табела усклађености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3.4 Измена и/или усклађивање организационе структуре ради унапређења спровођења истражних радњи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Формирање посебне организационе јединице МУП-а у чији делокруг спадају злоупотребе везане за располагање средствима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МУП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Формирана посебна организациона јединица МУП-а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3.5 Побољшање материјално-техничких капацитета институција надлежних за спровођење истражних радњи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Надлежне институције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Oргани партнери у спровођењу активности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Рок за спровођење активности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Извори финансирања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Показатељи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2024.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C712A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2026.</w:t>
            </w:r>
          </w:p>
        </w:tc>
      </w:tr>
      <w:tr w:rsidR="00C712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Набављање опреме и коришћење исте у сврху унапређења истрага, које би се водиле по конкретном предмету (информатичка, канцеларијска и средства везе)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МУП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Буџетска средства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2A1" w:rsidRDefault="0005033F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Набављена опрема</w:t>
            </w:r>
          </w:p>
        </w:tc>
      </w:tr>
    </w:tbl>
    <w:p w:rsidR="0005033F" w:rsidRDefault="0005033F"/>
    <w:sectPr w:rsidR="0005033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1"/>
    <w:rsid w:val="0005033F"/>
    <w:rsid w:val="00C712A1"/>
    <w:rsid w:val="00E5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8FD1C-308A-41A9-AB4E-39A094C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bmp"/><Relationship Id="rId3" Type="http://schemas.openxmlformats.org/officeDocument/2006/relationships/webSettings" Target="webSettings.xml"/><Relationship Id="rId7" Type="http://schemas.openxmlformats.org/officeDocument/2006/relationships/image" Target="media/image4.b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bmp"/><Relationship Id="rId11" Type="http://schemas.openxmlformats.org/officeDocument/2006/relationships/theme" Target="theme/theme1.xml"/><Relationship Id="rId5" Type="http://schemas.openxmlformats.org/officeDocument/2006/relationships/image" Target="media/image2.bmp"/><Relationship Id="rId10" Type="http://schemas.openxmlformats.org/officeDocument/2006/relationships/fontTable" Target="fontTable.xml"/><Relationship Id="rId4" Type="http://schemas.openxmlformats.org/officeDocument/2006/relationships/image" Target="media/image1.bmp"/><Relationship Id="rId9" Type="http://schemas.openxmlformats.org/officeDocument/2006/relationships/image" Target="media/image6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2024-06-10T06:53:00Z</dcterms:created>
  <dcterms:modified xsi:type="dcterms:W3CDTF">2024-06-10T06:53:00Z</dcterms:modified>
</cp:coreProperties>
</file>