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07" w:rsidRDefault="00024E54">
      <w:pPr>
        <w:spacing w:after="150"/>
        <w:jc w:val="right"/>
      </w:pP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032507" w:rsidRDefault="00024E54">
      <w:pPr>
        <w:spacing w:after="150"/>
      </w:pPr>
      <w:r>
        <w:rPr>
          <w:color w:val="000000"/>
        </w:rPr>
        <w:t> </w:t>
      </w:r>
    </w:p>
    <w:p w:rsidR="00032507" w:rsidRDefault="00024E54">
      <w:pPr>
        <w:spacing w:after="150"/>
      </w:pPr>
      <w:r>
        <w:rPr>
          <w:color w:val="000000"/>
        </w:rPr>
        <w:t> 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123.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годину</w:t>
      </w:r>
      <w:proofErr w:type="spellEnd"/>
      <w:proofErr w:type="gram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149/20),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032507" w:rsidRDefault="00024E54">
      <w:pPr>
        <w:spacing w:after="225"/>
        <w:jc w:val="center"/>
      </w:pPr>
      <w:r>
        <w:rPr>
          <w:b/>
          <w:color w:val="000000"/>
        </w:rPr>
        <w:t>УРЕДБУ</w:t>
      </w:r>
    </w:p>
    <w:p w:rsidR="00032507" w:rsidRDefault="00024E54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утврђивању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</w:t>
      </w:r>
      <w:r>
        <w:rPr>
          <w:b/>
          <w:color w:val="000000"/>
        </w:rPr>
        <w:t>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распореда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коришћења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субвенција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подршку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угоститељске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туристичке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привреде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због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потешкоћа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пословању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проузрокованих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епидемијом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 </w:t>
      </w:r>
      <w:proofErr w:type="spellStart"/>
      <w:r>
        <w:rPr>
          <w:b/>
          <w:color w:val="000000"/>
        </w:rPr>
        <w:t>изазване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вирусом</w:t>
      </w:r>
      <w:proofErr w:type="spellEnd"/>
      <w:r>
        <w:rPr>
          <w:b/>
          <w:color w:val="000000"/>
        </w:rPr>
        <w:t xml:space="preserve"> SARS-CоV-2</w:t>
      </w:r>
    </w:p>
    <w:p w:rsidR="00032507" w:rsidRDefault="00024E54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11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2021, 23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</w:t>
      </w:r>
      <w:r>
        <w:rPr>
          <w:color w:val="000000"/>
        </w:rPr>
        <w:t xml:space="preserve">21, 38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2021.</w:t>
      </w:r>
    </w:p>
    <w:p w:rsidR="00032507" w:rsidRDefault="00024E5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</w:t>
      </w:r>
      <w:r>
        <w:rPr>
          <w:color w:val="000000"/>
        </w:rPr>
        <w:t>рокованих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брoj</w:t>
      </w:r>
      <w:proofErr w:type="spellEnd"/>
      <w:r>
        <w:rPr>
          <w:color w:val="000000"/>
        </w:rPr>
        <w:t xml:space="preserve"> 146/20).</w:t>
      </w:r>
    </w:p>
    <w:p w:rsidR="00032507" w:rsidRDefault="00024E5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032507" w:rsidRDefault="00024E54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110-1341/2021</w:t>
      </w:r>
    </w:p>
    <w:p w:rsidR="00032507" w:rsidRDefault="00024E5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11. </w:t>
      </w:r>
      <w:proofErr w:type="spellStart"/>
      <w:proofErr w:type="gramStart"/>
      <w:r>
        <w:rPr>
          <w:color w:val="000000"/>
        </w:rPr>
        <w:t>фебру</w:t>
      </w:r>
      <w:r>
        <w:rPr>
          <w:color w:val="000000"/>
        </w:rPr>
        <w:t>ара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032507" w:rsidRDefault="00024E54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032507" w:rsidRDefault="00024E54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032507" w:rsidRDefault="00024E54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20"/>
        <w:jc w:val="center"/>
      </w:pPr>
      <w:r>
        <w:rPr>
          <w:b/>
          <w:color w:val="000000"/>
        </w:rPr>
        <w:lastRenderedPageBreak/>
        <w:t>ПРОГРАМ</w:t>
      </w:r>
      <w:r>
        <w:br/>
      </w:r>
      <w:r>
        <w:rPr>
          <w:b/>
          <w:color w:val="000000"/>
        </w:rPr>
        <w:t>РАСПОРЕДА И КОРИШЋЕЊА СУБВЕНЦИЈА ЗА ПОДРШКУ РАДУ УГОСТИТЕЉСКЕ И ТУРИСТИЧКЕ ПРИВРЕДЕ ЗБОГ ПОТЕШКОЋА У ПОСЛОВАЊУ ПРОУЗРОКОВАНИХ ЕПИДЕМИЈОМ БОЛЕСТИ COVID-19 ИЗАЗВАНЕ ВИРУСОМ SARS-CоV-2</w:t>
      </w:r>
    </w:p>
    <w:p w:rsidR="00032507" w:rsidRDefault="00024E54">
      <w:pPr>
        <w:spacing w:after="120"/>
        <w:jc w:val="center"/>
      </w:pPr>
      <w:r>
        <w:rPr>
          <w:color w:val="000000"/>
        </w:rPr>
        <w:t>I. ПРЕДМЕТ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Пр</w:t>
      </w:r>
      <w:r>
        <w:rPr>
          <w:color w:val="000000"/>
        </w:rPr>
        <w:t>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</w:t>
      </w:r>
      <w:r>
        <w:rPr>
          <w:color w:val="000000"/>
        </w:rPr>
        <w:t>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SARS-CoV-2.</w:t>
      </w:r>
    </w:p>
    <w:p w:rsidR="00032507" w:rsidRDefault="00024E54">
      <w:pPr>
        <w:spacing w:after="120"/>
        <w:jc w:val="center"/>
      </w:pPr>
      <w:r>
        <w:rPr>
          <w:color w:val="000000"/>
        </w:rPr>
        <w:t>II. ЦИЉЕВИ ПРОГРАМА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032507" w:rsidRDefault="00024E5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очување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очување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угоститељством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очување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угоститељству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очување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очување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туризмом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очување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агенцијском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</w:t>
      </w:r>
      <w:r>
        <w:rPr>
          <w:color w:val="000000"/>
        </w:rPr>
        <w:t>овању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 xml:space="preserve">7) </w:t>
      </w:r>
      <w:proofErr w:type="spellStart"/>
      <w:proofErr w:type="gramStart"/>
      <w:r>
        <w:rPr>
          <w:color w:val="000000"/>
        </w:rPr>
        <w:t>обезбеђење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опоравак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гране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20"/>
        <w:jc w:val="center"/>
      </w:pPr>
      <w:r>
        <w:rPr>
          <w:color w:val="000000"/>
        </w:rPr>
        <w:t>III. НАЧИН КОРИШЋЕЊА СРЕДСТАВА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бесповратно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>).</w:t>
      </w:r>
    </w:p>
    <w:p w:rsidR="00032507" w:rsidRDefault="00024E54">
      <w:pPr>
        <w:spacing w:after="150"/>
      </w:pPr>
      <w:proofErr w:type="spellStart"/>
      <w:r>
        <w:rPr>
          <w:b/>
          <w:color w:val="000000"/>
        </w:rPr>
        <w:t>Средства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додељују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периоду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узастопна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месеца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сваки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месец</w:t>
      </w:r>
      <w:proofErr w:type="spellEnd"/>
      <w:proofErr w:type="gram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висини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30.900,24 </w:t>
      </w:r>
      <w:proofErr w:type="spellStart"/>
      <w:r>
        <w:rPr>
          <w:b/>
          <w:color w:val="000000"/>
        </w:rPr>
        <w:t>динара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сваком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запосленом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привредни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субјект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исплатио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зараду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месец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децембар</w:t>
      </w:r>
      <w:proofErr w:type="spellEnd"/>
      <w:r>
        <w:rPr>
          <w:b/>
          <w:color w:val="000000"/>
        </w:rPr>
        <w:t xml:space="preserve"> 2020. </w:t>
      </w:r>
      <w:proofErr w:type="spellStart"/>
      <w:proofErr w:type="gramStart"/>
      <w:r>
        <w:rPr>
          <w:b/>
          <w:color w:val="000000"/>
        </w:rPr>
        <w:t>године</w:t>
      </w:r>
      <w:proofErr w:type="spellEnd"/>
      <w:proofErr w:type="gram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поднео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одговарајућу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пријаву</w:t>
      </w:r>
      <w:proofErr w:type="spellEnd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**</w:t>
      </w:r>
    </w:p>
    <w:p w:rsidR="00032507" w:rsidRDefault="00024E54">
      <w:pPr>
        <w:spacing w:after="150"/>
      </w:pP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ће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извршити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пренос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посебан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наменски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подршку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угоститељске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туристичке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привреде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отворен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</w:t>
      </w:r>
      <w:r>
        <w:rPr>
          <w:b/>
          <w:color w:val="000000"/>
        </w:rPr>
        <w:t>нсија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Управе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трезор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ће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извршити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пренос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корисницима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субвенције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посебне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наменске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отворене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Управе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трезор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Корисницима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lastRenderedPageBreak/>
        <w:t>субвенција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отворен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посебни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наменски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</w:t>
      </w:r>
      <w:r>
        <w:rPr>
          <w:b/>
          <w:color w:val="000000"/>
        </w:rPr>
        <w:t>рски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финансија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Управа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трезор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ће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њихов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захтев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отворити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посебни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наменски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наведену</w:t>
      </w:r>
      <w:proofErr w:type="spellEnd"/>
      <w:r>
        <w:rPr>
          <w:b/>
          <w:color w:val="000000"/>
        </w:rPr>
        <w:t xml:space="preserve"> намену.</w:t>
      </w:r>
      <w:r>
        <w:rPr>
          <w:rFonts w:ascii="Calibri"/>
          <w:b/>
          <w:color w:val="000000"/>
          <w:vertAlign w:val="superscript"/>
        </w:rPr>
        <w:t>*</w:t>
      </w:r>
    </w:p>
    <w:p w:rsidR="00032507" w:rsidRDefault="00024E54">
      <w:pPr>
        <w:spacing w:after="150"/>
      </w:pPr>
      <w:proofErr w:type="spellStart"/>
      <w:r>
        <w:rPr>
          <w:b/>
          <w:color w:val="000000"/>
        </w:rPr>
        <w:t>Након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отварања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посебних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наменских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динарских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Управа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трезор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доставиће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Списак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привредних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субјеката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одељка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доделу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бесповратних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став</w:t>
      </w:r>
      <w:proofErr w:type="spellEnd"/>
      <w:r>
        <w:rPr>
          <w:b/>
          <w:color w:val="000000"/>
        </w:rPr>
        <w:t xml:space="preserve"> 2. </w:t>
      </w:r>
      <w:proofErr w:type="spellStart"/>
      <w:proofErr w:type="gramStart"/>
      <w:r>
        <w:rPr>
          <w:b/>
          <w:color w:val="000000"/>
        </w:rPr>
        <w:t>ове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допуњен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бројевима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тих</w:t>
      </w:r>
      <w:proofErr w:type="spellEnd"/>
      <w:r>
        <w:rPr>
          <w:b/>
          <w:color w:val="000000"/>
        </w:rPr>
        <w:t xml:space="preserve"> рачуна.</w:t>
      </w:r>
      <w:r>
        <w:rPr>
          <w:rFonts w:ascii="Calibri"/>
          <w:b/>
          <w:color w:val="000000"/>
          <w:vertAlign w:val="superscript"/>
        </w:rPr>
        <w:t>*</w:t>
      </w:r>
    </w:p>
    <w:p w:rsidR="00032507" w:rsidRDefault="00024E54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23/2021</w:t>
      </w:r>
    </w:p>
    <w:p w:rsidR="00032507" w:rsidRDefault="00024E54">
      <w:pPr>
        <w:spacing w:after="150"/>
      </w:pPr>
      <w:r>
        <w:rPr>
          <w:color w:val="000000"/>
        </w:rPr>
        <w:t>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38/2021</w:t>
      </w:r>
    </w:p>
    <w:p w:rsidR="00032507" w:rsidRDefault="00024E54">
      <w:pPr>
        <w:spacing w:after="120"/>
        <w:jc w:val="center"/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Право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бесповратних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</w:p>
    <w:p w:rsidR="00032507" w:rsidRDefault="00024E54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</w:t>
      </w:r>
      <w:r>
        <w:rPr>
          <w:color w:val="000000"/>
        </w:rPr>
        <w:t>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приватном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160/20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),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032507" w:rsidRDefault="00024E54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резидентна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опорезивање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резидентни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 xml:space="preserve">– </w:t>
      </w:r>
      <w:proofErr w:type="spellStart"/>
      <w:proofErr w:type="gramStart"/>
      <w:r>
        <w:rPr>
          <w:color w:val="000000"/>
        </w:rPr>
        <w:t>представништва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20"/>
        <w:jc w:val="center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доделу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бесповратних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</w:p>
    <w:p w:rsidR="00032507" w:rsidRDefault="00024E54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Агенцији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претежну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регистровали</w:t>
      </w:r>
      <w:proofErr w:type="spellEnd"/>
      <w:r>
        <w:rPr>
          <w:color w:val="000000"/>
        </w:rPr>
        <w:t>: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5610 –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ресторана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угоститељских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5621 – </w:t>
      </w:r>
      <w:proofErr w:type="spellStart"/>
      <w:r>
        <w:rPr>
          <w:color w:val="000000"/>
        </w:rPr>
        <w:t>кетеринг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5629 –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послужив</w:t>
      </w:r>
      <w:r>
        <w:rPr>
          <w:color w:val="000000"/>
        </w:rPr>
        <w:t>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хране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5630 –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пића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5510 – </w:t>
      </w:r>
      <w:proofErr w:type="spellStart"/>
      <w:r>
        <w:rPr>
          <w:color w:val="000000"/>
        </w:rPr>
        <w:t>хотели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5520 – </w:t>
      </w:r>
      <w:proofErr w:type="spellStart"/>
      <w:r>
        <w:rPr>
          <w:color w:val="000000"/>
        </w:rPr>
        <w:t>одмаралишта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боравак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5530 –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кампова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ауто-кампова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кампова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приколице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5590 –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смештај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7911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7912 –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тур-оператора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7990 –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резервације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њима</w:t>
      </w:r>
      <w:proofErr w:type="spellEnd"/>
      <w:r>
        <w:rPr>
          <w:color w:val="000000"/>
        </w:rPr>
        <w:t>;</w:t>
      </w:r>
    </w:p>
    <w:p w:rsidR="00032507" w:rsidRDefault="00024E54">
      <w:pPr>
        <w:spacing w:after="150"/>
      </w:pPr>
      <w:r>
        <w:rPr>
          <w:color w:val="000000"/>
        </w:rPr>
        <w:lastRenderedPageBreak/>
        <w:t>−</w:t>
      </w:r>
      <w:r>
        <w:rPr>
          <w:color w:val="000000"/>
        </w:rPr>
        <w:t xml:space="preserve"> 7711 – </w:t>
      </w:r>
      <w:proofErr w:type="spellStart"/>
      <w:r>
        <w:rPr>
          <w:color w:val="000000"/>
        </w:rPr>
        <w:t>изнајмљивање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лизинг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аутомобила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лаких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сачиниће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претежну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регистровали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ПИБ-у и МБ, </w:t>
      </w:r>
      <w:proofErr w:type="spellStart"/>
      <w:r>
        <w:rPr>
          <w:color w:val="000000"/>
        </w:rPr>
        <w:t>називу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улица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поштански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r>
        <w:rPr>
          <w:color w:val="000000"/>
        </w:rPr>
        <w:t>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децембар</w:t>
      </w:r>
      <w:proofErr w:type="spell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поднели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proofErr w:type="gram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субвенцијe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10%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</w:t>
      </w:r>
      <w:r>
        <w:rPr>
          <w:color w:val="000000"/>
        </w:rPr>
        <w:t>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потпуности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</w:t>
      </w:r>
      <w:r>
        <w:rPr>
          <w:color w:val="000000"/>
        </w:rPr>
        <w:t>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о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неиспуњења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обавестити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захтевати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</w:t>
      </w:r>
      <w:r>
        <w:rPr>
          <w:color w:val="000000"/>
        </w:rPr>
        <w:t>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ставом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искоришћених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кашњење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искористио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Велики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стечају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ликвидације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</w:t>
      </w:r>
      <w:r>
        <w:rPr>
          <w:color w:val="000000"/>
        </w:rPr>
        <w:t>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тешкоћама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31.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20"/>
        <w:jc w:val="center"/>
      </w:pPr>
      <w:r>
        <w:rPr>
          <w:b/>
          <w:color w:val="000000"/>
        </w:rPr>
        <w:t xml:space="preserve">3. </w:t>
      </w:r>
      <w:proofErr w:type="spellStart"/>
      <w:r>
        <w:rPr>
          <w:b/>
          <w:color w:val="000000"/>
        </w:rPr>
        <w:t>Исплата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бесповратних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</w:p>
    <w:p w:rsidR="00032507" w:rsidRDefault="00024E54">
      <w:pPr>
        <w:spacing w:after="150"/>
      </w:pP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</w:t>
      </w:r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обавештени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отварању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сандуче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еПорези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lastRenderedPageBreak/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истека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периода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након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последње</w:t>
      </w:r>
      <w:proofErr w:type="spellEnd"/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исплаћене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затворени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неискоришћена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додељеној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о </w:t>
      </w:r>
      <w:proofErr w:type="spellStart"/>
      <w:r>
        <w:rPr>
          <w:color w:val="000000"/>
        </w:rPr>
        <w:t>додељеној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032507" w:rsidRDefault="00024E54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23/2021</w:t>
      </w:r>
    </w:p>
    <w:p w:rsidR="00032507" w:rsidRDefault="00024E54">
      <w:pPr>
        <w:spacing w:after="150"/>
      </w:pPr>
      <w:r>
        <w:rPr>
          <w:color w:val="000000"/>
        </w:rPr>
        <w:t>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38/2021</w:t>
      </w:r>
    </w:p>
    <w:sectPr w:rsidR="000325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07"/>
    <w:rsid w:val="00024E54"/>
    <w:rsid w:val="0003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8F5AC-5DF3-4E51-8947-3452E8A6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2021-04-22T07:29:00Z</dcterms:created>
  <dcterms:modified xsi:type="dcterms:W3CDTF">2021-04-22T07:29:00Z</dcterms:modified>
</cp:coreProperties>
</file>