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CC" w:rsidRDefault="00487258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27.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Закона о Централном регистру обавезног социјалног осигурања („Службени гласник РС”, бр. 95/18 и 91/19),</w:t>
      </w:r>
    </w:p>
    <w:p w:rsidR="000842CC" w:rsidRDefault="00487258">
      <w:pPr>
        <w:spacing w:after="150"/>
      </w:pPr>
      <w:r>
        <w:rPr>
          <w:color w:val="000000"/>
        </w:rPr>
        <w:t>Влада доноси</w:t>
      </w:r>
    </w:p>
    <w:p w:rsidR="000842CC" w:rsidRDefault="00487258">
      <w:pPr>
        <w:spacing w:after="225"/>
        <w:jc w:val="center"/>
      </w:pPr>
      <w:r>
        <w:rPr>
          <w:b/>
          <w:color w:val="000000"/>
        </w:rPr>
        <w:t>УРЕДБУ</w:t>
      </w:r>
    </w:p>
    <w:p w:rsidR="000842CC" w:rsidRDefault="00487258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начину и поступку достављања података, као и о другим питањима у вези са достављањем података и вођењем Регистра запослених, изабраних, именованих, постављених и ангажованих лица код корисника јавних средстава</w:t>
      </w:r>
    </w:p>
    <w:p w:rsidR="000842CC" w:rsidRDefault="00487258">
      <w:pPr>
        <w:spacing w:after="120"/>
        <w:jc w:val="center"/>
      </w:pPr>
      <w:r>
        <w:rPr>
          <w:color w:val="000000"/>
        </w:rPr>
        <w:t xml:space="preserve">"Службени гласник РС", број 6 од 29.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2021.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1.</w:t>
      </w:r>
    </w:p>
    <w:p w:rsidR="000842CC" w:rsidRDefault="00487258">
      <w:pPr>
        <w:spacing w:after="150"/>
      </w:pPr>
      <w:r>
        <w:rPr>
          <w:color w:val="000000"/>
        </w:rPr>
        <w:t>Овом уредбом уређују се начин и поступак достављања података, као и друга питања у вези са достављањем података и вођењем Регистра запослених, изабраних, именованих, постављених и ангажованих лица код корисника јавних средстава (у даљ</w:t>
      </w:r>
      <w:r>
        <w:rPr>
          <w:color w:val="000000"/>
        </w:rPr>
        <w:t>ем тексту: Регистар).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2.</w:t>
      </w:r>
    </w:p>
    <w:p w:rsidR="000842CC" w:rsidRDefault="00487258">
      <w:pPr>
        <w:spacing w:after="150"/>
      </w:pPr>
      <w:r>
        <w:rPr>
          <w:color w:val="000000"/>
        </w:rPr>
        <w:t>Регистар води Централни регистар обавезног социјалног осигурања (у даљем тексту: Централни регистар) у електронском облику.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3.</w:t>
      </w:r>
    </w:p>
    <w:p w:rsidR="000842CC" w:rsidRDefault="00487258">
      <w:pPr>
        <w:spacing w:after="150"/>
      </w:pPr>
      <w:r>
        <w:rPr>
          <w:color w:val="000000"/>
        </w:rPr>
        <w:t>Регистар се састоји од следећих функционалних целина:</w:t>
      </w:r>
    </w:p>
    <w:p w:rsidR="000842CC" w:rsidRDefault="00487258">
      <w:pPr>
        <w:spacing w:after="150"/>
      </w:pPr>
      <w:r>
        <w:rPr>
          <w:color w:val="000000"/>
        </w:rPr>
        <w:t>1) Регистар корисника јавних средстава;</w:t>
      </w:r>
    </w:p>
    <w:p w:rsidR="000842CC" w:rsidRDefault="00487258">
      <w:pPr>
        <w:spacing w:after="150"/>
      </w:pPr>
      <w:r>
        <w:rPr>
          <w:color w:val="000000"/>
        </w:rPr>
        <w:t>2) Регистар кадровских података;</w:t>
      </w:r>
    </w:p>
    <w:p w:rsidR="000842CC" w:rsidRDefault="00487258">
      <w:pPr>
        <w:spacing w:after="150"/>
      </w:pPr>
      <w:r>
        <w:rPr>
          <w:color w:val="000000"/>
        </w:rPr>
        <w:t>3) Регистар финансијских података;</w:t>
      </w:r>
    </w:p>
    <w:p w:rsidR="000842CC" w:rsidRDefault="00487258">
      <w:pPr>
        <w:spacing w:after="150"/>
      </w:pPr>
      <w:r>
        <w:rPr>
          <w:color w:val="000000"/>
        </w:rPr>
        <w:t>4) Администрација корисничких налога.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4.</w:t>
      </w:r>
    </w:p>
    <w:p w:rsidR="000842CC" w:rsidRDefault="00487258">
      <w:pPr>
        <w:spacing w:after="150"/>
      </w:pPr>
      <w:r>
        <w:rPr>
          <w:color w:val="000000"/>
        </w:rPr>
        <w:t xml:space="preserve">Садржина података који се налазе у Регистру утврђена је одредбама чл. 11.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26. Закона о Централном регистру обавезног социјалног осигурања.</w:t>
      </w:r>
    </w:p>
    <w:p w:rsidR="000842CC" w:rsidRDefault="00487258">
      <w:pPr>
        <w:spacing w:after="120"/>
        <w:jc w:val="center"/>
      </w:pPr>
      <w:r>
        <w:rPr>
          <w:color w:val="000000"/>
        </w:rPr>
        <w:t>Ч</w:t>
      </w:r>
      <w:r>
        <w:rPr>
          <w:color w:val="000000"/>
        </w:rPr>
        <w:t>лан 5.</w:t>
      </w:r>
    </w:p>
    <w:p w:rsidR="000842CC" w:rsidRDefault="00487258">
      <w:pPr>
        <w:spacing w:after="150"/>
      </w:pPr>
      <w:r>
        <w:rPr>
          <w:color w:val="000000"/>
        </w:rPr>
        <w:t xml:space="preserve">Приступ систему Регистра ради достављања података из члана 4.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омогућено је лицу које поседује квалификовани електронски сертификат, овлашћеном од стране корисника јавних средстава.</w:t>
      </w:r>
    </w:p>
    <w:p w:rsidR="000842CC" w:rsidRDefault="00487258">
      <w:pPr>
        <w:spacing w:after="150"/>
      </w:pPr>
      <w:r>
        <w:rPr>
          <w:color w:val="000000"/>
        </w:rPr>
        <w:t xml:space="preserve">Овлашћено лице са улогом Администратор корисника јавних </w:t>
      </w:r>
      <w:r>
        <w:rPr>
          <w:color w:val="000000"/>
        </w:rPr>
        <w:t>средстава може другим лицима, електронским путем да додели овлашћења за рад у Регистру.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6.</w:t>
      </w:r>
    </w:p>
    <w:p w:rsidR="000842CC" w:rsidRDefault="00487258">
      <w:pPr>
        <w:spacing w:after="150"/>
      </w:pPr>
      <w:r>
        <w:rPr>
          <w:color w:val="000000"/>
        </w:rPr>
        <w:lastRenderedPageBreak/>
        <w:t>Овлашћено лице код корисника јавних средстава доставља кадровске податке и финансијске податке о износу исплаћеном на име свих примања за запослена, изабрана, и</w:t>
      </w:r>
      <w:r>
        <w:rPr>
          <w:color w:val="000000"/>
        </w:rPr>
        <w:t>менована, постављена и ангажована лицa код корисника јавних средстава.</w:t>
      </w:r>
    </w:p>
    <w:p w:rsidR="000842CC" w:rsidRDefault="00487258">
      <w:pPr>
        <w:spacing w:after="150"/>
      </w:pPr>
      <w:r>
        <w:rPr>
          <w:color w:val="000000"/>
        </w:rPr>
        <w:t xml:space="preserve">Подаци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достављају се на обрасцима у електронском облику (ХML формату), и то:</w:t>
      </w:r>
    </w:p>
    <w:p w:rsidR="000842CC" w:rsidRDefault="00487258">
      <w:pPr>
        <w:spacing w:after="150"/>
      </w:pPr>
      <w:r>
        <w:rPr>
          <w:color w:val="000000"/>
        </w:rPr>
        <w:t>1) Подаци о запосленима на неодређено и одређено време, изабраним, именованим и поста</w:t>
      </w:r>
      <w:r>
        <w:rPr>
          <w:color w:val="000000"/>
        </w:rPr>
        <w:t>вљеним лицима (Образац 1);</w:t>
      </w:r>
    </w:p>
    <w:p w:rsidR="000842CC" w:rsidRDefault="00487258">
      <w:pPr>
        <w:spacing w:after="150"/>
      </w:pPr>
      <w:r>
        <w:rPr>
          <w:color w:val="000000"/>
        </w:rPr>
        <w:t>2) Подаци о ангажованим лицима на основу уговора (Образац 2);</w:t>
      </w:r>
    </w:p>
    <w:p w:rsidR="000842CC" w:rsidRDefault="00487258">
      <w:pPr>
        <w:spacing w:after="150"/>
      </w:pPr>
      <w:r>
        <w:rPr>
          <w:color w:val="000000"/>
        </w:rPr>
        <w:t>3) Подаци о ангажованим лицима преко студентских и омладинских задруга (Образац 3);</w:t>
      </w:r>
    </w:p>
    <w:p w:rsidR="000842CC" w:rsidRDefault="00487258">
      <w:pPr>
        <w:spacing w:after="150"/>
      </w:pPr>
      <w:r>
        <w:rPr>
          <w:color w:val="000000"/>
        </w:rPr>
        <w:t xml:space="preserve">4) Подаци о примањима запослених, изабраних, именованих, постављених и ангажованих </w:t>
      </w:r>
      <w:r>
        <w:rPr>
          <w:color w:val="000000"/>
        </w:rPr>
        <w:t>лица (Образац 4).</w:t>
      </w:r>
    </w:p>
    <w:p w:rsidR="000842CC" w:rsidRDefault="00487258">
      <w:pPr>
        <w:spacing w:after="150"/>
      </w:pPr>
      <w:r>
        <w:rPr>
          <w:color w:val="000000"/>
        </w:rPr>
        <w:t>Подаци се достављају учитавањем фајлова XML формата или у online режиму директним уносом у Регистар, сагласно корисничком Упутству о изгледу, садржају, начину достављања и обраде података који се уносе у Регистар, објављеном на web страни</w:t>
      </w:r>
      <w:r>
        <w:rPr>
          <w:color w:val="000000"/>
        </w:rPr>
        <w:t>ци Централног регистра обавезног социјалног осигурања.</w:t>
      </w:r>
    </w:p>
    <w:p w:rsidR="000842CC" w:rsidRDefault="00487258">
      <w:pPr>
        <w:spacing w:after="150"/>
      </w:pPr>
      <w:r>
        <w:rPr>
          <w:color w:val="000000"/>
        </w:rPr>
        <w:t xml:space="preserve">Кадровски и финансијски подаци о лицима из члана 4.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који су садржани у Јединственој бази Централног регистра, преузимају се аутоматски из Јединствене базе Централног регистра на дневном нив</w:t>
      </w:r>
      <w:r>
        <w:rPr>
          <w:color w:val="000000"/>
        </w:rPr>
        <w:t>оу и упарују са подацима унетим од стране овлашћеног лица код корисника јавних средстава, ради синхронизације и контроле једнакости истих.</w:t>
      </w:r>
    </w:p>
    <w:p w:rsidR="000842CC" w:rsidRDefault="00487258">
      <w:pPr>
        <w:spacing w:after="150"/>
      </w:pPr>
      <w:r>
        <w:rPr>
          <w:color w:val="000000"/>
        </w:rPr>
        <w:t>Изглед и садржина образаца 1–4, као и Шифарник основа примања дати су у Прилогу који је одштампан уз ову уредбу и чин</w:t>
      </w:r>
      <w:r>
        <w:rPr>
          <w:color w:val="000000"/>
        </w:rPr>
        <w:t>и њен саставни део.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7.</w:t>
      </w:r>
    </w:p>
    <w:p w:rsidR="000842CC" w:rsidRDefault="00487258">
      <w:pPr>
        <w:spacing w:after="150"/>
      </w:pPr>
      <w:r>
        <w:rPr>
          <w:color w:val="000000"/>
        </w:rPr>
        <w:t xml:space="preserve">Корисници јавних средстава дужни су да податке из члана 4.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у електронском облику, доставе Регистру до десетог у месецу за претходни месец, почев од података за јануар месец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0842CC" w:rsidRDefault="00487258">
      <w:pPr>
        <w:spacing w:after="150"/>
      </w:pPr>
      <w:r>
        <w:rPr>
          <w:color w:val="000000"/>
        </w:rPr>
        <w:t xml:space="preserve">Изузетно од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</w:t>
      </w:r>
      <w:r>
        <w:rPr>
          <w:color w:val="000000"/>
        </w:rPr>
        <w:t>на, корисници јавних средстава који први пут достављају податке Регистру, податке за претходни месец достављају у року од десет дана од дана додељивања приступног налога електронској бази података Регистра.</w:t>
      </w:r>
    </w:p>
    <w:p w:rsidR="000842CC" w:rsidRDefault="00487258">
      <w:pPr>
        <w:spacing w:after="150"/>
      </w:pPr>
      <w:r>
        <w:rPr>
          <w:color w:val="000000"/>
        </w:rPr>
        <w:t xml:space="preserve">Корисник приликом уноса података у Регистар врши </w:t>
      </w:r>
      <w:r>
        <w:rPr>
          <w:color w:val="000000"/>
        </w:rPr>
        <w:t>контролу и преглед како кадровских, тако и финансијских података након чега врши потврду истих података.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8.</w:t>
      </w:r>
    </w:p>
    <w:p w:rsidR="000842CC" w:rsidRDefault="00487258">
      <w:pPr>
        <w:spacing w:after="150"/>
      </w:pPr>
      <w:r>
        <w:rPr>
          <w:color w:val="000000"/>
        </w:rPr>
        <w:lastRenderedPageBreak/>
        <w:t xml:space="preserve">Достављање података о лицима из члана 4.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корисници јавних средстава врше на основу документације коју садржи досије запосленог, иза</w:t>
      </w:r>
      <w:r>
        <w:rPr>
          <w:color w:val="000000"/>
        </w:rPr>
        <w:t>браног, именованог постављеног и ангажованог лица и података из службене евиденције корисника јавних средстава.</w:t>
      </w:r>
    </w:p>
    <w:p w:rsidR="000842CC" w:rsidRDefault="00487258">
      <w:pPr>
        <w:spacing w:after="150"/>
      </w:pPr>
      <w:r>
        <w:rPr>
          <w:color w:val="000000"/>
        </w:rPr>
        <w:t>Корисници јавних средстава су дужни да у Регистру изврше промену података о запосленима у року од седам дана од дана настанка промене.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9.</w:t>
      </w:r>
    </w:p>
    <w:p w:rsidR="000842CC" w:rsidRDefault="00487258">
      <w:pPr>
        <w:spacing w:after="150"/>
      </w:pPr>
      <w:r>
        <w:rPr>
          <w:color w:val="000000"/>
        </w:rPr>
        <w:t>Централни регистар ће извршити иницијалну доделу администраторског права приступа Регистру лицима која поседују администраторско овлашћење за рад на Порталу Централног регистра код изабраног корисника јавних средстава, који су евидентирани у систему Центра</w:t>
      </w:r>
      <w:r>
        <w:rPr>
          <w:color w:val="000000"/>
        </w:rPr>
        <w:t xml:space="preserve">лног регистра на дан 31.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0842CC" w:rsidRDefault="00487258">
      <w:pPr>
        <w:spacing w:after="150"/>
      </w:pPr>
      <w:r>
        <w:rPr>
          <w:color w:val="000000"/>
        </w:rPr>
        <w:t xml:space="preserve">За кориснике који се региструју након рока дефинисаног ставом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Централни регистар ће извршити иницијалну доделу администраторског права приступа Регистру лицима која поседују администраторско овл</w:t>
      </w:r>
      <w:r>
        <w:rPr>
          <w:color w:val="000000"/>
        </w:rPr>
        <w:t>ашћење за рад на Порталу Централног регистра код изабраног корисника јавних средстава.</w:t>
      </w:r>
    </w:p>
    <w:p w:rsidR="000842CC" w:rsidRDefault="00487258">
      <w:pPr>
        <w:spacing w:after="120"/>
        <w:jc w:val="center"/>
      </w:pPr>
      <w:r>
        <w:rPr>
          <w:color w:val="000000"/>
        </w:rPr>
        <w:t>Члан 10.</w:t>
      </w:r>
    </w:p>
    <w:p w:rsidR="000842CC" w:rsidRDefault="00487258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0842CC" w:rsidRDefault="00487258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број 110-665/2021</w:t>
      </w:r>
    </w:p>
    <w:p w:rsidR="000842CC" w:rsidRDefault="00487258">
      <w:pPr>
        <w:spacing w:after="150"/>
        <w:jc w:val="right"/>
      </w:pPr>
      <w:r>
        <w:rPr>
          <w:color w:val="000000"/>
        </w:rPr>
        <w:t xml:space="preserve">У Београду, 28.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</w:p>
    <w:p w:rsidR="000842CC" w:rsidRDefault="00487258">
      <w:pPr>
        <w:spacing w:after="150"/>
        <w:jc w:val="right"/>
      </w:pPr>
      <w:r>
        <w:rPr>
          <w:b/>
          <w:color w:val="000000"/>
        </w:rPr>
        <w:t>В</w:t>
      </w:r>
      <w:r>
        <w:rPr>
          <w:b/>
          <w:color w:val="000000"/>
        </w:rPr>
        <w:t>лада</w:t>
      </w:r>
    </w:p>
    <w:p w:rsidR="000842CC" w:rsidRDefault="00487258">
      <w:pPr>
        <w:spacing w:after="150"/>
        <w:jc w:val="right"/>
      </w:pPr>
      <w:r>
        <w:rPr>
          <w:color w:val="000000"/>
        </w:rPr>
        <w:t>Председник,</w:t>
      </w:r>
    </w:p>
    <w:p w:rsidR="000842CC" w:rsidRDefault="00487258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0842CC" w:rsidRDefault="00487258">
      <w:pPr>
        <w:spacing w:after="150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2145" cy="8068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CC" w:rsidRDefault="00487258">
      <w:pPr>
        <w:spacing w:after="150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2145" cy="40724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CC" w:rsidRDefault="00487258">
      <w:pPr>
        <w:spacing w:after="150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5732145" cy="40724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CC" w:rsidRDefault="00487258">
      <w:pPr>
        <w:spacing w:after="150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2145" cy="40724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CC" w:rsidRDefault="00487258">
      <w:pPr>
        <w:spacing w:after="150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5732145" cy="40724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CC" w:rsidRDefault="00487258">
      <w:pPr>
        <w:spacing w:after="120"/>
        <w:jc w:val="center"/>
      </w:pPr>
      <w:r>
        <w:rPr>
          <w:b/>
          <w:color w:val="000000"/>
        </w:rPr>
        <w:t>Шифарник основа примања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63"/>
        <w:gridCol w:w="5453"/>
        <w:gridCol w:w="2212"/>
      </w:tblGrid>
      <w:tr w:rsidR="000842C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lastRenderedPageBreak/>
              <w:t>ШИФАРНИК ОСНОВА ПРИМАЊА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Ред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</w:rPr>
              <w:t>бр.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Основ примања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Шифра основа</w:t>
            </w:r>
            <w:r>
              <w:br/>
            </w:r>
            <w:r>
              <w:rPr>
                <w:b/>
                <w:color w:val="000000"/>
              </w:rPr>
              <w:t>примања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ПЛАТЕ, ДОДАЦИ И НАКНАДЕ ЗА ЗАПОСЛЕНЕ (ЗАРАДЕ)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I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Плате/зараде које запослени оствари за обављени рад и време </w:t>
            </w:r>
            <w:r>
              <w:rPr>
                <w:color w:val="000000"/>
              </w:rPr>
              <w:t>проведено на раду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Додатак/увећање за рад дужи од пуног радног времена - прековремени рад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Додатак/увећање за рад на дан празника који је нерадан дан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Додатак/увећање за рад ноћу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Додатак/увећање за </w:t>
            </w:r>
            <w:r>
              <w:rPr>
                <w:color w:val="000000"/>
              </w:rPr>
              <w:t>рад у сменама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Додатак за време проведено на раду – минули рад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116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Теренски додатак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117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зараде за време привремене спречености за рад до 30 дана услед болести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118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Накнада зараде за време одсуствовања </w:t>
            </w:r>
            <w:r>
              <w:rPr>
                <w:color w:val="000000"/>
              </w:rPr>
              <w:t>са рада на дан празника</w:t>
            </w:r>
            <w:r>
              <w:br/>
            </w:r>
            <w:r>
              <w:rPr>
                <w:color w:val="000000"/>
              </w:rPr>
              <w:t>који је нерадан дан, годишњег одмора, плаћеног одсуства,</w:t>
            </w:r>
            <w:r>
              <w:br/>
            </w:r>
            <w:r>
              <w:rPr>
                <w:color w:val="000000"/>
              </w:rPr>
              <w:t>војне вежбе и одазивања на позив државног органа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119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Остали додаци и накнаде запосленима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120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Друге накнаде зарада које се утврде општим актом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запосленом због одвојеног живота од породице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13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Регрес за коришћење годишњег одмора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14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за „топли оброкˮ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Друга примања запосленог, а која у складу са законом имају карактер зараде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Зараде по основу радног учинка, стимулације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126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Плате приправника које плаћа послодавац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127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Плате приправника које плаћа Национална служба за запошљавање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128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Плате привремено запослених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129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Плате по </w:t>
            </w:r>
            <w:r>
              <w:rPr>
                <w:color w:val="000000"/>
              </w:rPr>
              <w:t>основу судских пресуда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130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штете запосленом за неискоришћени годишњи одмор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131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Остале накнаде штете запосленом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132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23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Остале исплате зарада за специјалне задатке или пројекте (бруто)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133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24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Укупна бруто </w:t>
            </w:r>
            <w:r>
              <w:rPr>
                <w:color w:val="000000"/>
              </w:rPr>
              <w:t>плата/зарада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199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СОЦИЈАЛНИ ДОПРИНОСИ НА ТЕРЕТ ПОСЛОДАВЦА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II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Допринос за пензијско и инвалидско осигурање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Допринос за добровољно пензијско и инвалидско осигурање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Допринос за пензијско и инвалидско осигурање за радни стаж који се </w:t>
            </w:r>
            <w:r>
              <w:rPr>
                <w:color w:val="000000"/>
              </w:rPr>
              <w:t>рачуна са увећаним доприносом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Допринос за здравствено осигурање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Допринос за добровољно здравствено осигурање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Допринос за случај незапослености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206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СОЦИЈАЛНА ДАВАЊА ЗАПОСЛЕНИМА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III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i/>
                <w:color w:val="000000"/>
              </w:rPr>
              <w:t>Исплата накнада за време одсуствовања с посла</w:t>
            </w:r>
            <w:r>
              <w:br/>
            </w:r>
            <w:r>
              <w:rPr>
                <w:i/>
                <w:color w:val="000000"/>
              </w:rPr>
              <w:t>на терет фондова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Породиљско боловање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Боловање преко 30 дана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33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Инвалидност рада другог степена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i/>
                <w:color w:val="000000"/>
              </w:rPr>
              <w:t>Отпремнине и помоћи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34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Отпремнина приликом одласка у пензију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Отпремнина запосленом за чијим је радом престала потреба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Помоћ у случају смрти запосленог или члана уже породице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306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Помоћ у медицинском лечењу запосленог или члана уже породице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307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Помоћ у случају оштећења или уништења имовине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308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Остале помоћи запосленима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309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НАКНАДЕ ТРОШКОВА ЗА ЗАПОСЛЕНЕ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IV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трошкова за одвојен живот од породице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трошкова за превоз на посао и са посла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трошкова за смештај изабраних, постављених и именованих лица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403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43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за селидбене трошкове запослених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404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44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Остале накнаде </w:t>
            </w:r>
            <w:r>
              <w:rPr>
                <w:color w:val="000000"/>
              </w:rPr>
              <w:t>трошкова запослених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405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V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Јубиларне награде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Награде за посебне резултате рада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Остале награде запосленима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503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i/>
                <w:color w:val="000000"/>
              </w:rPr>
              <w:t>Накнаде члановима управних и надзорних одбора и комисија који су запослени 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Накнаде члановима управних и надзорних одбора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505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49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члановима комисија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506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ПОСЛАНИЧКИ И СУДИЈСКИ ДОДАТАК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VI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Посланички додатак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Судијски додатак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ТРОШКОВИ ПУТОВАЊА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VII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53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54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Трошкови превоза на службеном путу у земљи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55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Остали трошкови за пословна путовања у земљи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56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Трошкови дневница за службени пут у иностранство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705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Трошкови смештаја на службеном путу у </w:t>
            </w:r>
            <w:r>
              <w:rPr>
                <w:color w:val="000000"/>
              </w:rPr>
              <w:t>иностранство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706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Трошкови превоза за службени пут у иностранство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707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59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Остали трошкови за пословна путовања у иностранство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708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Накада за употребу сопственог возила у службене сврхе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709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Накнада за трошкове смештаја и исхране за рад и боравак </w:t>
            </w:r>
            <w:r>
              <w:rPr>
                <w:color w:val="000000"/>
              </w:rPr>
              <w:t>на терену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710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62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Трошкови превоза у оквиру радног времена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711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УСЛУГЕ ПО УГОВОРУ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b/>
                <w:color w:val="000000"/>
              </w:rPr>
              <w:t>VIII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67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по уговору о делу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901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68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Накнада по уговорима о привременим и повременим пословима које закључује послодавац са физичким лицем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902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69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Накнада по </w:t>
            </w:r>
            <w:r>
              <w:rPr>
                <w:color w:val="000000"/>
              </w:rPr>
              <w:t>уговорима о привременим и повременим пословима који се обављају преко омладинских и студентских задруга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903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70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 xml:space="preserve">Накнаде физичким лицима по основу </w:t>
            </w:r>
            <w:r>
              <w:rPr>
                <w:color w:val="000000"/>
              </w:rPr>
              <w:lastRenderedPageBreak/>
              <w:t>осталих уговора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lastRenderedPageBreak/>
              <w:t>904</w:t>
            </w:r>
          </w:p>
        </w:tc>
      </w:tr>
      <w:tr w:rsidR="000842CC">
        <w:trPr>
          <w:trHeight w:val="45"/>
          <w:tblCellSpacing w:w="0" w:type="auto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71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Накнаде члановима управних и надзорних одбора и комисија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2CC" w:rsidRDefault="00487258">
            <w:pPr>
              <w:spacing w:after="150"/>
            </w:pPr>
            <w:r>
              <w:rPr>
                <w:color w:val="000000"/>
              </w:rPr>
              <w:t>905</w:t>
            </w:r>
          </w:p>
        </w:tc>
      </w:tr>
    </w:tbl>
    <w:p w:rsidR="00487258" w:rsidRDefault="00487258"/>
    <w:sectPr w:rsidR="004872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CC"/>
    <w:rsid w:val="000842CC"/>
    <w:rsid w:val="00487258"/>
    <w:rsid w:val="00E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3C217-96D2-4CB6-8469-A96EA11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2021-05-24T10:42:00Z</dcterms:created>
  <dcterms:modified xsi:type="dcterms:W3CDTF">2021-05-24T10:42:00Z</dcterms:modified>
</cp:coreProperties>
</file>