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83" w:rsidRDefault="006066F9">
      <w:pPr>
        <w:spacing w:after="150"/>
        <w:jc w:val="right"/>
      </w:pP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407183" w:rsidRDefault="006066F9">
      <w:pPr>
        <w:spacing w:after="150"/>
      </w:pPr>
      <w:r>
        <w:rPr>
          <w:color w:val="000000"/>
        </w:rPr>
        <w:t> </w:t>
      </w:r>
    </w:p>
    <w:p w:rsidR="00407183" w:rsidRDefault="006066F9">
      <w:pPr>
        <w:spacing w:after="150"/>
      </w:pPr>
      <w:r>
        <w:rPr>
          <w:color w:val="000000"/>
        </w:rPr>
        <w:t> 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80/2002, 84/2002 и 23/2003),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07183" w:rsidRDefault="006066F9">
      <w:pPr>
        <w:spacing w:after="225"/>
        <w:jc w:val="center"/>
      </w:pPr>
      <w:r>
        <w:rPr>
          <w:b/>
          <w:color w:val="000000"/>
        </w:rPr>
        <w:t>ПРАВИЛНИК</w:t>
      </w:r>
    </w:p>
    <w:p w:rsidR="00407183" w:rsidRDefault="006066F9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плаћање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компензације</w:t>
      </w:r>
      <w:proofErr w:type="spellEnd"/>
    </w:p>
    <w:p w:rsidR="00407183" w:rsidRDefault="006066F9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2003, 44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2018 -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текућој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потражива</w:t>
      </w:r>
      <w:r>
        <w:rPr>
          <w:color w:val="000000"/>
        </w:rPr>
        <w:t>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билатералне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>:</w:t>
      </w:r>
    </w:p>
    <w:p w:rsidR="00407183" w:rsidRDefault="006066F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усаглашеној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књиговодственој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двоструко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>;</w:t>
      </w:r>
    </w:p>
    <w:p w:rsidR="00407183" w:rsidRDefault="006066F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</w:t>
      </w:r>
      <w:r>
        <w:rPr>
          <w:color w:val="000000"/>
        </w:rPr>
        <w:t>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>).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>:</w:t>
      </w:r>
    </w:p>
    <w:p w:rsidR="00407183" w:rsidRDefault="006066F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ПОО –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дуговања</w:t>
      </w:r>
      <w:proofErr w:type="spellEnd"/>
      <w:r>
        <w:rPr>
          <w:color w:val="000000"/>
        </w:rPr>
        <w:t>;</w:t>
      </w:r>
    </w:p>
    <w:p w:rsidR="00407183" w:rsidRDefault="006066F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ПДУ –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организациона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ужника</w:t>
      </w:r>
      <w:proofErr w:type="spellEnd"/>
      <w:r>
        <w:rPr>
          <w:color w:val="000000"/>
        </w:rPr>
        <w:t>;</w:t>
      </w:r>
    </w:p>
    <w:p w:rsidR="00407183" w:rsidRDefault="006066F9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попуњена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компензацији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ИОК – </w:t>
      </w:r>
      <w:proofErr w:type="spellStart"/>
      <w:r>
        <w:rPr>
          <w:color w:val="000000"/>
        </w:rPr>
        <w:t>Изјава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компензацији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;</w:t>
      </w:r>
    </w:p>
    <w:p w:rsidR="00407183" w:rsidRDefault="006066F9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попуњен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>;</w:t>
      </w:r>
    </w:p>
    <w:p w:rsidR="00407183" w:rsidRDefault="006066F9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попуњен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оверен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Обрасци</w:t>
      </w:r>
      <w:proofErr w:type="spellEnd"/>
      <w:r>
        <w:rPr>
          <w:color w:val="000000"/>
        </w:rPr>
        <w:t xml:space="preserve"> ПОО –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, ПДУ –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и ИОК – </w:t>
      </w:r>
      <w:proofErr w:type="spellStart"/>
      <w:r>
        <w:rPr>
          <w:color w:val="000000"/>
        </w:rPr>
        <w:t>Изјава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компензацији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одштампани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ПОО и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ПДУ,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ИОК и </w:t>
      </w:r>
      <w:proofErr w:type="spellStart"/>
      <w:r>
        <w:rPr>
          <w:color w:val="000000"/>
        </w:rPr>
        <w:t>испоставља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Компензација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ИОК.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</w:t>
      </w:r>
      <w:r>
        <w:rPr>
          <w:color w:val="000000"/>
        </w:rPr>
        <w:t>пензацију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продужити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измирењу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9.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измирењу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одговарајућег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евидентира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извештају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бруто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</w:t>
      </w:r>
      <w:r>
        <w:rPr>
          <w:color w:val="000000"/>
        </w:rPr>
        <w:t>аплати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распоређеним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нераспоређеним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приходима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ИОК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спроведеном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r>
        <w:rPr>
          <w:color w:val="000000"/>
        </w:rPr>
        <w:t>рет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уплатног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</w:t>
      </w:r>
      <w:r>
        <w:rPr>
          <w:color w:val="000000"/>
        </w:rPr>
        <w:t>мпензације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</w:t>
      </w:r>
      <w:r>
        <w:rPr>
          <w:color w:val="000000"/>
        </w:rPr>
        <w:t>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Изјава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компензацији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књиговодствене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</w:t>
      </w:r>
      <w:r>
        <w:rPr>
          <w:color w:val="000000"/>
        </w:rPr>
        <w:t>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књиговодствима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компензације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407183" w:rsidRDefault="006066F9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407183" w:rsidRDefault="006066F9">
      <w:pPr>
        <w:spacing w:after="150"/>
        <w:jc w:val="right"/>
      </w:pPr>
      <w:r>
        <w:rPr>
          <w:color w:val="000000"/>
        </w:rPr>
        <w:t xml:space="preserve">04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110-00-143/2003</w:t>
      </w:r>
    </w:p>
    <w:p w:rsidR="00407183" w:rsidRDefault="006066F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2003. </w:t>
      </w:r>
      <w:proofErr w:type="spellStart"/>
      <w:r>
        <w:rPr>
          <w:color w:val="000000"/>
        </w:rPr>
        <w:t>године</w:t>
      </w:r>
      <w:proofErr w:type="spellEnd"/>
    </w:p>
    <w:p w:rsidR="00407183" w:rsidRDefault="006066F9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407183" w:rsidRDefault="006066F9">
      <w:pPr>
        <w:spacing w:after="150"/>
        <w:jc w:val="right"/>
      </w:pPr>
      <w:proofErr w:type="spellStart"/>
      <w:r>
        <w:rPr>
          <w:b/>
          <w:color w:val="000000"/>
        </w:rPr>
        <w:t>Божидар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Ђелић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407183" w:rsidRDefault="006066F9">
      <w:pPr>
        <w:spacing w:after="150"/>
      </w:pPr>
      <w:r>
        <w:rPr>
          <w:i/>
          <w:color w:val="000000"/>
        </w:rPr>
        <w:t xml:space="preserve">НАПОМЕНА ИЗДАВАЧА: </w:t>
      </w:r>
      <w:proofErr w:type="spellStart"/>
      <w:r>
        <w:rPr>
          <w:i/>
          <w:color w:val="000000"/>
        </w:rPr>
        <w:t>Даном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почетка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примене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допунама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привредним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друштвима</w:t>
      </w:r>
      <w:proofErr w:type="spellEnd"/>
      <w:r>
        <w:rPr>
          <w:i/>
          <w:color w:val="000000"/>
        </w:rPr>
        <w:t xml:space="preserve"> („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44/2018),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октобра</w:t>
      </w:r>
      <w:proofErr w:type="spellEnd"/>
      <w:r>
        <w:rPr>
          <w:i/>
          <w:color w:val="000000"/>
        </w:rPr>
        <w:t xml:space="preserve"> 2018.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престају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важе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одредбе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овог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, у </w:t>
      </w:r>
      <w:proofErr w:type="spellStart"/>
      <w:r>
        <w:rPr>
          <w:i/>
          <w:color w:val="000000"/>
        </w:rPr>
        <w:t>обрасцима</w:t>
      </w:r>
      <w:proofErr w:type="spellEnd"/>
      <w:r>
        <w:rPr>
          <w:i/>
          <w:color w:val="000000"/>
        </w:rPr>
        <w:t xml:space="preserve">, у </w:t>
      </w:r>
      <w:proofErr w:type="spellStart"/>
      <w:r>
        <w:rPr>
          <w:i/>
          <w:color w:val="000000"/>
        </w:rPr>
        <w:t>делу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ком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установљава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</w:t>
      </w:r>
      <w:r>
        <w:rPr>
          <w:i/>
          <w:color w:val="000000"/>
        </w:rPr>
        <w:t>авеза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употребе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печата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пословању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друштава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предузетника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160.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- 44/2018-27).</w:t>
      </w:r>
    </w:p>
    <w:p w:rsidR="00407183" w:rsidRDefault="006066F9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11161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116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183" w:rsidRDefault="006066F9">
      <w:pPr>
        <w:spacing w:after="150"/>
      </w:pPr>
      <w:r>
        <w:rPr>
          <w:color w:val="000000"/>
        </w:rPr>
        <w:lastRenderedPageBreak/>
        <w:t> </w:t>
      </w:r>
    </w:p>
    <w:p w:rsidR="00407183" w:rsidRDefault="006066F9">
      <w:pPr>
        <w:spacing w:after="150"/>
        <w:jc w:val="center"/>
      </w:pPr>
      <w:r>
        <w:rPr>
          <w:color w:val="000000"/>
        </w:rPr>
        <w:t> </w:t>
      </w:r>
    </w:p>
    <w:p w:rsidR="00407183" w:rsidRDefault="006066F9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9329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3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183" w:rsidRDefault="006066F9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47631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76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183" w:rsidRDefault="006066F9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67960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7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1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83"/>
    <w:rsid w:val="00407183"/>
    <w:rsid w:val="006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1B15"/>
  <w15:docId w15:val="{0301AC61-6349-456C-92E7-0831E9DB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2019-12-11T18:00:00Z</dcterms:created>
  <dcterms:modified xsi:type="dcterms:W3CDTF">2019-12-11T18:00:00Z</dcterms:modified>
</cp:coreProperties>
</file>