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9E0B4" w14:textId="77777777" w:rsidR="0009645F" w:rsidRPr="00C531A2" w:rsidRDefault="0009645F" w:rsidP="00897301">
      <w:pPr>
        <w:tabs>
          <w:tab w:val="left" w:pos="900"/>
        </w:tabs>
        <w:jc w:val="center"/>
        <w:rPr>
          <w:rFonts w:ascii="Times New Roman" w:hAnsi="Times New Roman"/>
          <w:b/>
          <w:sz w:val="23"/>
          <w:szCs w:val="23"/>
        </w:rPr>
      </w:pPr>
    </w:p>
    <w:p w14:paraId="57CEBEAA" w14:textId="7D8BDC27" w:rsidR="007104F0" w:rsidRPr="00C531A2" w:rsidRDefault="007104F0" w:rsidP="00897301">
      <w:pPr>
        <w:tabs>
          <w:tab w:val="left" w:pos="900"/>
        </w:tabs>
        <w:jc w:val="center"/>
        <w:rPr>
          <w:rFonts w:ascii="Times New Roman" w:hAnsi="Times New Roman"/>
          <w:b/>
          <w:sz w:val="23"/>
          <w:szCs w:val="23"/>
        </w:rPr>
      </w:pPr>
      <w:r w:rsidRPr="00C531A2">
        <w:rPr>
          <w:rFonts w:ascii="Times New Roman" w:hAnsi="Times New Roman"/>
          <w:b/>
          <w:sz w:val="23"/>
          <w:szCs w:val="23"/>
        </w:rPr>
        <w:t>О Б Р А З Л О Ж Е Њ Е</w:t>
      </w:r>
    </w:p>
    <w:p w14:paraId="31756B22" w14:textId="77777777" w:rsidR="007104F0" w:rsidRPr="00C531A2" w:rsidRDefault="007104F0" w:rsidP="007104F0">
      <w:pPr>
        <w:tabs>
          <w:tab w:val="left" w:pos="900"/>
        </w:tabs>
        <w:rPr>
          <w:rFonts w:ascii="Times New Roman" w:hAnsi="Times New Roman"/>
          <w:b/>
          <w:sz w:val="23"/>
          <w:szCs w:val="23"/>
        </w:rPr>
      </w:pPr>
    </w:p>
    <w:p w14:paraId="009BB5FF" w14:textId="77777777" w:rsidR="00A55878" w:rsidRPr="00C531A2" w:rsidRDefault="00A55878" w:rsidP="007104F0">
      <w:pPr>
        <w:tabs>
          <w:tab w:val="left" w:pos="900"/>
        </w:tabs>
        <w:rPr>
          <w:rFonts w:ascii="Times New Roman" w:hAnsi="Times New Roman"/>
          <w:b/>
          <w:sz w:val="23"/>
          <w:szCs w:val="23"/>
          <w:highlight w:val="yellow"/>
        </w:rPr>
      </w:pPr>
    </w:p>
    <w:p w14:paraId="70A1A56A" w14:textId="77777777" w:rsidR="007104F0" w:rsidRPr="00C531A2" w:rsidRDefault="006C2F74" w:rsidP="007104F0">
      <w:pPr>
        <w:pStyle w:val="Heading2"/>
        <w:tabs>
          <w:tab w:val="left" w:pos="900"/>
        </w:tabs>
        <w:spacing w:before="0" w:after="0"/>
        <w:jc w:val="both"/>
        <w:rPr>
          <w:rFonts w:ascii="Times New Roman" w:hAnsi="Times New Roman"/>
          <w:sz w:val="24"/>
          <w:szCs w:val="24"/>
        </w:rPr>
      </w:pPr>
      <w:r w:rsidRPr="00C531A2">
        <w:rPr>
          <w:rFonts w:ascii="Times New Roman" w:hAnsi="Times New Roman"/>
          <w:sz w:val="23"/>
          <w:szCs w:val="23"/>
        </w:rPr>
        <w:tab/>
      </w:r>
      <w:r w:rsidR="007104F0" w:rsidRPr="00C531A2">
        <w:rPr>
          <w:rFonts w:ascii="Times New Roman" w:hAnsi="Times New Roman"/>
          <w:sz w:val="24"/>
          <w:szCs w:val="24"/>
        </w:rPr>
        <w:t>I. УСТАВНИ ОСНОВ</w:t>
      </w:r>
    </w:p>
    <w:p w14:paraId="0453D30A" w14:textId="77777777" w:rsidR="007104F0" w:rsidRPr="00C531A2" w:rsidRDefault="007104F0" w:rsidP="007104F0">
      <w:pPr>
        <w:tabs>
          <w:tab w:val="left" w:pos="900"/>
        </w:tabs>
        <w:rPr>
          <w:rFonts w:ascii="Times New Roman" w:hAnsi="Times New Roman"/>
          <w:szCs w:val="24"/>
        </w:rPr>
      </w:pPr>
    </w:p>
    <w:p w14:paraId="1ED3EB7F" w14:textId="77777777" w:rsidR="007104F0" w:rsidRPr="00C531A2" w:rsidRDefault="00821B52" w:rsidP="00821B52">
      <w:pPr>
        <w:tabs>
          <w:tab w:val="left" w:pos="709"/>
        </w:tabs>
        <w:rPr>
          <w:rFonts w:ascii="Times New Roman" w:hAnsi="Times New Roman"/>
          <w:szCs w:val="24"/>
        </w:rPr>
      </w:pPr>
      <w:r w:rsidRPr="00C531A2">
        <w:rPr>
          <w:rFonts w:ascii="Times New Roman" w:hAnsi="Times New Roman"/>
          <w:szCs w:val="24"/>
        </w:rPr>
        <w:tab/>
      </w:r>
      <w:r w:rsidR="007104F0" w:rsidRPr="00C531A2">
        <w:rPr>
          <w:rFonts w:ascii="Times New Roman" w:hAnsi="Times New Roman"/>
          <w:szCs w:val="24"/>
        </w:rPr>
        <w:t>Уставни основ за доношење овог закона садржан је у члану 92. став 1. и члану 97. тачка 15. Устава Републике Србије, којима је утврђено да Република Србија, аутономне покрајине и јединице локалне самоуправе имају буџете у којима морају бити приказани сви приходи и расходи којима се финансирају њихове надлежности и да Република Србија, између осталог, уређује и обезбеђује финансирање остваривања права и дужности Републике Србије, утврђених Уставом и законом.</w:t>
      </w:r>
    </w:p>
    <w:p w14:paraId="42FE17D7" w14:textId="77777777" w:rsidR="00632A97" w:rsidRPr="00C531A2" w:rsidRDefault="00821B52" w:rsidP="00821B52">
      <w:pPr>
        <w:tabs>
          <w:tab w:val="left" w:pos="709"/>
        </w:tabs>
        <w:rPr>
          <w:rFonts w:ascii="Times New Roman" w:hAnsi="Times New Roman"/>
          <w:szCs w:val="24"/>
        </w:rPr>
      </w:pPr>
      <w:r w:rsidRPr="00C531A2">
        <w:rPr>
          <w:rFonts w:ascii="Times New Roman" w:hAnsi="Times New Roman"/>
          <w:szCs w:val="24"/>
        </w:rPr>
        <w:tab/>
      </w:r>
      <w:r w:rsidR="007104F0" w:rsidRPr="00C531A2">
        <w:rPr>
          <w:rFonts w:ascii="Times New Roman" w:hAnsi="Times New Roman"/>
          <w:szCs w:val="24"/>
        </w:rPr>
        <w:t>Чланом 99. став 1. тачка 11. Устава Републике Србије утврђено је да Народна скупштина усваја буџет Репу</w:t>
      </w:r>
      <w:r w:rsidR="000008C6" w:rsidRPr="00C531A2">
        <w:rPr>
          <w:rFonts w:ascii="Times New Roman" w:hAnsi="Times New Roman"/>
          <w:szCs w:val="24"/>
        </w:rPr>
        <w:t>блике Србије, на предлог Владе.</w:t>
      </w:r>
    </w:p>
    <w:p w14:paraId="28E56F7E" w14:textId="77777777" w:rsidR="00A45AD2" w:rsidRPr="00C531A2" w:rsidRDefault="00A45AD2" w:rsidP="00821B52">
      <w:pPr>
        <w:tabs>
          <w:tab w:val="left" w:pos="709"/>
        </w:tabs>
        <w:rPr>
          <w:rFonts w:ascii="Times New Roman" w:hAnsi="Times New Roman"/>
          <w:szCs w:val="24"/>
          <w:highlight w:val="yellow"/>
        </w:rPr>
      </w:pPr>
    </w:p>
    <w:p w14:paraId="4462885D" w14:textId="2368A1A4" w:rsidR="0079641B" w:rsidRPr="00C531A2" w:rsidRDefault="008C16FD" w:rsidP="0079641B">
      <w:pPr>
        <w:tabs>
          <w:tab w:val="left" w:pos="720"/>
        </w:tabs>
        <w:spacing w:after="120"/>
        <w:rPr>
          <w:rFonts w:ascii="Times New Roman" w:hAnsi="Times New Roman"/>
          <w:b/>
        </w:rPr>
      </w:pPr>
      <w:r w:rsidRPr="00C531A2">
        <w:rPr>
          <w:rFonts w:ascii="Times New Roman" w:hAnsi="Times New Roman"/>
          <w:b/>
          <w:szCs w:val="24"/>
        </w:rPr>
        <w:tab/>
      </w:r>
      <w:r w:rsidR="0079641B" w:rsidRPr="00C531A2">
        <w:rPr>
          <w:rFonts w:ascii="Times New Roman" w:hAnsi="Times New Roman"/>
          <w:b/>
        </w:rPr>
        <w:t>II. МАКРОЕКОНОМСКЕ ПРЕТПОСТАВКЕ БУЏЕТА РЕПУБЛИКЕ СРБИЈЕ ЗА 202</w:t>
      </w:r>
      <w:r w:rsidR="00DB103D" w:rsidRPr="00C531A2">
        <w:rPr>
          <w:rFonts w:ascii="Times New Roman" w:hAnsi="Times New Roman"/>
          <w:b/>
        </w:rPr>
        <w:t>6</w:t>
      </w:r>
      <w:r w:rsidR="0079641B" w:rsidRPr="00C531A2">
        <w:rPr>
          <w:rFonts w:ascii="Times New Roman" w:hAnsi="Times New Roman"/>
          <w:b/>
        </w:rPr>
        <w:t>. ГОДИНУ</w:t>
      </w:r>
    </w:p>
    <w:p w14:paraId="134B0134" w14:textId="77777777" w:rsidR="005C6900" w:rsidRPr="00C531A2" w:rsidRDefault="005C6900" w:rsidP="005C6900">
      <w:pPr>
        <w:pStyle w:val="Heading3"/>
        <w:numPr>
          <w:ilvl w:val="0"/>
          <w:numId w:val="7"/>
        </w:numPr>
        <w:tabs>
          <w:tab w:val="left" w:pos="1440"/>
        </w:tabs>
        <w:rPr>
          <w:rFonts w:ascii="Times New Roman" w:hAnsi="Times New Roman"/>
        </w:rPr>
      </w:pPr>
      <w:r w:rsidRPr="00C531A2">
        <w:rPr>
          <w:rFonts w:ascii="Times New Roman" w:hAnsi="Times New Roman"/>
        </w:rPr>
        <w:t xml:space="preserve">Текућа </w:t>
      </w:r>
      <w:r w:rsidRPr="00C531A2">
        <w:rPr>
          <w:rFonts w:ascii="Times New Roman" w:hAnsi="Times New Roman"/>
          <w:sz w:val="24"/>
          <w:szCs w:val="24"/>
        </w:rPr>
        <w:t>макроекономска</w:t>
      </w:r>
      <w:r w:rsidRPr="00C531A2">
        <w:rPr>
          <w:rFonts w:ascii="Times New Roman" w:hAnsi="Times New Roman"/>
        </w:rPr>
        <w:t xml:space="preserve"> кретања</w:t>
      </w:r>
    </w:p>
    <w:p w14:paraId="3F79F451" w14:textId="77777777" w:rsidR="005C6900" w:rsidRPr="00C531A2" w:rsidRDefault="005C6900" w:rsidP="005C6900">
      <w:pPr>
        <w:tabs>
          <w:tab w:val="left" w:pos="720"/>
          <w:tab w:val="left" w:pos="1440"/>
        </w:tabs>
        <w:spacing w:before="120" w:after="120"/>
        <w:ind w:firstLine="720"/>
        <w:rPr>
          <w:rFonts w:ascii="Times New Roman" w:hAnsi="Times New Roman"/>
          <w:szCs w:val="24"/>
        </w:rPr>
      </w:pPr>
      <w:r w:rsidRPr="00C531A2">
        <w:rPr>
          <w:rFonts w:ascii="Times New Roman" w:hAnsi="Times New Roman"/>
          <w:b/>
          <w:szCs w:val="24"/>
        </w:rPr>
        <w:t>Током претходних неколико година Република Србија је, као мала и отворена економија, показала изузетну отпорност на изазове различитог карактера.</w:t>
      </w:r>
      <w:r w:rsidRPr="00C531A2">
        <w:rPr>
          <w:rFonts w:ascii="Times New Roman" w:hAnsi="Times New Roman"/>
          <w:szCs w:val="24"/>
        </w:rPr>
        <w:t xml:space="preserve"> Захваљујући одговорној фискалној и монетарној политици, континуираним инвестицијама, као и спроведеним структурним реформама очувана је макроекономска стабилност, сачувано поверење инвеститора и обезбеђен континуитет у привредном расту. Међутим, актуелна дешавања на глобалном и домаћем плану током 2025. године нагло су појачала економску неизвесност. На глобалном нивоу, ескалација протекционистичких мера, раст царинских баријера и процеси трговинске фрагментације изнова тестирају отпорност малих и извозно оријентисаних економија, попут Србије. Истовремено, на домаћем плану присутан је био пораст друштвено-политичких тензија, што је кроз појачану неизвесност и опадање економског поверења негативно утицало на инвестициону и потрошачку активност. </w:t>
      </w:r>
    </w:p>
    <w:p w14:paraId="449EABC1" w14:textId="77777777" w:rsidR="005C6900" w:rsidRPr="00C531A2" w:rsidRDefault="005C6900" w:rsidP="005C6900">
      <w:pPr>
        <w:tabs>
          <w:tab w:val="left" w:pos="720"/>
          <w:tab w:val="left" w:pos="1440"/>
        </w:tabs>
        <w:spacing w:before="120" w:after="120"/>
        <w:ind w:firstLine="720"/>
        <w:rPr>
          <w:rFonts w:ascii="Times New Roman" w:hAnsi="Times New Roman"/>
          <w:bCs/>
          <w:szCs w:val="24"/>
        </w:rPr>
      </w:pPr>
      <w:r w:rsidRPr="00C531A2">
        <w:rPr>
          <w:rFonts w:ascii="Times New Roman" w:hAnsi="Times New Roman"/>
          <w:b/>
          <w:szCs w:val="24"/>
        </w:rPr>
        <w:t xml:space="preserve">Раст БДП у првом кварталу 2025. године износио је 1,9% међугодишње, а у другом је благо убрзао на 2,1%, тако да је укупно посматрано привредна активност у првој половини године забележила раст од 2,0%. </w:t>
      </w:r>
      <w:r w:rsidRPr="00C531A2">
        <w:rPr>
          <w:rFonts w:ascii="Times New Roman" w:hAnsi="Times New Roman"/>
          <w:szCs w:val="24"/>
        </w:rPr>
        <w:t xml:space="preserve">Посматрано са производне стране, најизраженији негативан утицај повећане неизвесности забележен је у грађевинарству, сектору привреде који је најосетљивији на промене у општој економској клими. У првој половини 2025. године овај сектор остварио је пад БДВ од 11,3%, чиме је грађевинарство забележило најзначајнији негативан допринос расту БДП. </w:t>
      </w:r>
      <w:r w:rsidRPr="00C531A2">
        <w:rPr>
          <w:rFonts w:ascii="Times New Roman" w:hAnsi="Times New Roman"/>
          <w:bCs/>
          <w:szCs w:val="24"/>
        </w:rPr>
        <w:t xml:space="preserve">Главни негативан утицај потекао је од смањења активности у нискоградњи, где је вредност изведених радова опала за 19,7%, пре свега као последица прелазне фазе између завршетка великих и покретања нових пројеката, али и услед високе базе из прве половине 2024. године. Са друге стране, високоградња је делимично ублажила ова негативна кретања, остваривши позитиван допринос кроз раст вредности изведених радова од 5,5%. </w:t>
      </w:r>
      <w:r w:rsidRPr="00C531A2">
        <w:rPr>
          <w:rFonts w:ascii="Times New Roman" w:hAnsi="Times New Roman"/>
          <w:szCs w:val="24"/>
        </w:rPr>
        <w:t xml:space="preserve">Упркос реалном расту од 2,5%, учинак сектора услуга био је нешто мањи од очекиваног. Иако је у појединим сегментима, попут информационих технологија, финансијских и стручних услуга настављен релативно солидан раст, ефекат слабијих перформанси у класичним услужним гранама - туризму, трговини и саобраћају, условио је да укупан допринос сектора услуга расту БДП остане ограничен. Индустријска производња је у истом периоду забележила раст од 2,5%, чиме је показала отпорност у условима још увек слабе спољне тражње. Својим позитивним резултатом индустрија је делимично ублажила </w:t>
      </w:r>
      <w:r w:rsidRPr="00C531A2">
        <w:rPr>
          <w:rFonts w:ascii="Times New Roman" w:hAnsi="Times New Roman"/>
          <w:szCs w:val="24"/>
        </w:rPr>
        <w:lastRenderedPageBreak/>
        <w:t>негативне ефекте на раст БДП, који су проистекли из оштрог пада грађевинарства и исподпросечних резултата у сектору услуга. Ова отпорност резултат је активирања нових производних капацитета у већем броју грана, пре свега у аутомобилској и гумарској индустрији, који су обезбедили стабилан извозни и производни допринос упркос изазовном окружењу. Неповољни климатски услови током лета, посебно дуготрајни периоди високих температура и недостатак падавина, негативно су утицали на приносе најважнијих пољопривредних култура, што је имало за последицу још једну испод просечну пољопривредну сезону. Посматрано са расходне стране, у првој половини 2025. године, повећана неизвесност услед појачаних друштвених тензија негативно је утицала пре свега на компоненте домаће тражње. Иако је раст расположивог дохотка био снажан, подстакнут повећањем реалних зарада и пензија, то се није у потпуности одразило на динамику приватне потрошње, чији је раст износио 2,4% у првој половини године. Инвестиције су у првој половини 2025. године показале слабију динамику забележивши смањење од 2,5%, што је пре свега последица пада у грађевинарству. Нето извоз је имао негативан допринос расту БДП, услед бржег раста увоза него извоза. Снажнији раст увоза детерминисан је готово подједнаким доприносом тражње домаћинстава за потрошним добрима и интензивнијег увоза инпута неопходних за потребе привреде. Овај процес додатно је подстакнут појачаним увозом добара уочи најављеног увођења тарифа почетком године и очекиваног раста цена по том основу, што је резултирало и значајним повећањем залиха у првој половини године.</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228"/>
      </w:tblGrid>
      <w:tr w:rsidR="005C6900" w:rsidRPr="00C531A2" w14:paraId="5AC9C7DC" w14:textId="77777777" w:rsidTr="00725D9F">
        <w:tc>
          <w:tcPr>
            <w:tcW w:w="4686" w:type="dxa"/>
          </w:tcPr>
          <w:p w14:paraId="162FED46" w14:textId="77777777" w:rsidR="005C6900" w:rsidRPr="00C531A2" w:rsidRDefault="005C6900" w:rsidP="00725D9F">
            <w:pPr>
              <w:tabs>
                <w:tab w:val="left" w:pos="720"/>
                <w:tab w:val="left" w:pos="1440"/>
              </w:tabs>
              <w:spacing w:before="120" w:after="120"/>
              <w:jc w:val="center"/>
              <w:rPr>
                <w:rFonts w:ascii="Times New Roman" w:hAnsi="Times New Roman"/>
                <w:b/>
                <w:color w:val="1F497D" w:themeColor="text2"/>
                <w:szCs w:val="24"/>
              </w:rPr>
            </w:pPr>
            <w:r w:rsidRPr="00C531A2">
              <w:rPr>
                <w:rFonts w:ascii="Times New Roman" w:hAnsi="Times New Roman"/>
                <w:b/>
                <w:color w:val="1F497D" w:themeColor="text2"/>
                <w:szCs w:val="24"/>
              </w:rPr>
              <w:t>Доприноси стопи реалног раста БДП, производни приступ, п.п.</w:t>
            </w:r>
          </w:p>
          <w:p w14:paraId="47AE47F5" w14:textId="77777777" w:rsidR="005C6900" w:rsidRPr="00C531A2" w:rsidRDefault="005C6900" w:rsidP="00725D9F">
            <w:pPr>
              <w:tabs>
                <w:tab w:val="left" w:pos="420"/>
                <w:tab w:val="left" w:pos="720"/>
                <w:tab w:val="left" w:pos="1440"/>
              </w:tabs>
              <w:spacing w:before="120" w:after="120"/>
              <w:rPr>
                <w:rFonts w:ascii="Times New Roman" w:hAnsi="Times New Roman"/>
                <w:color w:val="FF0000"/>
                <w:szCs w:val="24"/>
              </w:rPr>
            </w:pPr>
            <w:r w:rsidRPr="00C531A2">
              <w:rPr>
                <w:rFonts w:ascii="Times New Roman" w:hAnsi="Times New Roman"/>
                <w:color w:val="FF0000"/>
                <w:szCs w:val="24"/>
              </w:rPr>
              <w:tab/>
            </w:r>
            <w:r w:rsidRPr="00C531A2">
              <w:drawing>
                <wp:inline distT="0" distB="0" distL="0" distR="0" wp14:anchorId="2C1F2A00" wp14:editId="429B10D3">
                  <wp:extent cx="2541905" cy="1911860"/>
                  <wp:effectExtent l="0" t="0" r="0" b="0"/>
                  <wp:docPr id="2" name="Chart 2">
                    <a:extLst xmlns:a="http://schemas.openxmlformats.org/drawingml/2006/main">
                      <a:ext uri="{FF2B5EF4-FFF2-40B4-BE49-F238E27FC236}">
                        <a16:creationId xmlns:a16="http://schemas.microsoft.com/office/drawing/2014/main" id="{00000000-0008-0000-0F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tcW w:w="4674" w:type="dxa"/>
          </w:tcPr>
          <w:p w14:paraId="040B5E52" w14:textId="77777777" w:rsidR="005C6900" w:rsidRPr="00C531A2" w:rsidRDefault="005C6900" w:rsidP="00725D9F">
            <w:pPr>
              <w:tabs>
                <w:tab w:val="left" w:pos="720"/>
                <w:tab w:val="left" w:pos="1440"/>
              </w:tabs>
              <w:spacing w:before="120" w:after="120"/>
              <w:jc w:val="center"/>
              <w:rPr>
                <w:rFonts w:ascii="Times New Roman" w:hAnsi="Times New Roman"/>
                <w:b/>
                <w:color w:val="1F497D" w:themeColor="text2"/>
                <w:szCs w:val="24"/>
              </w:rPr>
            </w:pPr>
            <w:r w:rsidRPr="00C531A2">
              <w:rPr>
                <w:rFonts w:ascii="Times New Roman" w:hAnsi="Times New Roman"/>
                <w:b/>
                <w:color w:val="1F497D" w:themeColor="text2"/>
                <w:szCs w:val="24"/>
              </w:rPr>
              <w:t>Доприноси стопи реалног раста БДП, расходни приступ, п.п.</w:t>
            </w:r>
          </w:p>
          <w:p w14:paraId="432E1ADF" w14:textId="77777777" w:rsidR="005C6900" w:rsidRPr="00C531A2" w:rsidRDefault="005C6900" w:rsidP="00725D9F">
            <w:pPr>
              <w:tabs>
                <w:tab w:val="left" w:pos="720"/>
                <w:tab w:val="left" w:pos="1440"/>
              </w:tabs>
              <w:spacing w:before="120" w:after="120"/>
              <w:jc w:val="center"/>
              <w:rPr>
                <w:rFonts w:ascii="Times New Roman" w:hAnsi="Times New Roman"/>
                <w:color w:val="FF0000"/>
                <w:szCs w:val="24"/>
              </w:rPr>
            </w:pPr>
            <w:r w:rsidRPr="00C531A2">
              <w:drawing>
                <wp:inline distT="0" distB="0" distL="0" distR="0" wp14:anchorId="51E14BCA" wp14:editId="4B2555C1">
                  <wp:extent cx="2624328" cy="1901952"/>
                  <wp:effectExtent l="0" t="0" r="5080" b="3175"/>
                  <wp:docPr id="220809265" name="Chart 220809265">
                    <a:extLst xmlns:a="http://schemas.openxmlformats.org/drawingml/2006/main">
                      <a:ext uri="{FF2B5EF4-FFF2-40B4-BE49-F238E27FC236}">
                        <a16:creationId xmlns:a16="http://schemas.microsoft.com/office/drawing/2014/main" id="{00000000-0008-0000-0F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0A051D84" w14:textId="77777777" w:rsidR="005C6900" w:rsidRPr="00C531A2" w:rsidRDefault="005C6900" w:rsidP="005C6900">
      <w:pPr>
        <w:tabs>
          <w:tab w:val="left" w:pos="720"/>
          <w:tab w:val="left" w:pos="1440"/>
        </w:tabs>
        <w:spacing w:before="120" w:after="120"/>
        <w:ind w:firstLine="720"/>
        <w:rPr>
          <w:rFonts w:ascii="Times New Roman" w:hAnsi="Times New Roman"/>
          <w:b/>
          <w:szCs w:val="24"/>
        </w:rPr>
      </w:pPr>
      <w:r w:rsidRPr="00C531A2">
        <w:rPr>
          <w:rFonts w:ascii="Times New Roman" w:hAnsi="Times New Roman"/>
          <w:b/>
          <w:szCs w:val="24"/>
        </w:rPr>
        <w:t>Високофреквентни индикатори такође указују на нешто спорију динамику економске активности током 2025. године, посебно у сектору грађевинарства и појединих услужних делатности, док је индустријска производња наставила са добрим кретањима.</w:t>
      </w:r>
    </w:p>
    <w:p w14:paraId="0149F539" w14:textId="77777777" w:rsidR="005C6900" w:rsidRPr="00C531A2" w:rsidRDefault="005C6900" w:rsidP="005C6900">
      <w:pPr>
        <w:tabs>
          <w:tab w:val="left" w:pos="720"/>
          <w:tab w:val="left" w:pos="1440"/>
        </w:tabs>
        <w:spacing w:before="120" w:after="120"/>
        <w:ind w:firstLine="720"/>
        <w:rPr>
          <w:rFonts w:ascii="Times New Roman" w:hAnsi="Times New Roman"/>
          <w:bCs/>
          <w:szCs w:val="24"/>
        </w:rPr>
      </w:pPr>
      <w:r w:rsidRPr="00C531A2">
        <w:rPr>
          <w:rFonts w:ascii="Times New Roman" w:hAnsi="Times New Roman"/>
          <w:b/>
          <w:szCs w:val="24"/>
        </w:rPr>
        <w:t xml:space="preserve">У првих осам месеци 2025. године индустријска производњa je забележила повећање физичког обима од 2,7% у односу на исти период претходне године. </w:t>
      </w:r>
      <w:r w:rsidRPr="00C531A2">
        <w:rPr>
          <w:rFonts w:ascii="Times New Roman" w:hAnsi="Times New Roman"/>
          <w:bCs/>
          <w:szCs w:val="24"/>
        </w:rPr>
        <w:t xml:space="preserve">Раст је вођен већим обимом производње прерађивачке индустрије и рударства, док је утицај производње електричне енергије био благо негативан. Прерађивачка индустрија је у првих осам месеци остварила повећање од 3,0%. Раст је био диверсификован и остварен у 13 од 24 делатности. Најзначајнији позитиван допринос расту прерађивачке индустрије у овом периоду потиче од гумарске индустрије и аутомобилске индустрије, које су забележиле повећање од 20,1%. и 23,5%, респективно. Снажан међугодишњи раст ове две делатности пре свега је резултат проширења производних капацитета који се односе на производњу гума у компанији Linglong, односно производњу новог модела аутомобила у фабрици у Крагујевцу. </w:t>
      </w:r>
      <w:r w:rsidRPr="00C531A2">
        <w:rPr>
          <w:rFonts w:ascii="Times New Roman" w:hAnsi="Times New Roman"/>
          <w:bCs/>
          <w:szCs w:val="24"/>
        </w:rPr>
        <w:lastRenderedPageBreak/>
        <w:t>Истовремено, физички обим нафтне индустрије био је виши за 10,3%, а настављен је и растући тренд производње основних метала чији је физички обим био већи за 9,3%. Истовремено, позитиван допринос потиче од производње металних производа, као и од хемијске индустрије које су забележиле раст од 5,4% и 4,2%, респективно. С друге стране, најзначајнији негативан допринос кретању прерађивачке индустрије у првих осам месеци 2025. године потекао је од машинске индустрије смањењем производње од 15,0%. Производња одевних предмета забележила је пад од 18,7%, док је физички обим производње прехрамбене индустрије и поправка и монтажа машина и опреме опао за 1,1% и 18,7%, респективно. Остале делатности које су оствариле мањи физички обим производње имале су благ негативан утицај на кретање прерађивачке индустрије. У рударству је забележен раст од 5,5% пре свега као резултат појачане експлоатације угља (11,2%) и раста експлоатације руда метала (3,3%). Истовремено, производња електричне енергије била је мања за 0,7% у првих осам месеци и имала је благ негативан утицај на раст укупне индустријске производње.</w:t>
      </w:r>
    </w:p>
    <w:p w14:paraId="0D513BE4" w14:textId="77777777" w:rsidR="005C6900" w:rsidRPr="00C531A2" w:rsidRDefault="005C6900" w:rsidP="005C6900">
      <w:pPr>
        <w:tabs>
          <w:tab w:val="left" w:pos="720"/>
          <w:tab w:val="left" w:pos="1440"/>
        </w:tabs>
        <w:spacing w:before="120" w:after="120"/>
        <w:ind w:firstLine="720"/>
        <w:rPr>
          <w:rFonts w:ascii="Times New Roman" w:hAnsi="Times New Roman"/>
          <w:bCs/>
          <w:szCs w:val="24"/>
        </w:rPr>
      </w:pPr>
      <w:r w:rsidRPr="00C531A2">
        <w:rPr>
          <w:rFonts w:ascii="Times New Roman" w:hAnsi="Times New Roman"/>
          <w:b/>
          <w:szCs w:val="24"/>
        </w:rPr>
        <w:t>Реалан промет у трговини на мало порастао је за 2,4% у периоду јануар–август 2025. године, али је динамика раста успорила у поређењу са претходним периодом.</w:t>
      </w:r>
      <w:r w:rsidRPr="00C531A2">
        <w:rPr>
          <w:rFonts w:ascii="Times New Roman" w:hAnsi="Times New Roman"/>
          <w:bCs/>
          <w:szCs w:val="24"/>
        </w:rPr>
        <w:t xml:space="preserve"> Повећање промета остварено је у све три категорије производа: непрехрамбених за 4,5%, моторних горива за 1,8% и прехрамбених производа за 0,9%. Истовремено, дошло је до значајног успоравања туристичке активности, при чему је у првих осам месеци број долазака и ноћења туриста међугодишње смањен за 1,9% и 3,2%, респективно, при чему је пад пре свега последица смањене активности домаћих туриста, док је код страних туриста забележен умерен раст. У првих осам месеци 2025. године девизни прилив од туризма је међугодишње увећан за 0,6%. Поред тога, забележен је пад промета у угоститељству, при чему је у првих седам месеци био реално мањи за 2,3%.</w:t>
      </w:r>
    </w:p>
    <w:p w14:paraId="00734571" w14:textId="77777777" w:rsidR="005C6900" w:rsidRPr="00C531A2" w:rsidRDefault="005C6900" w:rsidP="005C6900">
      <w:pPr>
        <w:tabs>
          <w:tab w:val="left" w:pos="720"/>
          <w:tab w:val="left" w:pos="1440"/>
        </w:tabs>
        <w:spacing w:before="120" w:after="120"/>
        <w:ind w:firstLine="720"/>
        <w:rPr>
          <w:rFonts w:ascii="Times New Roman" w:hAnsi="Times New Roman"/>
          <w:bCs/>
          <w:szCs w:val="24"/>
        </w:rPr>
      </w:pPr>
      <w:r w:rsidRPr="00C531A2">
        <w:rPr>
          <w:rFonts w:ascii="Times New Roman" w:hAnsi="Times New Roman"/>
          <w:b/>
          <w:szCs w:val="24"/>
        </w:rPr>
        <w:t>Сектор информационо комуникационих технологија наставио је континуирани раст, уз све израженији значај у структури домаће привреде.</w:t>
      </w:r>
      <w:r w:rsidRPr="00C531A2">
        <w:rPr>
          <w:rFonts w:ascii="Times New Roman" w:hAnsi="Times New Roman"/>
          <w:bCs/>
          <w:szCs w:val="24"/>
        </w:rPr>
        <w:t xml:space="preserve"> У првих шест месеци 2025. године остварен је раст БДВ од 6,9%, што потврђује улогу овог сектора као једног од кључних покретача привредног раста. Позитивна кретања у сектору информационих технологија прати раст извозне активности, која је током првих осам месеци 2025. године достигла вредност од 3,0 милијарди евра, уз међугодишње повећање од 12,9%. Таквом динамиком, ИКТ сектор је достигао скоро једну трећину укупног извоза услуга, чиме се потврђује све већа конкурентност домаће ИКТ индустрије и њен значај у спољнотрговинској размени.</w:t>
      </w:r>
    </w:p>
    <w:p w14:paraId="613BB416" w14:textId="77777777" w:rsidR="005C6900" w:rsidRPr="00C531A2" w:rsidRDefault="005C6900" w:rsidP="005C6900">
      <w:pPr>
        <w:tabs>
          <w:tab w:val="left" w:pos="720"/>
          <w:tab w:val="left" w:pos="1440"/>
        </w:tabs>
        <w:spacing w:before="120" w:after="120"/>
        <w:ind w:firstLine="720"/>
        <w:rPr>
          <w:rFonts w:ascii="Times New Roman" w:hAnsi="Times New Roman"/>
          <w:b/>
          <w:color w:val="FF0000"/>
          <w:szCs w:val="24"/>
        </w:rPr>
      </w:pPr>
      <w:r w:rsidRPr="00C531A2">
        <w:rPr>
          <w:rFonts w:ascii="Times New Roman" w:hAnsi="Times New Roman"/>
          <w:b/>
          <w:szCs w:val="24"/>
        </w:rPr>
        <w:t>Узимајући у обзир кретања БДП у првој половини године, као и динамику високофреквентних индикатора у јулу и августу, пројекција раста БДП за 2025. годину ревидирана је наниже, са претходних 3,0% на 2,3%. Матрицу ризика у овом тренутку оцењујемо као симетричну, што значи да су изгледи за одступања привредног раста у позитивном и негативном смеру приближно подједнако вероватни.</w:t>
      </w:r>
    </w:p>
    <w:p w14:paraId="4A78A2BF" w14:textId="77777777" w:rsidR="005C6900" w:rsidRPr="00C531A2" w:rsidRDefault="005C6900" w:rsidP="005C6900">
      <w:pPr>
        <w:tabs>
          <w:tab w:val="left" w:pos="720"/>
          <w:tab w:val="left" w:pos="1440"/>
        </w:tabs>
        <w:spacing w:before="120" w:after="120"/>
        <w:ind w:firstLine="720"/>
        <w:rPr>
          <w:rFonts w:ascii="Times New Roman" w:hAnsi="Times New Roman"/>
          <w:bCs/>
          <w:iCs/>
          <w:szCs w:val="24"/>
        </w:rPr>
      </w:pPr>
      <w:r w:rsidRPr="00C531A2">
        <w:rPr>
          <w:rFonts w:ascii="Times New Roman" w:hAnsi="Times New Roman"/>
          <w:b/>
          <w:bCs/>
          <w:iCs/>
          <w:szCs w:val="24"/>
        </w:rPr>
        <w:t xml:space="preserve">Укупан обим спољнотрговинске робне размене у првих осам месеци 2025. године износио је 49,3 млрд евра и повећан је за 8,3%, уз истовремени раст и извозне и увозне активности. </w:t>
      </w:r>
      <w:r w:rsidRPr="00C531A2">
        <w:rPr>
          <w:rFonts w:ascii="Times New Roman" w:hAnsi="Times New Roman"/>
          <w:bCs/>
          <w:iCs/>
          <w:szCs w:val="24"/>
        </w:rPr>
        <w:t xml:space="preserve">Током првих осам месеци текуће године, извезено је робе у укупној вредности од 21,8 млрд евра, што представља повећање у односу на исти период  претходне године од 8,6%. Наставак раста извоза током 2025. године, упркос неповољним глобалним кретањима и успоравању привредне активности већине трговинских партнера, указује на изражену отпорност домаћег извозног сектора. Извоз прерађивачке индустрије која је и главни генератор раста извоза, био је већи је за 1,6 млрд евра или 9,4%, при чему је повећање остварено у 19 од 23 области.  Расту извоза прерађивачке индустрије највише је допринео већи извоз аутомобилске, гумарске и прехрамбене индустрије, као и основних метала и </w:t>
      </w:r>
      <w:r w:rsidRPr="00C531A2">
        <w:rPr>
          <w:rFonts w:ascii="Times New Roman" w:hAnsi="Times New Roman"/>
          <w:bCs/>
          <w:iCs/>
          <w:szCs w:val="24"/>
        </w:rPr>
        <w:lastRenderedPageBreak/>
        <w:t>металских производа. Истовремено, извоз из сектора рударства забележио је раст од 8,9% који је скоро у потпуности био вођен повећањем извоза руда метала, док је извоз електричне енергије забележио раст од 36,0%. Пољопривреда је забележила пад извоза од 14,6% у првих осам месеци 2025. године, као последица неповољне пољопривредне сезоне и у претходној и у текућој години, коју су обележили дуги сушни периоди и смањене залихе производа за извоз. У првих осам месеци 2025. године, увоз робе повећан је за 8,0% у односу на исти период претходне године и износио је 27,5 милијарди евра. Посматрано према економској намени, раст робног увоза био је опредељен већим увозом репроматеријала за 5,2% и потрошне робе за 12,0% (прираст од 720,7 и 621,8 мил. евра, респективно), док је пад увоза опреме од 4,0% имао негативан допринос (смањење од 133,6 мил. евра).  Оваква кретања у спољнотрговинској размени имала су за резултат повећање спољнотрговинског дефицита који је износио 5,8 млрд евра у посматраном периоду, и већи је за 324,3 мил. евра у односу на исти период претходне године. Истовремено, повећана је покривеност увоза извозом која износи 79,1% у текућој, у односу на 78,7% у истом периоду у претходној години.</w:t>
      </w:r>
    </w:p>
    <w:p w14:paraId="1108528E" w14:textId="77777777" w:rsidR="005C6900" w:rsidRPr="00C531A2" w:rsidRDefault="005C6900" w:rsidP="005C6900">
      <w:pPr>
        <w:tabs>
          <w:tab w:val="left" w:pos="720"/>
          <w:tab w:val="left" w:pos="1440"/>
        </w:tabs>
        <w:spacing w:before="120" w:after="120"/>
        <w:ind w:firstLine="720"/>
        <w:rPr>
          <w:rFonts w:ascii="Times New Roman" w:hAnsi="Times New Roman"/>
          <w:bCs/>
          <w:iCs/>
          <w:color w:val="FF0000"/>
          <w:szCs w:val="24"/>
        </w:rPr>
      </w:pPr>
      <w:r w:rsidRPr="00C531A2">
        <w:rPr>
          <w:rFonts w:ascii="Times New Roman" w:hAnsi="Times New Roman"/>
          <w:b/>
          <w:bCs/>
          <w:iCs/>
          <w:szCs w:val="24"/>
        </w:rPr>
        <w:t>Дефицит текућег рачуна у првих осам месеци 2025. године износио је 2,7 млрд евра, и био је виши за 629,6 мил. евра у односу на исти период претходне године.</w:t>
      </w:r>
      <w:r w:rsidRPr="00C531A2">
        <w:rPr>
          <w:rFonts w:ascii="Times New Roman" w:hAnsi="Times New Roman"/>
          <w:bCs/>
          <w:iCs/>
          <w:szCs w:val="24"/>
        </w:rPr>
        <w:t xml:space="preserve"> На рачуну роба и услуга забележен је дефицит од 3,1 млрд евра, што представља међугодишње повећање од 483,4 мил. евра,  услед нижег суфицита на рачуну услуга, али и већег дефицита у трговини робом. На рачуну услуга забележен је суфицит који је износио 1,3 млрд евра и био је нижи за 323,9 милиона евра, док је робни дефицит износио 4,5 млрд евра, што је повећање од 159,5 милиона евра. Повећање робног дефицита у првих осам месеци 2025. године превасходно је условљено преласком нето позиције у размени пољопривредних производа из суфицита у дефицит, затим повећањем дефицита у размени фармацеутских производа и смањењем суфицита у размени електричне опреме. Позитиван нето извоз услуга у највећој мери резултат је већег извоза ИКТ у посматраном периоду. Нето прилив по основу ИКТ услуга повећан је за 14,8% и износио је 2,3 млрд евра. Укупан прилив СДИ у првих осам месеци 2025. године смањен је за 40,5% и износио је 2,1 млрд евра, док је нето прилив по основу СДИ био мањи за 53,9% и износио je 1,5 млрд евра.  Посматрано према делатностима, највећи прилив СДИ у првој половини текуће године је остварен у прерађивачкој индустрији (370,3 мил. евра), стручним, научним, иновационим и техничким делатностима (293,6 мил. евра), затим у грађевинарству (242,4 мил. евра), али и у трговини на велико и мало са остварених 224,7 мил. евра. Очекује се да ће се у 2025. години дефицит текућег рачуна износити 5,3% БДП, пре свега као резултат већег дефицита у размени роба и нижег суфицита у размени услуга.  У остатку године, очекује се стабилан прилив страних директних инвестиција које ће бити главни извор финансирања дефицита текућег рачуна и у 2025. години.</w:t>
      </w:r>
    </w:p>
    <w:p w14:paraId="0753CAE9" w14:textId="77777777" w:rsidR="005C6900" w:rsidRPr="00C531A2" w:rsidRDefault="005C6900" w:rsidP="005C6900">
      <w:pPr>
        <w:tabs>
          <w:tab w:val="left" w:pos="720"/>
          <w:tab w:val="left" w:pos="1440"/>
        </w:tabs>
        <w:spacing w:before="120" w:after="120"/>
        <w:ind w:firstLine="720"/>
        <w:rPr>
          <w:rFonts w:ascii="Times New Roman" w:hAnsi="Times New Roman"/>
          <w:bCs/>
          <w:color w:val="FF0000"/>
          <w:szCs w:val="24"/>
        </w:rPr>
      </w:pPr>
      <w:bookmarkStart w:id="0" w:name="_Hlk180000163"/>
      <w:r w:rsidRPr="00C531A2">
        <w:rPr>
          <w:rFonts w:ascii="Times New Roman" w:hAnsi="Times New Roman"/>
          <w:b/>
          <w:bCs/>
          <w:iCs/>
          <w:szCs w:val="24"/>
        </w:rPr>
        <w:t>Тржиште рада у Србији наставља са позитивним кретањима и током 2025. године, задржавајући стабилност и отпорност у условима умереног успоравања економске активности.</w:t>
      </w:r>
      <w:r w:rsidRPr="00C531A2">
        <w:rPr>
          <w:rFonts w:ascii="Times New Roman" w:hAnsi="Times New Roman"/>
          <w:bCs/>
          <w:iCs/>
          <w:szCs w:val="24"/>
        </w:rPr>
        <w:t xml:space="preserve"> Према подацима Централног регистра обавезног социјалног осигурања (ЦРОСО), у периоду јануар–август 2025. године просечан број запослених био је већи за 0,2% у поређењу са истим периодом претходне године. У приватном сектору забележен је раст од 0,4% (7,6 хиљада лица), док је у јавном сектору број запослених смањен за 0,4% (-2,4 хиљада лица). Према подацима Националне службе за запошљавање, у периоду јануар-август, број лица која активно траже запослење смањен је међугодишње за 7,4% и износио је 350,6 хиљада лица.</w:t>
      </w:r>
      <w:r w:rsidRPr="00C531A2">
        <w:rPr>
          <w:rFonts w:ascii="Times New Roman" w:hAnsi="Times New Roman"/>
          <w:bCs/>
          <w:szCs w:val="24"/>
        </w:rPr>
        <w:t xml:space="preserve"> Позитивна кретања на тржишту рада потврђена су и подацима Анкете о радној снази. Након стопе незапослености од 9,1% у првом кварталу 2025. године, дошло је до њеног смањења на 8,5%, колико је износила у другом кварталу. У односу на други квартал 2024. године дошло је до повећања стопе запослености за 0,1 </w:t>
      </w:r>
      <w:r w:rsidRPr="00C531A2">
        <w:rPr>
          <w:rFonts w:ascii="Times New Roman" w:hAnsi="Times New Roman"/>
          <w:bCs/>
          <w:szCs w:val="24"/>
        </w:rPr>
        <w:lastRenderedPageBreak/>
        <w:t>процентни поен и износила је 51,5%.</w:t>
      </w:r>
      <w:r w:rsidRPr="00C531A2">
        <w:rPr>
          <w:rFonts w:ascii="Times New Roman" w:hAnsi="Times New Roman"/>
          <w:bCs/>
          <w:color w:val="FF0000"/>
          <w:szCs w:val="24"/>
        </w:rPr>
        <w:t xml:space="preserve"> </w:t>
      </w:r>
      <w:r w:rsidRPr="00C531A2">
        <w:rPr>
          <w:rFonts w:ascii="Times New Roman" w:hAnsi="Times New Roman"/>
          <w:bCs/>
          <w:szCs w:val="24"/>
        </w:rPr>
        <w:t>Структурна побољшања на тржишту рада у овом периоду огледају се пре свега у смањењу стопе дугорочне незапослености за 0,1 п.п. на 3,7%, као и стопе становништва ван радне снаге за 0,2 п.п. на 43,8%.</w:t>
      </w:r>
      <w:r w:rsidRPr="00C531A2">
        <w:t xml:space="preserve"> </w:t>
      </w:r>
      <w:r w:rsidRPr="00C531A2">
        <w:rPr>
          <w:rFonts w:ascii="Times New Roman" w:hAnsi="Times New Roman"/>
          <w:bCs/>
          <w:szCs w:val="24"/>
        </w:rPr>
        <w:t>Истовремено, стопа неформалне запослености је смањена за 0,4 процентних поена у односу на исти квартал претходне године и износила је 11,4%. На основу података Републичког завода за статистику у периоду јануар-август 2025. године, просечна нето зарада износила је 107.217 динара. У поређењу са истим периодом претходне године, просечна нето зарада номинално је већа за 10,8%, док је реално повећање износило 6,1%. Реални раст зарада у приватном сектору је износио 6,2% и био је вођен, пре свега повећањем зарада у прерађивачкој индустрији и трговини. Истовремено, забележено је и реално повећање зарада у јавном сектору одлуком Владе од 6,1%. Повољној динамици зарада допринело је и повећање минималне цене рада која је од 2025. године увећавана  два пута (у јануару за 13,7% и у октобру за 9,4%), са циљем унапређења животног стандарда лица са најнижим примањима.</w:t>
      </w:r>
    </w:p>
    <w:p w14:paraId="349BFE66" w14:textId="77777777" w:rsidR="005C6900" w:rsidRPr="00C531A2" w:rsidRDefault="005C6900" w:rsidP="005C6900">
      <w:pPr>
        <w:tabs>
          <w:tab w:val="left" w:pos="720"/>
          <w:tab w:val="left" w:pos="1440"/>
        </w:tabs>
        <w:spacing w:before="120" w:after="120"/>
        <w:ind w:firstLine="720"/>
        <w:rPr>
          <w:rFonts w:ascii="Times New Roman" w:hAnsi="Times New Roman"/>
          <w:color w:val="FF0000"/>
          <w:szCs w:val="24"/>
        </w:rPr>
      </w:pPr>
      <w:r w:rsidRPr="00C531A2">
        <w:rPr>
          <w:rFonts w:ascii="Times New Roman" w:hAnsi="Times New Roman"/>
          <w:b/>
          <w:bCs/>
          <w:szCs w:val="24"/>
        </w:rPr>
        <w:t>Током 2025. године међугодишња инфлација у Србији је имала променљиву путању.</w:t>
      </w:r>
      <w:r w:rsidRPr="00C531A2">
        <w:rPr>
          <w:rFonts w:ascii="Times New Roman" w:hAnsi="Times New Roman"/>
          <w:bCs/>
          <w:szCs w:val="24"/>
        </w:rPr>
        <w:t xml:space="preserve"> До маја је бележила опадање и спустила се на ниво од 3,8%, након чега је уследио привремени раст у јуну и јулу, пре свега услед раста цена хране под утицајем неповољних временских прилика. У августу је инфлација износила 4,7%, али је у септембру дошло до наглог успоравања на 2,9%, што представља најнижи ниво још од априла 2021. године. Овај пад резултат је примене Уредбе о посебним условима за обављање трговине за одређену врсту робе, што је довело до значајног успоравања раста цена хране и безалкохолних пића, са 7,8% у августу на 1,7% у септембру. Базна инфлација је такође наставила силазни тренд и у септембру је износила 3,9%, уз умерено успоравање раста цена производа и услуга у оквиру базне компоненте. Очекује се да ће инфлација до краја 2025. године наставити релативно стабилно кретање око централне вредности циља. На такав тренд утицаће ефекти Уредбе о посебним условима за обављање трговине за одређену врсту робе, ефекти досадашњег заоштравања монетарне политике, пад инфлационих очекивања, смањење светских цена енергената, као и нижа увозна инфлација.</w:t>
      </w:r>
    </w:p>
    <w:bookmarkEnd w:id="0"/>
    <w:p w14:paraId="5F7B59E8" w14:textId="77777777" w:rsidR="005C6900" w:rsidRPr="00C531A2" w:rsidRDefault="005C6900" w:rsidP="005C6900">
      <w:pPr>
        <w:pStyle w:val="Heading3"/>
        <w:numPr>
          <w:ilvl w:val="0"/>
          <w:numId w:val="7"/>
        </w:numPr>
        <w:tabs>
          <w:tab w:val="left" w:pos="1440"/>
        </w:tabs>
        <w:spacing w:line="360" w:lineRule="auto"/>
        <w:rPr>
          <w:rFonts w:ascii="Times New Roman" w:hAnsi="Times New Roman"/>
          <w:sz w:val="24"/>
          <w:szCs w:val="24"/>
        </w:rPr>
      </w:pPr>
      <w:r w:rsidRPr="00C531A2">
        <w:rPr>
          <w:rFonts w:ascii="Times New Roman" w:hAnsi="Times New Roman"/>
          <w:sz w:val="24"/>
          <w:szCs w:val="24"/>
        </w:rPr>
        <w:t>Макроекономске процене за 2026. годину</w:t>
      </w:r>
    </w:p>
    <w:p w14:paraId="1A3504BB" w14:textId="77777777" w:rsidR="005C6900" w:rsidRPr="00C531A2" w:rsidRDefault="005C6900" w:rsidP="005C6900">
      <w:pPr>
        <w:rPr>
          <w:rFonts w:ascii="Times New Roman" w:hAnsi="Times New Roman"/>
          <w:b/>
          <w:szCs w:val="24"/>
        </w:rPr>
      </w:pPr>
      <w:r w:rsidRPr="00C531A2">
        <w:rPr>
          <w:rFonts w:ascii="Times New Roman" w:hAnsi="Times New Roman"/>
          <w:b/>
          <w:szCs w:val="24"/>
        </w:rPr>
        <w:t>Међународно окружење</w:t>
      </w:r>
    </w:p>
    <w:p w14:paraId="7F033F8A" w14:textId="77777777" w:rsidR="005C6900" w:rsidRPr="00C531A2" w:rsidRDefault="005C6900" w:rsidP="005C6900">
      <w:pPr>
        <w:tabs>
          <w:tab w:val="left" w:pos="720"/>
          <w:tab w:val="left" w:pos="1440"/>
        </w:tabs>
        <w:spacing w:before="120" w:after="120"/>
        <w:ind w:firstLine="720"/>
        <w:rPr>
          <w:rFonts w:ascii="Times New Roman" w:hAnsi="Times New Roman"/>
          <w:bCs/>
          <w:szCs w:val="24"/>
        </w:rPr>
      </w:pPr>
      <w:r w:rsidRPr="00C531A2">
        <w:rPr>
          <w:rFonts w:ascii="Times New Roman" w:hAnsi="Times New Roman"/>
          <w:b/>
          <w:bCs/>
          <w:szCs w:val="24"/>
        </w:rPr>
        <w:t>Током 2025. године глобална економија је пословала у изузетно сложеном и нестабилном окружењу, у којем су промене економских и трговинских политика водећих земаља, заједно са појачаним геополитичким тензијама, утицале на токове раста, трговине и инвестиција.</w:t>
      </w:r>
      <w:r w:rsidRPr="00C531A2">
        <w:rPr>
          <w:rFonts w:ascii="Times New Roman" w:hAnsi="Times New Roman"/>
          <w:bCs/>
          <w:szCs w:val="24"/>
        </w:rPr>
        <w:t xml:space="preserve"> Иако је у октобарском извештају Међународног монетарног фонда (ММФ) глобални раст коригован благо навише, на 3,2% за 2025. и 3,1% за 2026. годину, ова корекција пре свега одражава привремену отпорност привреда и повољнија прилагођавања у првој половини 2025. године.</w:t>
      </w:r>
      <w:r w:rsidRPr="00C531A2">
        <w:rPr>
          <w:rFonts w:ascii="Times New Roman" w:hAnsi="Times New Roman"/>
          <w:bCs/>
          <w:color w:val="FF0000"/>
          <w:szCs w:val="24"/>
        </w:rPr>
        <w:t xml:space="preserve"> </w:t>
      </w:r>
      <w:r w:rsidRPr="00C531A2">
        <w:rPr>
          <w:rFonts w:ascii="Times New Roman" w:hAnsi="Times New Roman"/>
          <w:bCs/>
          <w:szCs w:val="24"/>
        </w:rPr>
        <w:t>Очекивани пуни ефекти протекционизма и појачане фрагментације међународних токова испољиће се касније, ограничавајући средњорочни потенцијал раста кроз мање ефикасну алокацију ресурса, скупљу трговину и смањен трансфер технологија и знања. У таквом окружењу, креатори политика стоје пред задатком повећања предвидивости и обнављања поверења у трговински и финансијски систем.</w:t>
      </w:r>
    </w:p>
    <w:p w14:paraId="3AA98785" w14:textId="77777777" w:rsidR="005C6900" w:rsidRPr="00C531A2" w:rsidRDefault="005C6900" w:rsidP="005C6900">
      <w:pPr>
        <w:tabs>
          <w:tab w:val="left" w:pos="720"/>
          <w:tab w:val="left" w:pos="1440"/>
        </w:tabs>
        <w:spacing w:before="120" w:after="120"/>
        <w:ind w:firstLine="720"/>
        <w:rPr>
          <w:rFonts w:ascii="Times New Roman" w:hAnsi="Times New Roman"/>
          <w:bCs/>
          <w:szCs w:val="24"/>
        </w:rPr>
      </w:pPr>
      <w:r w:rsidRPr="00C531A2">
        <w:rPr>
          <w:rFonts w:ascii="Times New Roman" w:hAnsi="Times New Roman"/>
          <w:b/>
          <w:bCs/>
          <w:szCs w:val="24"/>
        </w:rPr>
        <w:t>Према најновијим проценама ММФ, код развијених земаља очекује се кретање економске активности у складу са глобалним токовима: раст БДП успорава са 1,8% у 2024. години на 1,6% у 2025. години, уз стабилизацију на приближно истом нивоу током 2026. године.</w:t>
      </w:r>
      <w:r w:rsidRPr="00C531A2">
        <w:rPr>
          <w:rFonts w:ascii="Times New Roman" w:hAnsi="Times New Roman"/>
          <w:bCs/>
          <w:szCs w:val="24"/>
        </w:rPr>
        <w:t xml:space="preserve"> Раст привреде САД ће успорити са 2,8% у 2024. на 2,0% у 2025. години, уз благу стабилизацију на 2,1% у 2026. години. Иако су очекивања благо побољшана у односу на априлски и јулски извештај, захваљујући делимичном фискалном подстицају и нижим ефективним царинским </w:t>
      </w:r>
      <w:r w:rsidRPr="00C531A2">
        <w:rPr>
          <w:rFonts w:ascii="Times New Roman" w:hAnsi="Times New Roman"/>
          <w:bCs/>
          <w:szCs w:val="24"/>
        </w:rPr>
        <w:lastRenderedPageBreak/>
        <w:t>стопама након постизања нових трговинских споразума, динамика је и даље спорија у односу на пројекције из октобра 2024. године.</w:t>
      </w:r>
      <w:r w:rsidRPr="00C531A2">
        <w:t xml:space="preserve"> </w:t>
      </w:r>
      <w:r w:rsidRPr="00C531A2">
        <w:rPr>
          <w:rFonts w:ascii="Times New Roman" w:hAnsi="Times New Roman"/>
          <w:bCs/>
          <w:szCs w:val="24"/>
        </w:rPr>
        <w:t>Док краткорочни фактори, као што су попуштање монетарне политике и солидна домаћа потрошња, настављају да подржавају економску активност, структурна ограничења, попут успоравања раста продуктивности, ограничена понуда радне снаге, трговинске баријере и висок ниво јавног дуга условљавају спорију динамику привреде у односу на претходне циклусе. Очекује се да ће привреда еврозоне постепено убрзати на 1,2% у 2025. години, уз благо успоравање на 1,1% у 2026. години. Опоравак еврозоне пре свега покреће потрошња домаћинстава, подстакнута растом реалних зарада и смањењем инфлације, док је инвестициона активност и даље ограничена због високих трошкова финансирања и слабих очекивања у индустријском сектору. Код земаља у успону очекује се постепено успоравање раста са 4,3% у 2024. години на 4,2% у 2025. и 4,0% у 2026. години.</w:t>
      </w:r>
    </w:p>
    <w:tbl>
      <w:tblPr>
        <w:tblStyle w:val="TableGrid2"/>
        <w:tblW w:w="500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0"/>
        <w:gridCol w:w="972"/>
        <w:gridCol w:w="972"/>
        <w:gridCol w:w="972"/>
        <w:gridCol w:w="972"/>
        <w:gridCol w:w="972"/>
      </w:tblGrid>
      <w:tr w:rsidR="005C6900" w:rsidRPr="00C531A2" w14:paraId="4465F7B8" w14:textId="77777777" w:rsidTr="00725D9F">
        <w:trPr>
          <w:trHeight w:val="20"/>
        </w:trPr>
        <w:tc>
          <w:tcPr>
            <w:tcW w:w="5000" w:type="pct"/>
            <w:gridSpan w:val="6"/>
            <w:tcBorders>
              <w:bottom w:val="single" w:sz="4" w:space="0" w:color="002060"/>
            </w:tcBorders>
            <w:vAlign w:val="center"/>
          </w:tcPr>
          <w:p w14:paraId="14C0D2DC" w14:textId="77777777" w:rsidR="005C6900" w:rsidRPr="00C531A2" w:rsidRDefault="005C6900" w:rsidP="00725D9F">
            <w:pPr>
              <w:jc w:val="center"/>
              <w:rPr>
                <w:rFonts w:ascii="Times New Roman" w:eastAsia="Calibri" w:hAnsi="Times New Roman"/>
                <w:b/>
                <w:color w:val="FF0000"/>
              </w:rPr>
            </w:pPr>
            <w:r w:rsidRPr="00C531A2">
              <w:rPr>
                <w:rFonts w:ascii="Times New Roman" w:eastAsia="Calibri" w:hAnsi="Times New Roman"/>
                <w:b/>
              </w:rPr>
              <w:t>Табела 1. Међународно окружење – макроекономски показатељи</w:t>
            </w:r>
          </w:p>
        </w:tc>
      </w:tr>
      <w:tr w:rsidR="005C6900" w:rsidRPr="00C531A2" w14:paraId="0CEDB965" w14:textId="77777777" w:rsidTr="00725D9F">
        <w:trPr>
          <w:trHeight w:val="20"/>
        </w:trPr>
        <w:tc>
          <w:tcPr>
            <w:tcW w:w="2220" w:type="pct"/>
            <w:tcBorders>
              <w:top w:val="single" w:sz="4" w:space="0" w:color="002060"/>
              <w:left w:val="single" w:sz="2" w:space="0" w:color="FFFFFF"/>
              <w:bottom w:val="single" w:sz="2" w:space="0" w:color="FFFFFF"/>
              <w:right w:val="single" w:sz="2" w:space="0" w:color="FFFFFF"/>
            </w:tcBorders>
          </w:tcPr>
          <w:p w14:paraId="16DD37B8" w14:textId="77777777" w:rsidR="005C6900" w:rsidRPr="00C531A2" w:rsidRDefault="005C6900" w:rsidP="00725D9F">
            <w:pPr>
              <w:rPr>
                <w:rFonts w:ascii="Times New Roman" w:eastAsia="Calibri" w:hAnsi="Times New Roman"/>
                <w:sz w:val="18"/>
              </w:rPr>
            </w:pPr>
          </w:p>
        </w:tc>
        <w:tc>
          <w:tcPr>
            <w:tcW w:w="556" w:type="pct"/>
            <w:tcBorders>
              <w:top w:val="single" w:sz="4" w:space="0" w:color="002060"/>
              <w:left w:val="single" w:sz="2" w:space="0" w:color="FFFFFF"/>
              <w:bottom w:val="single" w:sz="4" w:space="0" w:color="002060"/>
              <w:right w:val="single" w:sz="2" w:space="0" w:color="FFFFFF"/>
            </w:tcBorders>
          </w:tcPr>
          <w:p w14:paraId="3FAF5A92" w14:textId="77777777" w:rsidR="005C6900" w:rsidRPr="00C531A2" w:rsidRDefault="005C6900" w:rsidP="00725D9F">
            <w:pPr>
              <w:jc w:val="center"/>
              <w:rPr>
                <w:rFonts w:ascii="Times New Roman" w:eastAsia="Calibri" w:hAnsi="Times New Roman"/>
                <w:sz w:val="18"/>
              </w:rPr>
            </w:pPr>
            <w:r w:rsidRPr="00C531A2">
              <w:rPr>
                <w:rFonts w:ascii="Times New Roman" w:eastAsia="Calibri" w:hAnsi="Times New Roman"/>
                <w:sz w:val="18"/>
              </w:rPr>
              <w:t>2024</w:t>
            </w:r>
          </w:p>
        </w:tc>
        <w:tc>
          <w:tcPr>
            <w:tcW w:w="556" w:type="pct"/>
            <w:tcBorders>
              <w:top w:val="single" w:sz="4" w:space="0" w:color="002060"/>
              <w:left w:val="single" w:sz="2" w:space="0" w:color="FFFFFF"/>
              <w:bottom w:val="single" w:sz="4" w:space="0" w:color="002060"/>
              <w:right w:val="single" w:sz="2" w:space="0" w:color="FFFFFF"/>
            </w:tcBorders>
          </w:tcPr>
          <w:p w14:paraId="45326CE1" w14:textId="77777777" w:rsidR="005C6900" w:rsidRPr="00C531A2" w:rsidRDefault="005C6900" w:rsidP="00725D9F">
            <w:pPr>
              <w:jc w:val="center"/>
              <w:rPr>
                <w:rFonts w:ascii="Times New Roman" w:eastAsia="Calibri" w:hAnsi="Times New Roman"/>
                <w:sz w:val="18"/>
              </w:rPr>
            </w:pPr>
            <w:r w:rsidRPr="00C531A2">
              <w:rPr>
                <w:rFonts w:ascii="Times New Roman" w:eastAsia="Calibri" w:hAnsi="Times New Roman"/>
                <w:sz w:val="18"/>
              </w:rPr>
              <w:t>2025</w:t>
            </w:r>
          </w:p>
        </w:tc>
        <w:tc>
          <w:tcPr>
            <w:tcW w:w="556" w:type="pct"/>
            <w:tcBorders>
              <w:top w:val="single" w:sz="4" w:space="0" w:color="002060"/>
              <w:left w:val="single" w:sz="2" w:space="0" w:color="FFFFFF"/>
              <w:bottom w:val="single" w:sz="4" w:space="0" w:color="002060"/>
              <w:right w:val="single" w:sz="2" w:space="0" w:color="FFFFFF"/>
            </w:tcBorders>
          </w:tcPr>
          <w:p w14:paraId="3A87C569" w14:textId="77777777" w:rsidR="005C6900" w:rsidRPr="00C531A2" w:rsidRDefault="005C6900" w:rsidP="00725D9F">
            <w:pPr>
              <w:jc w:val="center"/>
              <w:rPr>
                <w:rFonts w:ascii="Times New Roman" w:eastAsia="Calibri" w:hAnsi="Times New Roman"/>
                <w:sz w:val="18"/>
              </w:rPr>
            </w:pPr>
            <w:r w:rsidRPr="00C531A2">
              <w:rPr>
                <w:rFonts w:ascii="Times New Roman" w:eastAsia="Calibri" w:hAnsi="Times New Roman"/>
                <w:sz w:val="18"/>
              </w:rPr>
              <w:t>2026</w:t>
            </w:r>
          </w:p>
        </w:tc>
        <w:tc>
          <w:tcPr>
            <w:tcW w:w="556" w:type="pct"/>
            <w:tcBorders>
              <w:top w:val="single" w:sz="4" w:space="0" w:color="002060"/>
              <w:left w:val="single" w:sz="2" w:space="0" w:color="FFFFFF"/>
              <w:bottom w:val="single" w:sz="4" w:space="0" w:color="002060"/>
              <w:right w:val="single" w:sz="2" w:space="0" w:color="FFFFFF"/>
            </w:tcBorders>
          </w:tcPr>
          <w:p w14:paraId="05AD268A" w14:textId="77777777" w:rsidR="005C6900" w:rsidRPr="00C531A2" w:rsidRDefault="005C6900" w:rsidP="00725D9F">
            <w:pPr>
              <w:jc w:val="center"/>
              <w:rPr>
                <w:rFonts w:ascii="Times New Roman" w:eastAsia="Calibri" w:hAnsi="Times New Roman"/>
                <w:sz w:val="18"/>
              </w:rPr>
            </w:pPr>
            <w:r w:rsidRPr="00C531A2">
              <w:rPr>
                <w:rFonts w:ascii="Times New Roman" w:eastAsia="Calibri" w:hAnsi="Times New Roman"/>
                <w:sz w:val="18"/>
              </w:rPr>
              <w:t>2027</w:t>
            </w:r>
          </w:p>
        </w:tc>
        <w:tc>
          <w:tcPr>
            <w:tcW w:w="556" w:type="pct"/>
            <w:tcBorders>
              <w:top w:val="single" w:sz="4" w:space="0" w:color="002060"/>
              <w:left w:val="single" w:sz="2" w:space="0" w:color="FFFFFF"/>
              <w:bottom w:val="single" w:sz="4" w:space="0" w:color="002060"/>
              <w:right w:val="single" w:sz="2" w:space="0" w:color="FFFFFF"/>
            </w:tcBorders>
          </w:tcPr>
          <w:p w14:paraId="5EAC23FE" w14:textId="77777777" w:rsidR="005C6900" w:rsidRPr="00C531A2" w:rsidRDefault="005C6900" w:rsidP="00725D9F">
            <w:pPr>
              <w:jc w:val="center"/>
              <w:rPr>
                <w:rFonts w:ascii="Times New Roman" w:eastAsia="Calibri" w:hAnsi="Times New Roman"/>
                <w:sz w:val="18"/>
              </w:rPr>
            </w:pPr>
            <w:r w:rsidRPr="00C531A2">
              <w:rPr>
                <w:rFonts w:ascii="Times New Roman" w:eastAsia="Calibri" w:hAnsi="Times New Roman"/>
                <w:sz w:val="18"/>
              </w:rPr>
              <w:t>2028</w:t>
            </w:r>
          </w:p>
        </w:tc>
      </w:tr>
      <w:tr w:rsidR="005C6900" w:rsidRPr="00C531A2" w14:paraId="717D32DE" w14:textId="77777777" w:rsidTr="00725D9F">
        <w:trPr>
          <w:trHeight w:val="20"/>
        </w:trPr>
        <w:tc>
          <w:tcPr>
            <w:tcW w:w="2220" w:type="pct"/>
            <w:tcBorders>
              <w:top w:val="single" w:sz="2" w:space="0" w:color="FFFFFF"/>
              <w:left w:val="single" w:sz="2" w:space="0" w:color="FFFFFF"/>
              <w:bottom w:val="single" w:sz="2" w:space="0" w:color="FFFFFF"/>
            </w:tcBorders>
            <w:shd w:val="clear" w:color="auto" w:fill="E7E6E6"/>
          </w:tcPr>
          <w:p w14:paraId="16EDFD4F" w14:textId="77777777" w:rsidR="005C6900" w:rsidRPr="00C531A2" w:rsidRDefault="005C6900" w:rsidP="00725D9F">
            <w:pPr>
              <w:rPr>
                <w:rFonts w:ascii="Times New Roman" w:eastAsia="Calibri" w:hAnsi="Times New Roman"/>
                <w:sz w:val="18"/>
              </w:rPr>
            </w:pPr>
            <w:r w:rsidRPr="00C531A2">
              <w:rPr>
                <w:rFonts w:ascii="Times New Roman" w:eastAsia="Calibri" w:hAnsi="Times New Roman"/>
                <w:sz w:val="18"/>
              </w:rPr>
              <w:t>Реални раст БДП</w:t>
            </w:r>
            <w:r w:rsidRPr="00C531A2">
              <w:rPr>
                <w:rFonts w:ascii="Times New Roman" w:eastAsia="Calibri" w:hAnsi="Times New Roman"/>
                <w:sz w:val="18"/>
                <w:vertAlign w:val="superscript"/>
              </w:rPr>
              <w:t>1</w:t>
            </w:r>
            <w:r w:rsidRPr="00C531A2">
              <w:rPr>
                <w:rFonts w:ascii="Times New Roman" w:eastAsia="Calibri" w:hAnsi="Times New Roman"/>
                <w:sz w:val="18"/>
              </w:rPr>
              <w:t>, %</w:t>
            </w:r>
          </w:p>
        </w:tc>
        <w:tc>
          <w:tcPr>
            <w:tcW w:w="556" w:type="pct"/>
            <w:tcBorders>
              <w:top w:val="single" w:sz="2" w:space="0" w:color="FFFFFF"/>
              <w:bottom w:val="single" w:sz="2" w:space="0" w:color="FFFFFF"/>
            </w:tcBorders>
            <w:shd w:val="clear" w:color="auto" w:fill="E7E6E6"/>
          </w:tcPr>
          <w:p w14:paraId="431B7A38" w14:textId="77777777" w:rsidR="005C6900" w:rsidRPr="00C531A2" w:rsidRDefault="005C6900" w:rsidP="00725D9F">
            <w:pPr>
              <w:rPr>
                <w:rFonts w:ascii="Times New Roman" w:eastAsia="Calibri" w:hAnsi="Times New Roman"/>
                <w:sz w:val="18"/>
              </w:rPr>
            </w:pPr>
          </w:p>
        </w:tc>
        <w:tc>
          <w:tcPr>
            <w:tcW w:w="556" w:type="pct"/>
            <w:tcBorders>
              <w:top w:val="single" w:sz="2" w:space="0" w:color="FFFFFF"/>
              <w:bottom w:val="single" w:sz="2" w:space="0" w:color="FFFFFF"/>
            </w:tcBorders>
            <w:shd w:val="clear" w:color="auto" w:fill="E7E6E6"/>
          </w:tcPr>
          <w:p w14:paraId="102C8ADE" w14:textId="77777777" w:rsidR="005C6900" w:rsidRPr="00C531A2" w:rsidRDefault="005C6900" w:rsidP="00725D9F">
            <w:pPr>
              <w:rPr>
                <w:rFonts w:ascii="Times New Roman" w:eastAsia="Calibri" w:hAnsi="Times New Roman"/>
                <w:sz w:val="18"/>
              </w:rPr>
            </w:pPr>
          </w:p>
        </w:tc>
        <w:tc>
          <w:tcPr>
            <w:tcW w:w="556" w:type="pct"/>
            <w:tcBorders>
              <w:top w:val="single" w:sz="2" w:space="0" w:color="FFFFFF"/>
              <w:bottom w:val="single" w:sz="2" w:space="0" w:color="FFFFFF"/>
            </w:tcBorders>
            <w:shd w:val="clear" w:color="auto" w:fill="E7E6E6"/>
          </w:tcPr>
          <w:p w14:paraId="17D815EE" w14:textId="77777777" w:rsidR="005C6900" w:rsidRPr="00C531A2" w:rsidRDefault="005C6900" w:rsidP="00725D9F">
            <w:pPr>
              <w:rPr>
                <w:rFonts w:ascii="Times New Roman" w:eastAsia="Calibri" w:hAnsi="Times New Roman"/>
                <w:sz w:val="18"/>
              </w:rPr>
            </w:pPr>
          </w:p>
        </w:tc>
        <w:tc>
          <w:tcPr>
            <w:tcW w:w="556" w:type="pct"/>
            <w:tcBorders>
              <w:top w:val="single" w:sz="2" w:space="0" w:color="FFFFFF"/>
              <w:bottom w:val="single" w:sz="2" w:space="0" w:color="FFFFFF"/>
            </w:tcBorders>
            <w:shd w:val="clear" w:color="auto" w:fill="E7E6E6"/>
          </w:tcPr>
          <w:p w14:paraId="57CE168A" w14:textId="77777777" w:rsidR="005C6900" w:rsidRPr="00C531A2" w:rsidRDefault="005C6900" w:rsidP="00725D9F">
            <w:pPr>
              <w:rPr>
                <w:rFonts w:ascii="Times New Roman" w:eastAsia="Calibri" w:hAnsi="Times New Roman"/>
                <w:sz w:val="18"/>
              </w:rPr>
            </w:pPr>
          </w:p>
        </w:tc>
        <w:tc>
          <w:tcPr>
            <w:tcW w:w="556" w:type="pct"/>
            <w:tcBorders>
              <w:top w:val="single" w:sz="2" w:space="0" w:color="FFFFFF"/>
              <w:bottom w:val="single" w:sz="2" w:space="0" w:color="FFFFFF"/>
              <w:right w:val="single" w:sz="2" w:space="0" w:color="FFFFFF"/>
            </w:tcBorders>
            <w:shd w:val="clear" w:color="auto" w:fill="E7E6E6"/>
          </w:tcPr>
          <w:p w14:paraId="18438620" w14:textId="77777777" w:rsidR="005C6900" w:rsidRPr="00C531A2" w:rsidRDefault="005C6900" w:rsidP="00725D9F">
            <w:pPr>
              <w:rPr>
                <w:rFonts w:ascii="Times New Roman" w:eastAsia="Calibri" w:hAnsi="Times New Roman"/>
                <w:sz w:val="18"/>
              </w:rPr>
            </w:pPr>
          </w:p>
        </w:tc>
      </w:tr>
      <w:tr w:rsidR="005C6900" w:rsidRPr="00C531A2" w14:paraId="63DE03E4" w14:textId="77777777" w:rsidTr="00725D9F">
        <w:trPr>
          <w:trHeight w:val="20"/>
        </w:trPr>
        <w:tc>
          <w:tcPr>
            <w:tcW w:w="2220" w:type="pct"/>
            <w:tcBorders>
              <w:top w:val="single" w:sz="2" w:space="0" w:color="FFFFFF"/>
            </w:tcBorders>
          </w:tcPr>
          <w:p w14:paraId="6B156628" w14:textId="77777777" w:rsidR="005C6900" w:rsidRPr="00C531A2" w:rsidRDefault="005C6900" w:rsidP="00725D9F">
            <w:pPr>
              <w:ind w:left="255"/>
              <w:rPr>
                <w:rFonts w:ascii="Times New Roman" w:eastAsia="Calibri" w:hAnsi="Times New Roman"/>
                <w:sz w:val="18"/>
              </w:rPr>
            </w:pPr>
            <w:r w:rsidRPr="00C531A2">
              <w:rPr>
                <w:rFonts w:ascii="Times New Roman" w:eastAsia="Calibri" w:hAnsi="Times New Roman"/>
                <w:sz w:val="18"/>
              </w:rPr>
              <w:t>Свет укупно</w:t>
            </w:r>
          </w:p>
        </w:tc>
        <w:tc>
          <w:tcPr>
            <w:tcW w:w="556" w:type="pct"/>
            <w:tcBorders>
              <w:top w:val="single" w:sz="2" w:space="0" w:color="FFFFFF"/>
            </w:tcBorders>
            <w:vAlign w:val="center"/>
          </w:tcPr>
          <w:p w14:paraId="2EFD01F2" w14:textId="77777777" w:rsidR="005C6900" w:rsidRPr="00C531A2" w:rsidRDefault="005C6900" w:rsidP="00725D9F">
            <w:pPr>
              <w:jc w:val="center"/>
              <w:rPr>
                <w:rFonts w:ascii="Times New Roman" w:eastAsia="Calibri" w:hAnsi="Times New Roman"/>
                <w:sz w:val="18"/>
                <w:szCs w:val="18"/>
              </w:rPr>
            </w:pPr>
            <w:r w:rsidRPr="00C531A2">
              <w:rPr>
                <w:rFonts w:ascii="Times New Roman" w:hAnsi="Times New Roman"/>
                <w:sz w:val="18"/>
                <w:szCs w:val="18"/>
                <w:lang w:eastAsia="en-GB"/>
              </w:rPr>
              <w:t>3,3</w:t>
            </w:r>
          </w:p>
        </w:tc>
        <w:tc>
          <w:tcPr>
            <w:tcW w:w="556" w:type="pct"/>
            <w:tcBorders>
              <w:top w:val="single" w:sz="2" w:space="0" w:color="FFFFFF"/>
            </w:tcBorders>
            <w:vAlign w:val="center"/>
          </w:tcPr>
          <w:p w14:paraId="3B406CAB" w14:textId="77777777" w:rsidR="005C6900" w:rsidRPr="00C531A2" w:rsidRDefault="005C6900" w:rsidP="00725D9F">
            <w:pPr>
              <w:jc w:val="center"/>
              <w:rPr>
                <w:rFonts w:ascii="Times New Roman" w:eastAsia="Calibri" w:hAnsi="Times New Roman"/>
                <w:sz w:val="18"/>
                <w:szCs w:val="18"/>
              </w:rPr>
            </w:pPr>
            <w:r w:rsidRPr="00C531A2">
              <w:rPr>
                <w:rFonts w:ascii="Times New Roman" w:hAnsi="Times New Roman"/>
                <w:sz w:val="18"/>
                <w:szCs w:val="18"/>
                <w:lang w:eastAsia="en-GB"/>
              </w:rPr>
              <w:t>3,2</w:t>
            </w:r>
          </w:p>
        </w:tc>
        <w:tc>
          <w:tcPr>
            <w:tcW w:w="556" w:type="pct"/>
            <w:tcBorders>
              <w:top w:val="single" w:sz="2" w:space="0" w:color="FFFFFF"/>
            </w:tcBorders>
            <w:vAlign w:val="center"/>
          </w:tcPr>
          <w:p w14:paraId="3195A819" w14:textId="77777777" w:rsidR="005C6900" w:rsidRPr="00C531A2" w:rsidRDefault="005C6900" w:rsidP="00725D9F">
            <w:pPr>
              <w:jc w:val="center"/>
              <w:rPr>
                <w:rFonts w:ascii="Times New Roman" w:eastAsia="Calibri" w:hAnsi="Times New Roman"/>
                <w:sz w:val="18"/>
                <w:szCs w:val="18"/>
              </w:rPr>
            </w:pPr>
            <w:r w:rsidRPr="00C531A2">
              <w:rPr>
                <w:rFonts w:ascii="Times New Roman" w:eastAsia="Calibri" w:hAnsi="Times New Roman"/>
                <w:sz w:val="18"/>
                <w:szCs w:val="18"/>
              </w:rPr>
              <w:t>3,1</w:t>
            </w:r>
          </w:p>
        </w:tc>
        <w:tc>
          <w:tcPr>
            <w:tcW w:w="556" w:type="pct"/>
            <w:tcBorders>
              <w:top w:val="single" w:sz="2" w:space="0" w:color="FFFFFF"/>
            </w:tcBorders>
            <w:vAlign w:val="center"/>
          </w:tcPr>
          <w:p w14:paraId="555EA7F7" w14:textId="77777777" w:rsidR="005C6900" w:rsidRPr="00C531A2" w:rsidRDefault="005C6900" w:rsidP="00725D9F">
            <w:pPr>
              <w:jc w:val="center"/>
              <w:rPr>
                <w:rFonts w:ascii="Times New Roman" w:eastAsia="Calibri" w:hAnsi="Times New Roman"/>
                <w:sz w:val="18"/>
                <w:szCs w:val="18"/>
              </w:rPr>
            </w:pPr>
            <w:r w:rsidRPr="00C531A2">
              <w:rPr>
                <w:rFonts w:ascii="Times New Roman" w:eastAsia="Calibri" w:hAnsi="Times New Roman"/>
                <w:sz w:val="18"/>
                <w:szCs w:val="18"/>
              </w:rPr>
              <w:t>3,2</w:t>
            </w:r>
          </w:p>
        </w:tc>
        <w:tc>
          <w:tcPr>
            <w:tcW w:w="556" w:type="pct"/>
            <w:tcBorders>
              <w:top w:val="single" w:sz="2" w:space="0" w:color="FFFFFF"/>
            </w:tcBorders>
            <w:vAlign w:val="center"/>
          </w:tcPr>
          <w:p w14:paraId="2B5E8340" w14:textId="77777777" w:rsidR="005C6900" w:rsidRPr="00C531A2" w:rsidRDefault="005C6900" w:rsidP="00725D9F">
            <w:pPr>
              <w:jc w:val="center"/>
              <w:rPr>
                <w:rFonts w:ascii="Times New Roman" w:eastAsia="Calibri" w:hAnsi="Times New Roman"/>
                <w:sz w:val="18"/>
                <w:szCs w:val="18"/>
              </w:rPr>
            </w:pPr>
            <w:r w:rsidRPr="00C531A2">
              <w:rPr>
                <w:rFonts w:ascii="Times New Roman" w:eastAsia="Calibri" w:hAnsi="Times New Roman"/>
                <w:sz w:val="18"/>
                <w:szCs w:val="18"/>
              </w:rPr>
              <w:t>3,2</w:t>
            </w:r>
          </w:p>
        </w:tc>
      </w:tr>
      <w:tr w:rsidR="005C6900" w:rsidRPr="00C531A2" w14:paraId="5EB81C99" w14:textId="77777777" w:rsidTr="00725D9F">
        <w:trPr>
          <w:trHeight w:val="20"/>
        </w:trPr>
        <w:tc>
          <w:tcPr>
            <w:tcW w:w="2220" w:type="pct"/>
          </w:tcPr>
          <w:p w14:paraId="57483345" w14:textId="77777777" w:rsidR="005C6900" w:rsidRPr="00C531A2" w:rsidRDefault="005C6900" w:rsidP="00725D9F">
            <w:pPr>
              <w:ind w:left="255"/>
              <w:rPr>
                <w:rFonts w:ascii="Times New Roman" w:eastAsia="Calibri" w:hAnsi="Times New Roman"/>
                <w:sz w:val="18"/>
              </w:rPr>
            </w:pPr>
            <w:r w:rsidRPr="00C531A2">
              <w:rPr>
                <w:rFonts w:ascii="Times New Roman" w:eastAsia="Calibri" w:hAnsi="Times New Roman"/>
                <w:sz w:val="18"/>
              </w:rPr>
              <w:t>Развијене економије</w:t>
            </w:r>
          </w:p>
        </w:tc>
        <w:tc>
          <w:tcPr>
            <w:tcW w:w="556" w:type="pct"/>
            <w:vAlign w:val="center"/>
          </w:tcPr>
          <w:p w14:paraId="07E3B80F" w14:textId="77777777" w:rsidR="005C6900" w:rsidRPr="00C531A2" w:rsidRDefault="005C6900" w:rsidP="00725D9F">
            <w:pPr>
              <w:jc w:val="center"/>
              <w:rPr>
                <w:rFonts w:ascii="Times New Roman" w:eastAsia="Calibri" w:hAnsi="Times New Roman"/>
                <w:sz w:val="18"/>
                <w:szCs w:val="18"/>
              </w:rPr>
            </w:pPr>
            <w:r w:rsidRPr="00C531A2">
              <w:rPr>
                <w:rFonts w:ascii="Times New Roman" w:hAnsi="Times New Roman"/>
                <w:sz w:val="18"/>
                <w:szCs w:val="18"/>
                <w:lang w:eastAsia="en-GB"/>
              </w:rPr>
              <w:t>1,8</w:t>
            </w:r>
          </w:p>
        </w:tc>
        <w:tc>
          <w:tcPr>
            <w:tcW w:w="556" w:type="pct"/>
            <w:vAlign w:val="center"/>
          </w:tcPr>
          <w:p w14:paraId="4618D0B2" w14:textId="77777777" w:rsidR="005C6900" w:rsidRPr="00C531A2" w:rsidRDefault="005C6900" w:rsidP="00725D9F">
            <w:pPr>
              <w:jc w:val="center"/>
              <w:rPr>
                <w:rFonts w:ascii="Times New Roman" w:eastAsia="Calibri" w:hAnsi="Times New Roman"/>
                <w:sz w:val="18"/>
                <w:szCs w:val="18"/>
              </w:rPr>
            </w:pPr>
            <w:r w:rsidRPr="00C531A2">
              <w:rPr>
                <w:rFonts w:ascii="Times New Roman" w:hAnsi="Times New Roman"/>
                <w:sz w:val="18"/>
                <w:szCs w:val="18"/>
                <w:lang w:eastAsia="en-GB"/>
              </w:rPr>
              <w:t>1,6</w:t>
            </w:r>
          </w:p>
        </w:tc>
        <w:tc>
          <w:tcPr>
            <w:tcW w:w="556" w:type="pct"/>
            <w:vAlign w:val="center"/>
          </w:tcPr>
          <w:p w14:paraId="410B0DD0" w14:textId="77777777" w:rsidR="005C6900" w:rsidRPr="00C531A2" w:rsidRDefault="005C6900" w:rsidP="00725D9F">
            <w:pPr>
              <w:jc w:val="center"/>
              <w:rPr>
                <w:rFonts w:ascii="Times New Roman" w:eastAsia="Calibri" w:hAnsi="Times New Roman"/>
                <w:sz w:val="18"/>
                <w:szCs w:val="18"/>
              </w:rPr>
            </w:pPr>
            <w:r w:rsidRPr="00C531A2">
              <w:rPr>
                <w:rFonts w:ascii="Times New Roman" w:eastAsia="Calibri" w:hAnsi="Times New Roman"/>
                <w:sz w:val="18"/>
                <w:szCs w:val="18"/>
              </w:rPr>
              <w:t>1,6</w:t>
            </w:r>
          </w:p>
        </w:tc>
        <w:tc>
          <w:tcPr>
            <w:tcW w:w="556" w:type="pct"/>
            <w:vAlign w:val="center"/>
          </w:tcPr>
          <w:p w14:paraId="601DB389" w14:textId="77777777" w:rsidR="005C6900" w:rsidRPr="00C531A2" w:rsidRDefault="005C6900" w:rsidP="00725D9F">
            <w:pPr>
              <w:jc w:val="center"/>
              <w:rPr>
                <w:rFonts w:ascii="Times New Roman" w:eastAsia="Calibri" w:hAnsi="Times New Roman"/>
                <w:sz w:val="18"/>
                <w:szCs w:val="18"/>
              </w:rPr>
            </w:pPr>
            <w:r w:rsidRPr="00C531A2">
              <w:rPr>
                <w:rFonts w:ascii="Times New Roman" w:eastAsia="Calibri" w:hAnsi="Times New Roman"/>
                <w:sz w:val="18"/>
                <w:szCs w:val="18"/>
              </w:rPr>
              <w:t>1,7</w:t>
            </w:r>
          </w:p>
        </w:tc>
        <w:tc>
          <w:tcPr>
            <w:tcW w:w="556" w:type="pct"/>
            <w:vAlign w:val="center"/>
          </w:tcPr>
          <w:p w14:paraId="6E7D79D7" w14:textId="77777777" w:rsidR="005C6900" w:rsidRPr="00C531A2" w:rsidRDefault="005C6900" w:rsidP="00725D9F">
            <w:pPr>
              <w:jc w:val="center"/>
              <w:rPr>
                <w:rFonts w:ascii="Times New Roman" w:eastAsia="Calibri" w:hAnsi="Times New Roman"/>
                <w:sz w:val="18"/>
                <w:szCs w:val="18"/>
              </w:rPr>
            </w:pPr>
            <w:r w:rsidRPr="00C531A2">
              <w:rPr>
                <w:rFonts w:ascii="Times New Roman" w:eastAsia="Calibri" w:hAnsi="Times New Roman"/>
                <w:sz w:val="18"/>
                <w:szCs w:val="18"/>
              </w:rPr>
              <w:t>1,7</w:t>
            </w:r>
          </w:p>
        </w:tc>
      </w:tr>
      <w:tr w:rsidR="005C6900" w:rsidRPr="00C531A2" w14:paraId="642C0B3D" w14:textId="77777777" w:rsidTr="00725D9F">
        <w:trPr>
          <w:trHeight w:val="20"/>
        </w:trPr>
        <w:tc>
          <w:tcPr>
            <w:tcW w:w="2220" w:type="pct"/>
          </w:tcPr>
          <w:p w14:paraId="582DFE36" w14:textId="77777777" w:rsidR="005C6900" w:rsidRPr="00C531A2" w:rsidRDefault="005C6900" w:rsidP="00725D9F">
            <w:pPr>
              <w:ind w:left="615" w:hanging="180"/>
              <w:rPr>
                <w:rFonts w:ascii="Times New Roman" w:eastAsia="Calibri" w:hAnsi="Times New Roman"/>
                <w:sz w:val="18"/>
              </w:rPr>
            </w:pPr>
            <w:r w:rsidRPr="00C531A2">
              <w:rPr>
                <w:rFonts w:ascii="Times New Roman" w:eastAsia="Calibri" w:hAnsi="Times New Roman"/>
                <w:sz w:val="18"/>
              </w:rPr>
              <w:t>САД</w:t>
            </w:r>
          </w:p>
        </w:tc>
        <w:tc>
          <w:tcPr>
            <w:tcW w:w="556" w:type="pct"/>
            <w:vAlign w:val="center"/>
          </w:tcPr>
          <w:p w14:paraId="777E3548" w14:textId="77777777" w:rsidR="005C6900" w:rsidRPr="00C531A2" w:rsidRDefault="005C6900" w:rsidP="00725D9F">
            <w:pPr>
              <w:jc w:val="center"/>
              <w:rPr>
                <w:rFonts w:ascii="Times New Roman" w:eastAsia="Calibri" w:hAnsi="Times New Roman"/>
                <w:sz w:val="18"/>
                <w:szCs w:val="18"/>
              </w:rPr>
            </w:pPr>
            <w:r w:rsidRPr="00C531A2">
              <w:rPr>
                <w:rFonts w:ascii="Times New Roman" w:hAnsi="Times New Roman"/>
                <w:sz w:val="18"/>
                <w:szCs w:val="18"/>
                <w:lang w:eastAsia="en-GB"/>
              </w:rPr>
              <w:t>2,8</w:t>
            </w:r>
          </w:p>
        </w:tc>
        <w:tc>
          <w:tcPr>
            <w:tcW w:w="556" w:type="pct"/>
            <w:vAlign w:val="center"/>
          </w:tcPr>
          <w:p w14:paraId="3FCEF8ED" w14:textId="77777777" w:rsidR="005C6900" w:rsidRPr="00C531A2" w:rsidRDefault="005C6900" w:rsidP="00725D9F">
            <w:pPr>
              <w:jc w:val="center"/>
              <w:rPr>
                <w:rFonts w:ascii="Times New Roman" w:eastAsia="Calibri" w:hAnsi="Times New Roman"/>
                <w:sz w:val="18"/>
                <w:szCs w:val="18"/>
              </w:rPr>
            </w:pPr>
            <w:r w:rsidRPr="00C531A2">
              <w:rPr>
                <w:rFonts w:ascii="Times New Roman" w:hAnsi="Times New Roman"/>
                <w:sz w:val="18"/>
                <w:szCs w:val="18"/>
                <w:lang w:eastAsia="en-GB"/>
              </w:rPr>
              <w:t>2,0</w:t>
            </w:r>
          </w:p>
        </w:tc>
        <w:tc>
          <w:tcPr>
            <w:tcW w:w="556" w:type="pct"/>
            <w:vAlign w:val="center"/>
          </w:tcPr>
          <w:p w14:paraId="023079FD" w14:textId="77777777" w:rsidR="005C6900" w:rsidRPr="00C531A2" w:rsidRDefault="005C6900" w:rsidP="00725D9F">
            <w:pPr>
              <w:jc w:val="center"/>
              <w:rPr>
                <w:rFonts w:ascii="Times New Roman" w:eastAsia="Calibri" w:hAnsi="Times New Roman"/>
                <w:sz w:val="18"/>
                <w:szCs w:val="18"/>
              </w:rPr>
            </w:pPr>
            <w:r w:rsidRPr="00C531A2">
              <w:rPr>
                <w:rFonts w:ascii="Times New Roman" w:eastAsia="Calibri" w:hAnsi="Times New Roman"/>
                <w:sz w:val="18"/>
                <w:szCs w:val="18"/>
              </w:rPr>
              <w:t>2,1</w:t>
            </w:r>
          </w:p>
        </w:tc>
        <w:tc>
          <w:tcPr>
            <w:tcW w:w="556" w:type="pct"/>
            <w:vAlign w:val="center"/>
          </w:tcPr>
          <w:p w14:paraId="18C482E1" w14:textId="77777777" w:rsidR="005C6900" w:rsidRPr="00C531A2" w:rsidRDefault="005C6900" w:rsidP="00725D9F">
            <w:pPr>
              <w:jc w:val="center"/>
              <w:rPr>
                <w:rFonts w:ascii="Times New Roman" w:eastAsia="Calibri" w:hAnsi="Times New Roman"/>
                <w:sz w:val="18"/>
                <w:szCs w:val="18"/>
              </w:rPr>
            </w:pPr>
            <w:r w:rsidRPr="00C531A2">
              <w:rPr>
                <w:rFonts w:ascii="Times New Roman" w:eastAsia="Calibri" w:hAnsi="Times New Roman"/>
                <w:sz w:val="18"/>
                <w:szCs w:val="18"/>
              </w:rPr>
              <w:t>2,1</w:t>
            </w:r>
          </w:p>
        </w:tc>
        <w:tc>
          <w:tcPr>
            <w:tcW w:w="556" w:type="pct"/>
            <w:vAlign w:val="center"/>
          </w:tcPr>
          <w:p w14:paraId="45DDAC69" w14:textId="77777777" w:rsidR="005C6900" w:rsidRPr="00C531A2" w:rsidRDefault="005C6900" w:rsidP="00725D9F">
            <w:pPr>
              <w:jc w:val="center"/>
              <w:rPr>
                <w:rFonts w:ascii="Times New Roman" w:eastAsia="Calibri" w:hAnsi="Times New Roman"/>
                <w:sz w:val="18"/>
                <w:szCs w:val="18"/>
              </w:rPr>
            </w:pPr>
            <w:r w:rsidRPr="00C531A2">
              <w:rPr>
                <w:rFonts w:ascii="Times New Roman" w:eastAsia="Calibri" w:hAnsi="Times New Roman"/>
                <w:sz w:val="18"/>
                <w:szCs w:val="18"/>
              </w:rPr>
              <w:t>2,1</w:t>
            </w:r>
          </w:p>
        </w:tc>
      </w:tr>
      <w:tr w:rsidR="005C6900" w:rsidRPr="00C531A2" w14:paraId="2197A000" w14:textId="77777777" w:rsidTr="00725D9F">
        <w:trPr>
          <w:trHeight w:val="20"/>
        </w:trPr>
        <w:tc>
          <w:tcPr>
            <w:tcW w:w="2220" w:type="pct"/>
          </w:tcPr>
          <w:p w14:paraId="08B80DDD" w14:textId="77777777" w:rsidR="005C6900" w:rsidRPr="00C531A2" w:rsidRDefault="005C6900" w:rsidP="00725D9F">
            <w:pPr>
              <w:ind w:left="615" w:hanging="180"/>
              <w:rPr>
                <w:rFonts w:ascii="Times New Roman" w:eastAsia="Calibri" w:hAnsi="Times New Roman"/>
                <w:sz w:val="18"/>
                <w:highlight w:val="yellow"/>
              </w:rPr>
            </w:pPr>
            <w:r w:rsidRPr="00C531A2">
              <w:rPr>
                <w:rFonts w:ascii="Times New Roman" w:eastAsia="Calibri" w:hAnsi="Times New Roman"/>
                <w:sz w:val="18"/>
              </w:rPr>
              <w:t>Еврозона</w:t>
            </w:r>
          </w:p>
        </w:tc>
        <w:tc>
          <w:tcPr>
            <w:tcW w:w="556" w:type="pct"/>
            <w:vAlign w:val="center"/>
          </w:tcPr>
          <w:p w14:paraId="17F87D94" w14:textId="77777777" w:rsidR="005C6900" w:rsidRPr="00C531A2" w:rsidRDefault="005C6900" w:rsidP="00725D9F">
            <w:pPr>
              <w:jc w:val="center"/>
              <w:rPr>
                <w:rFonts w:ascii="Times New Roman" w:eastAsia="Calibri" w:hAnsi="Times New Roman"/>
                <w:sz w:val="18"/>
                <w:szCs w:val="18"/>
              </w:rPr>
            </w:pPr>
            <w:r w:rsidRPr="00C531A2">
              <w:rPr>
                <w:rFonts w:ascii="Times New Roman" w:hAnsi="Times New Roman"/>
                <w:sz w:val="18"/>
                <w:szCs w:val="18"/>
                <w:lang w:eastAsia="en-GB"/>
              </w:rPr>
              <w:t>0,9</w:t>
            </w:r>
          </w:p>
        </w:tc>
        <w:tc>
          <w:tcPr>
            <w:tcW w:w="556" w:type="pct"/>
            <w:vAlign w:val="center"/>
          </w:tcPr>
          <w:p w14:paraId="32F64346" w14:textId="77777777" w:rsidR="005C6900" w:rsidRPr="00C531A2" w:rsidRDefault="005C6900" w:rsidP="00725D9F">
            <w:pPr>
              <w:jc w:val="center"/>
              <w:rPr>
                <w:rFonts w:ascii="Times New Roman" w:eastAsia="Calibri" w:hAnsi="Times New Roman"/>
                <w:sz w:val="18"/>
                <w:szCs w:val="18"/>
              </w:rPr>
            </w:pPr>
            <w:r w:rsidRPr="00C531A2">
              <w:rPr>
                <w:rFonts w:ascii="Times New Roman" w:hAnsi="Times New Roman"/>
                <w:sz w:val="18"/>
                <w:szCs w:val="18"/>
                <w:lang w:eastAsia="en-GB"/>
              </w:rPr>
              <w:t>1,2</w:t>
            </w:r>
          </w:p>
        </w:tc>
        <w:tc>
          <w:tcPr>
            <w:tcW w:w="556" w:type="pct"/>
            <w:vAlign w:val="center"/>
          </w:tcPr>
          <w:p w14:paraId="2C7FAA39" w14:textId="77777777" w:rsidR="005C6900" w:rsidRPr="00C531A2" w:rsidRDefault="005C6900" w:rsidP="00725D9F">
            <w:pPr>
              <w:jc w:val="center"/>
              <w:rPr>
                <w:rFonts w:ascii="Times New Roman" w:eastAsia="Calibri" w:hAnsi="Times New Roman"/>
                <w:sz w:val="18"/>
                <w:szCs w:val="18"/>
              </w:rPr>
            </w:pPr>
            <w:r w:rsidRPr="00C531A2">
              <w:rPr>
                <w:rFonts w:ascii="Times New Roman" w:eastAsia="Calibri" w:hAnsi="Times New Roman"/>
                <w:sz w:val="18"/>
                <w:szCs w:val="18"/>
              </w:rPr>
              <w:t>1,1</w:t>
            </w:r>
          </w:p>
        </w:tc>
        <w:tc>
          <w:tcPr>
            <w:tcW w:w="556" w:type="pct"/>
            <w:vAlign w:val="center"/>
          </w:tcPr>
          <w:p w14:paraId="38B225B9" w14:textId="77777777" w:rsidR="005C6900" w:rsidRPr="00C531A2" w:rsidRDefault="005C6900" w:rsidP="00725D9F">
            <w:pPr>
              <w:jc w:val="center"/>
              <w:rPr>
                <w:rFonts w:ascii="Times New Roman" w:eastAsia="Calibri" w:hAnsi="Times New Roman"/>
                <w:sz w:val="18"/>
                <w:szCs w:val="18"/>
              </w:rPr>
            </w:pPr>
            <w:r w:rsidRPr="00C531A2">
              <w:rPr>
                <w:rFonts w:ascii="Times New Roman" w:eastAsia="Calibri" w:hAnsi="Times New Roman"/>
                <w:sz w:val="18"/>
                <w:szCs w:val="18"/>
              </w:rPr>
              <w:t>1,4</w:t>
            </w:r>
          </w:p>
        </w:tc>
        <w:tc>
          <w:tcPr>
            <w:tcW w:w="556" w:type="pct"/>
            <w:vAlign w:val="center"/>
          </w:tcPr>
          <w:p w14:paraId="255DFBF5" w14:textId="77777777" w:rsidR="005C6900" w:rsidRPr="00C531A2" w:rsidRDefault="005C6900" w:rsidP="00725D9F">
            <w:pPr>
              <w:jc w:val="center"/>
              <w:rPr>
                <w:rFonts w:ascii="Times New Roman" w:eastAsia="Calibri" w:hAnsi="Times New Roman"/>
                <w:sz w:val="18"/>
                <w:szCs w:val="18"/>
              </w:rPr>
            </w:pPr>
            <w:r w:rsidRPr="00C531A2">
              <w:rPr>
                <w:rFonts w:ascii="Times New Roman" w:eastAsia="Calibri" w:hAnsi="Times New Roman"/>
                <w:sz w:val="18"/>
                <w:szCs w:val="18"/>
              </w:rPr>
              <w:t>1,3</w:t>
            </w:r>
          </w:p>
        </w:tc>
      </w:tr>
      <w:tr w:rsidR="005C6900" w:rsidRPr="00C531A2" w14:paraId="56907DCE" w14:textId="77777777" w:rsidTr="00725D9F">
        <w:trPr>
          <w:trHeight w:val="20"/>
        </w:trPr>
        <w:tc>
          <w:tcPr>
            <w:tcW w:w="2220" w:type="pct"/>
          </w:tcPr>
          <w:p w14:paraId="50E1EA1A" w14:textId="77777777" w:rsidR="005C6900" w:rsidRPr="00C531A2" w:rsidRDefault="005C6900" w:rsidP="00725D9F">
            <w:pPr>
              <w:ind w:left="345" w:hanging="90"/>
              <w:rPr>
                <w:rFonts w:ascii="Times New Roman" w:eastAsia="Calibri" w:hAnsi="Times New Roman"/>
                <w:sz w:val="18"/>
              </w:rPr>
            </w:pPr>
            <w:r w:rsidRPr="00C531A2">
              <w:rPr>
                <w:rFonts w:ascii="Times New Roman" w:eastAsia="Calibri" w:hAnsi="Times New Roman"/>
                <w:sz w:val="18"/>
              </w:rPr>
              <w:t>Земље у успону</w:t>
            </w:r>
          </w:p>
        </w:tc>
        <w:tc>
          <w:tcPr>
            <w:tcW w:w="556" w:type="pct"/>
            <w:vAlign w:val="center"/>
          </w:tcPr>
          <w:p w14:paraId="05DED9F1" w14:textId="77777777" w:rsidR="005C6900" w:rsidRPr="00C531A2" w:rsidRDefault="005C6900" w:rsidP="00725D9F">
            <w:pPr>
              <w:jc w:val="center"/>
              <w:rPr>
                <w:rFonts w:ascii="Times New Roman" w:eastAsia="Calibri" w:hAnsi="Times New Roman"/>
                <w:sz w:val="18"/>
                <w:szCs w:val="18"/>
              </w:rPr>
            </w:pPr>
            <w:r w:rsidRPr="00C531A2">
              <w:rPr>
                <w:rFonts w:ascii="Times New Roman" w:hAnsi="Times New Roman"/>
                <w:sz w:val="18"/>
                <w:szCs w:val="18"/>
                <w:lang w:eastAsia="en-GB"/>
              </w:rPr>
              <w:t>4,3</w:t>
            </w:r>
          </w:p>
        </w:tc>
        <w:tc>
          <w:tcPr>
            <w:tcW w:w="556" w:type="pct"/>
            <w:vAlign w:val="center"/>
          </w:tcPr>
          <w:p w14:paraId="515B94A4" w14:textId="77777777" w:rsidR="005C6900" w:rsidRPr="00C531A2" w:rsidRDefault="005C6900" w:rsidP="00725D9F">
            <w:pPr>
              <w:jc w:val="center"/>
              <w:rPr>
                <w:rFonts w:ascii="Times New Roman" w:eastAsia="Calibri" w:hAnsi="Times New Roman"/>
                <w:sz w:val="18"/>
                <w:szCs w:val="18"/>
              </w:rPr>
            </w:pPr>
            <w:r w:rsidRPr="00C531A2">
              <w:rPr>
                <w:rFonts w:ascii="Times New Roman" w:hAnsi="Times New Roman"/>
                <w:sz w:val="18"/>
                <w:szCs w:val="18"/>
                <w:lang w:eastAsia="en-GB"/>
              </w:rPr>
              <w:t>4,2</w:t>
            </w:r>
          </w:p>
        </w:tc>
        <w:tc>
          <w:tcPr>
            <w:tcW w:w="556" w:type="pct"/>
            <w:vAlign w:val="center"/>
          </w:tcPr>
          <w:p w14:paraId="41624A38" w14:textId="77777777" w:rsidR="005C6900" w:rsidRPr="00C531A2" w:rsidRDefault="005C6900" w:rsidP="00725D9F">
            <w:pPr>
              <w:jc w:val="center"/>
              <w:rPr>
                <w:rFonts w:ascii="Times New Roman" w:eastAsia="Calibri" w:hAnsi="Times New Roman"/>
                <w:sz w:val="18"/>
                <w:szCs w:val="18"/>
              </w:rPr>
            </w:pPr>
            <w:r w:rsidRPr="00C531A2">
              <w:rPr>
                <w:rFonts w:ascii="Times New Roman" w:eastAsia="Calibri" w:hAnsi="Times New Roman"/>
                <w:sz w:val="18"/>
                <w:szCs w:val="18"/>
              </w:rPr>
              <w:t>4,0</w:t>
            </w:r>
          </w:p>
        </w:tc>
        <w:tc>
          <w:tcPr>
            <w:tcW w:w="556" w:type="pct"/>
            <w:vAlign w:val="center"/>
          </w:tcPr>
          <w:p w14:paraId="72C61CBC" w14:textId="77777777" w:rsidR="005C6900" w:rsidRPr="00C531A2" w:rsidRDefault="005C6900" w:rsidP="00725D9F">
            <w:pPr>
              <w:jc w:val="center"/>
              <w:rPr>
                <w:rFonts w:ascii="Times New Roman" w:eastAsia="Calibri" w:hAnsi="Times New Roman"/>
                <w:sz w:val="18"/>
                <w:szCs w:val="18"/>
              </w:rPr>
            </w:pPr>
            <w:r w:rsidRPr="00C531A2">
              <w:rPr>
                <w:rFonts w:ascii="Times New Roman" w:eastAsia="Calibri" w:hAnsi="Times New Roman"/>
                <w:sz w:val="18"/>
                <w:szCs w:val="18"/>
              </w:rPr>
              <w:t>4,2</w:t>
            </w:r>
          </w:p>
        </w:tc>
        <w:tc>
          <w:tcPr>
            <w:tcW w:w="556" w:type="pct"/>
            <w:vAlign w:val="center"/>
          </w:tcPr>
          <w:p w14:paraId="354942B2" w14:textId="77777777" w:rsidR="005C6900" w:rsidRPr="00C531A2" w:rsidRDefault="005C6900" w:rsidP="00725D9F">
            <w:pPr>
              <w:jc w:val="center"/>
              <w:rPr>
                <w:rFonts w:ascii="Times New Roman" w:eastAsia="Calibri" w:hAnsi="Times New Roman"/>
                <w:sz w:val="18"/>
                <w:szCs w:val="18"/>
              </w:rPr>
            </w:pPr>
            <w:r w:rsidRPr="00C531A2">
              <w:rPr>
                <w:rFonts w:ascii="Times New Roman" w:eastAsia="Calibri" w:hAnsi="Times New Roman"/>
                <w:sz w:val="18"/>
                <w:szCs w:val="18"/>
              </w:rPr>
              <w:t>4,1</w:t>
            </w:r>
          </w:p>
        </w:tc>
      </w:tr>
      <w:tr w:rsidR="005C6900" w:rsidRPr="00C531A2" w14:paraId="4E40C694" w14:textId="77777777" w:rsidTr="00725D9F">
        <w:trPr>
          <w:trHeight w:val="20"/>
        </w:trPr>
        <w:tc>
          <w:tcPr>
            <w:tcW w:w="2220" w:type="pct"/>
          </w:tcPr>
          <w:p w14:paraId="00372B32" w14:textId="77777777" w:rsidR="005C6900" w:rsidRPr="00C531A2" w:rsidRDefault="005C6900" w:rsidP="00725D9F">
            <w:pPr>
              <w:ind w:left="615" w:hanging="180"/>
              <w:rPr>
                <w:rFonts w:ascii="Times New Roman" w:eastAsia="Calibri" w:hAnsi="Times New Roman"/>
                <w:sz w:val="18"/>
              </w:rPr>
            </w:pPr>
            <w:r w:rsidRPr="00C531A2">
              <w:rPr>
                <w:rFonts w:ascii="Times New Roman" w:eastAsia="Calibri" w:hAnsi="Times New Roman"/>
                <w:sz w:val="18"/>
              </w:rPr>
              <w:t>Кина</w:t>
            </w:r>
          </w:p>
        </w:tc>
        <w:tc>
          <w:tcPr>
            <w:tcW w:w="556" w:type="pct"/>
            <w:vAlign w:val="center"/>
          </w:tcPr>
          <w:p w14:paraId="5F80CB18" w14:textId="77777777" w:rsidR="005C6900" w:rsidRPr="00C531A2" w:rsidRDefault="005C6900" w:rsidP="00725D9F">
            <w:pPr>
              <w:jc w:val="center"/>
              <w:rPr>
                <w:rFonts w:ascii="Times New Roman" w:eastAsia="Calibri" w:hAnsi="Times New Roman"/>
                <w:sz w:val="18"/>
                <w:szCs w:val="18"/>
              </w:rPr>
            </w:pPr>
            <w:r w:rsidRPr="00C531A2">
              <w:rPr>
                <w:rFonts w:ascii="Times New Roman" w:hAnsi="Times New Roman"/>
                <w:sz w:val="18"/>
                <w:szCs w:val="18"/>
                <w:lang w:eastAsia="en-GB"/>
              </w:rPr>
              <w:t>5,0</w:t>
            </w:r>
          </w:p>
        </w:tc>
        <w:tc>
          <w:tcPr>
            <w:tcW w:w="556" w:type="pct"/>
            <w:vAlign w:val="center"/>
          </w:tcPr>
          <w:p w14:paraId="6AFC3ED2" w14:textId="77777777" w:rsidR="005C6900" w:rsidRPr="00C531A2" w:rsidRDefault="005C6900" w:rsidP="00725D9F">
            <w:pPr>
              <w:jc w:val="center"/>
              <w:rPr>
                <w:rFonts w:ascii="Times New Roman" w:eastAsia="Calibri" w:hAnsi="Times New Roman"/>
                <w:sz w:val="18"/>
                <w:szCs w:val="18"/>
              </w:rPr>
            </w:pPr>
            <w:r w:rsidRPr="00C531A2">
              <w:rPr>
                <w:rFonts w:ascii="Times New Roman" w:hAnsi="Times New Roman"/>
                <w:sz w:val="18"/>
                <w:szCs w:val="18"/>
                <w:lang w:eastAsia="en-GB"/>
              </w:rPr>
              <w:t>4,8</w:t>
            </w:r>
          </w:p>
        </w:tc>
        <w:tc>
          <w:tcPr>
            <w:tcW w:w="556" w:type="pct"/>
            <w:vAlign w:val="center"/>
          </w:tcPr>
          <w:p w14:paraId="6A02E41D" w14:textId="77777777" w:rsidR="005C6900" w:rsidRPr="00C531A2" w:rsidRDefault="005C6900" w:rsidP="00725D9F">
            <w:pPr>
              <w:jc w:val="center"/>
              <w:rPr>
                <w:rFonts w:ascii="Times New Roman" w:eastAsia="Calibri" w:hAnsi="Times New Roman"/>
                <w:sz w:val="18"/>
                <w:szCs w:val="18"/>
              </w:rPr>
            </w:pPr>
            <w:r w:rsidRPr="00C531A2">
              <w:rPr>
                <w:rFonts w:ascii="Times New Roman" w:eastAsia="Calibri" w:hAnsi="Times New Roman"/>
                <w:sz w:val="18"/>
                <w:szCs w:val="18"/>
              </w:rPr>
              <w:t>4,2</w:t>
            </w:r>
          </w:p>
        </w:tc>
        <w:tc>
          <w:tcPr>
            <w:tcW w:w="556" w:type="pct"/>
            <w:vAlign w:val="center"/>
          </w:tcPr>
          <w:p w14:paraId="0BF6270C" w14:textId="77777777" w:rsidR="005C6900" w:rsidRPr="00C531A2" w:rsidRDefault="005C6900" w:rsidP="00725D9F">
            <w:pPr>
              <w:jc w:val="center"/>
              <w:rPr>
                <w:rFonts w:ascii="Times New Roman" w:eastAsia="Calibri" w:hAnsi="Times New Roman"/>
                <w:sz w:val="18"/>
                <w:szCs w:val="18"/>
              </w:rPr>
            </w:pPr>
            <w:r w:rsidRPr="00C531A2">
              <w:rPr>
                <w:rFonts w:ascii="Times New Roman" w:eastAsia="Calibri" w:hAnsi="Times New Roman"/>
                <w:sz w:val="18"/>
                <w:szCs w:val="18"/>
              </w:rPr>
              <w:t>4,2</w:t>
            </w:r>
          </w:p>
        </w:tc>
        <w:tc>
          <w:tcPr>
            <w:tcW w:w="556" w:type="pct"/>
            <w:vAlign w:val="center"/>
          </w:tcPr>
          <w:p w14:paraId="7D44AA28" w14:textId="77777777" w:rsidR="005C6900" w:rsidRPr="00C531A2" w:rsidRDefault="005C6900" w:rsidP="00725D9F">
            <w:pPr>
              <w:jc w:val="center"/>
              <w:rPr>
                <w:rFonts w:ascii="Times New Roman" w:eastAsia="Calibri" w:hAnsi="Times New Roman"/>
                <w:sz w:val="18"/>
                <w:szCs w:val="18"/>
              </w:rPr>
            </w:pPr>
            <w:r w:rsidRPr="00C531A2">
              <w:rPr>
                <w:rFonts w:ascii="Times New Roman" w:eastAsia="Calibri" w:hAnsi="Times New Roman"/>
                <w:sz w:val="18"/>
                <w:szCs w:val="18"/>
              </w:rPr>
              <w:t>4,0</w:t>
            </w:r>
          </w:p>
        </w:tc>
      </w:tr>
      <w:tr w:rsidR="005C6900" w:rsidRPr="00C531A2" w14:paraId="149570FD" w14:textId="77777777" w:rsidTr="00725D9F">
        <w:trPr>
          <w:trHeight w:val="20"/>
        </w:trPr>
        <w:tc>
          <w:tcPr>
            <w:tcW w:w="2220" w:type="pct"/>
          </w:tcPr>
          <w:p w14:paraId="260EF3F5" w14:textId="77777777" w:rsidR="005C6900" w:rsidRPr="00C531A2" w:rsidRDefault="005C6900" w:rsidP="00725D9F">
            <w:pPr>
              <w:ind w:left="615" w:hanging="180"/>
              <w:rPr>
                <w:rFonts w:ascii="Times New Roman" w:eastAsia="Calibri" w:hAnsi="Times New Roman"/>
                <w:sz w:val="18"/>
              </w:rPr>
            </w:pPr>
            <w:r w:rsidRPr="00C531A2">
              <w:rPr>
                <w:rFonts w:ascii="Times New Roman" w:eastAsia="Calibri" w:hAnsi="Times New Roman"/>
                <w:sz w:val="18"/>
              </w:rPr>
              <w:t xml:space="preserve">Русија </w:t>
            </w:r>
          </w:p>
        </w:tc>
        <w:tc>
          <w:tcPr>
            <w:tcW w:w="556" w:type="pct"/>
            <w:vAlign w:val="center"/>
          </w:tcPr>
          <w:p w14:paraId="26B1CFD4" w14:textId="77777777" w:rsidR="005C6900" w:rsidRPr="00C531A2" w:rsidRDefault="005C6900" w:rsidP="00725D9F">
            <w:pPr>
              <w:jc w:val="center"/>
              <w:rPr>
                <w:rFonts w:ascii="Times New Roman" w:eastAsia="Calibri" w:hAnsi="Times New Roman"/>
                <w:sz w:val="18"/>
                <w:szCs w:val="18"/>
              </w:rPr>
            </w:pPr>
            <w:r w:rsidRPr="00C531A2">
              <w:rPr>
                <w:rFonts w:ascii="Times New Roman" w:hAnsi="Times New Roman"/>
                <w:sz w:val="18"/>
                <w:szCs w:val="18"/>
                <w:lang w:eastAsia="en-GB"/>
              </w:rPr>
              <w:t>4,3</w:t>
            </w:r>
          </w:p>
        </w:tc>
        <w:tc>
          <w:tcPr>
            <w:tcW w:w="556" w:type="pct"/>
            <w:vAlign w:val="center"/>
          </w:tcPr>
          <w:p w14:paraId="0E7EB8FB" w14:textId="77777777" w:rsidR="005C6900" w:rsidRPr="00C531A2" w:rsidRDefault="005C6900" w:rsidP="00725D9F">
            <w:pPr>
              <w:jc w:val="center"/>
              <w:rPr>
                <w:rFonts w:ascii="Times New Roman" w:eastAsia="Calibri" w:hAnsi="Times New Roman"/>
                <w:sz w:val="18"/>
                <w:szCs w:val="18"/>
              </w:rPr>
            </w:pPr>
            <w:r w:rsidRPr="00C531A2">
              <w:rPr>
                <w:rFonts w:ascii="Times New Roman" w:hAnsi="Times New Roman"/>
                <w:sz w:val="18"/>
                <w:szCs w:val="18"/>
                <w:lang w:eastAsia="en-GB"/>
              </w:rPr>
              <w:t>0,6</w:t>
            </w:r>
          </w:p>
        </w:tc>
        <w:tc>
          <w:tcPr>
            <w:tcW w:w="556" w:type="pct"/>
            <w:vAlign w:val="center"/>
          </w:tcPr>
          <w:p w14:paraId="2E8B3B2B" w14:textId="77777777" w:rsidR="005C6900" w:rsidRPr="00C531A2" w:rsidRDefault="005C6900" w:rsidP="00725D9F">
            <w:pPr>
              <w:jc w:val="center"/>
              <w:rPr>
                <w:rFonts w:ascii="Times New Roman" w:eastAsia="Calibri" w:hAnsi="Times New Roman"/>
                <w:sz w:val="18"/>
                <w:szCs w:val="18"/>
              </w:rPr>
            </w:pPr>
            <w:r w:rsidRPr="00C531A2">
              <w:rPr>
                <w:rFonts w:ascii="Times New Roman" w:eastAsia="Calibri" w:hAnsi="Times New Roman"/>
                <w:sz w:val="18"/>
                <w:szCs w:val="18"/>
              </w:rPr>
              <w:t>1,0</w:t>
            </w:r>
          </w:p>
        </w:tc>
        <w:tc>
          <w:tcPr>
            <w:tcW w:w="556" w:type="pct"/>
            <w:vAlign w:val="center"/>
          </w:tcPr>
          <w:p w14:paraId="2E69AD20" w14:textId="77777777" w:rsidR="005C6900" w:rsidRPr="00C531A2" w:rsidRDefault="005C6900" w:rsidP="00725D9F">
            <w:pPr>
              <w:jc w:val="center"/>
              <w:rPr>
                <w:rFonts w:ascii="Times New Roman" w:eastAsia="Calibri" w:hAnsi="Times New Roman"/>
                <w:sz w:val="18"/>
                <w:szCs w:val="18"/>
              </w:rPr>
            </w:pPr>
            <w:r w:rsidRPr="00C531A2">
              <w:rPr>
                <w:rFonts w:ascii="Times New Roman" w:eastAsia="Calibri" w:hAnsi="Times New Roman"/>
                <w:sz w:val="18"/>
                <w:szCs w:val="18"/>
              </w:rPr>
              <w:t>1,1</w:t>
            </w:r>
          </w:p>
        </w:tc>
        <w:tc>
          <w:tcPr>
            <w:tcW w:w="556" w:type="pct"/>
            <w:vAlign w:val="center"/>
          </w:tcPr>
          <w:p w14:paraId="27236990" w14:textId="77777777" w:rsidR="005C6900" w:rsidRPr="00C531A2" w:rsidRDefault="005C6900" w:rsidP="00725D9F">
            <w:pPr>
              <w:jc w:val="center"/>
              <w:rPr>
                <w:rFonts w:ascii="Times New Roman" w:eastAsia="Calibri" w:hAnsi="Times New Roman"/>
                <w:sz w:val="18"/>
                <w:szCs w:val="18"/>
              </w:rPr>
            </w:pPr>
            <w:r w:rsidRPr="00C531A2">
              <w:rPr>
                <w:rFonts w:ascii="Times New Roman" w:eastAsia="Calibri" w:hAnsi="Times New Roman"/>
                <w:sz w:val="18"/>
                <w:szCs w:val="18"/>
              </w:rPr>
              <w:t>1,1</w:t>
            </w:r>
          </w:p>
        </w:tc>
      </w:tr>
      <w:tr w:rsidR="005C6900" w:rsidRPr="00C531A2" w14:paraId="51380369" w14:textId="77777777" w:rsidTr="00725D9F">
        <w:trPr>
          <w:trHeight w:val="20"/>
        </w:trPr>
        <w:tc>
          <w:tcPr>
            <w:tcW w:w="2220" w:type="pct"/>
          </w:tcPr>
          <w:p w14:paraId="441C4BD0" w14:textId="77777777" w:rsidR="005C6900" w:rsidRPr="00C531A2" w:rsidRDefault="005C6900" w:rsidP="00725D9F">
            <w:pPr>
              <w:ind w:left="345" w:hanging="90"/>
              <w:rPr>
                <w:rFonts w:ascii="Times New Roman" w:eastAsia="Calibri" w:hAnsi="Times New Roman"/>
                <w:sz w:val="18"/>
              </w:rPr>
            </w:pPr>
            <w:r w:rsidRPr="00C531A2">
              <w:rPr>
                <w:rFonts w:ascii="Times New Roman" w:eastAsia="Calibri" w:hAnsi="Times New Roman"/>
                <w:sz w:val="18"/>
              </w:rPr>
              <w:t>Раст светске трговине, %</w:t>
            </w:r>
          </w:p>
        </w:tc>
        <w:tc>
          <w:tcPr>
            <w:tcW w:w="556" w:type="pct"/>
            <w:vAlign w:val="center"/>
          </w:tcPr>
          <w:p w14:paraId="0C95435B" w14:textId="77777777" w:rsidR="005C6900" w:rsidRPr="00C531A2" w:rsidRDefault="005C6900" w:rsidP="00725D9F">
            <w:pPr>
              <w:jc w:val="center"/>
              <w:rPr>
                <w:rFonts w:ascii="Times New Roman" w:eastAsia="Calibri" w:hAnsi="Times New Roman"/>
                <w:sz w:val="18"/>
                <w:szCs w:val="18"/>
              </w:rPr>
            </w:pPr>
            <w:r w:rsidRPr="00C531A2">
              <w:rPr>
                <w:rFonts w:ascii="Times New Roman" w:hAnsi="Times New Roman"/>
                <w:sz w:val="18"/>
                <w:szCs w:val="18"/>
                <w:lang w:eastAsia="en-GB"/>
              </w:rPr>
              <w:t>3,5</w:t>
            </w:r>
          </w:p>
        </w:tc>
        <w:tc>
          <w:tcPr>
            <w:tcW w:w="556" w:type="pct"/>
            <w:vAlign w:val="center"/>
          </w:tcPr>
          <w:p w14:paraId="5545B6E6" w14:textId="77777777" w:rsidR="005C6900" w:rsidRPr="00C531A2" w:rsidRDefault="005C6900" w:rsidP="00725D9F">
            <w:pPr>
              <w:jc w:val="center"/>
              <w:rPr>
                <w:rFonts w:ascii="Times New Roman" w:eastAsia="Calibri" w:hAnsi="Times New Roman"/>
                <w:sz w:val="18"/>
                <w:szCs w:val="18"/>
              </w:rPr>
            </w:pPr>
            <w:r w:rsidRPr="00C531A2">
              <w:rPr>
                <w:rFonts w:ascii="Times New Roman" w:hAnsi="Times New Roman"/>
                <w:sz w:val="18"/>
                <w:szCs w:val="18"/>
                <w:lang w:eastAsia="en-GB"/>
              </w:rPr>
              <w:t>3,6</w:t>
            </w:r>
          </w:p>
        </w:tc>
        <w:tc>
          <w:tcPr>
            <w:tcW w:w="556" w:type="pct"/>
            <w:vAlign w:val="center"/>
          </w:tcPr>
          <w:p w14:paraId="6E868246" w14:textId="77777777" w:rsidR="005C6900" w:rsidRPr="00C531A2" w:rsidRDefault="005C6900" w:rsidP="00725D9F">
            <w:pPr>
              <w:jc w:val="center"/>
              <w:rPr>
                <w:rFonts w:ascii="Times New Roman" w:eastAsia="Calibri" w:hAnsi="Times New Roman"/>
                <w:sz w:val="18"/>
                <w:szCs w:val="18"/>
              </w:rPr>
            </w:pPr>
            <w:r w:rsidRPr="00C531A2">
              <w:rPr>
                <w:rFonts w:ascii="Times New Roman" w:eastAsia="Calibri" w:hAnsi="Times New Roman"/>
                <w:sz w:val="18"/>
                <w:szCs w:val="18"/>
              </w:rPr>
              <w:t>2,3</w:t>
            </w:r>
          </w:p>
        </w:tc>
        <w:tc>
          <w:tcPr>
            <w:tcW w:w="556" w:type="pct"/>
            <w:vAlign w:val="center"/>
          </w:tcPr>
          <w:p w14:paraId="3940A6C6" w14:textId="77777777" w:rsidR="005C6900" w:rsidRPr="00C531A2" w:rsidRDefault="005C6900" w:rsidP="00725D9F">
            <w:pPr>
              <w:jc w:val="center"/>
              <w:rPr>
                <w:rFonts w:ascii="Times New Roman" w:eastAsia="Calibri" w:hAnsi="Times New Roman"/>
                <w:sz w:val="18"/>
                <w:szCs w:val="18"/>
              </w:rPr>
            </w:pPr>
            <w:r w:rsidRPr="00C531A2">
              <w:rPr>
                <w:rFonts w:ascii="Times New Roman" w:eastAsia="Calibri" w:hAnsi="Times New Roman"/>
                <w:sz w:val="18"/>
                <w:szCs w:val="18"/>
              </w:rPr>
              <w:t>3,1</w:t>
            </w:r>
          </w:p>
        </w:tc>
        <w:tc>
          <w:tcPr>
            <w:tcW w:w="556" w:type="pct"/>
            <w:vAlign w:val="center"/>
          </w:tcPr>
          <w:p w14:paraId="004AD0C7" w14:textId="77777777" w:rsidR="005C6900" w:rsidRPr="00C531A2" w:rsidRDefault="005C6900" w:rsidP="00725D9F">
            <w:pPr>
              <w:jc w:val="center"/>
              <w:rPr>
                <w:rFonts w:ascii="Times New Roman" w:eastAsia="Calibri" w:hAnsi="Times New Roman"/>
                <w:sz w:val="18"/>
                <w:szCs w:val="18"/>
              </w:rPr>
            </w:pPr>
            <w:r w:rsidRPr="00C531A2">
              <w:rPr>
                <w:rFonts w:ascii="Times New Roman" w:eastAsia="Calibri" w:hAnsi="Times New Roman"/>
                <w:sz w:val="18"/>
                <w:szCs w:val="18"/>
              </w:rPr>
              <w:t>3,2</w:t>
            </w:r>
          </w:p>
        </w:tc>
      </w:tr>
      <w:tr w:rsidR="005C6900" w:rsidRPr="00C531A2" w14:paraId="38765150" w14:textId="77777777" w:rsidTr="00725D9F">
        <w:trPr>
          <w:trHeight w:val="20"/>
        </w:trPr>
        <w:tc>
          <w:tcPr>
            <w:tcW w:w="2220" w:type="pct"/>
            <w:shd w:val="clear" w:color="auto" w:fill="E7E6E6"/>
          </w:tcPr>
          <w:p w14:paraId="6CE7B7EC" w14:textId="77777777" w:rsidR="005C6900" w:rsidRPr="00C531A2" w:rsidRDefault="005C6900" w:rsidP="00725D9F">
            <w:pPr>
              <w:rPr>
                <w:rFonts w:ascii="Times New Roman" w:eastAsia="Calibri" w:hAnsi="Times New Roman"/>
                <w:sz w:val="18"/>
              </w:rPr>
            </w:pPr>
            <w:r w:rsidRPr="00C531A2">
              <w:rPr>
                <w:rFonts w:ascii="Times New Roman" w:eastAsia="Calibri" w:hAnsi="Times New Roman"/>
                <w:sz w:val="18"/>
              </w:rPr>
              <w:t>Стопа незапослености, %</w:t>
            </w:r>
          </w:p>
        </w:tc>
        <w:tc>
          <w:tcPr>
            <w:tcW w:w="556" w:type="pct"/>
            <w:shd w:val="clear" w:color="auto" w:fill="E7E6E6"/>
          </w:tcPr>
          <w:p w14:paraId="1087CCBA" w14:textId="77777777" w:rsidR="005C6900" w:rsidRPr="00C531A2" w:rsidRDefault="005C6900" w:rsidP="00725D9F">
            <w:pPr>
              <w:rPr>
                <w:rFonts w:ascii="Times New Roman" w:eastAsia="Calibri" w:hAnsi="Times New Roman"/>
                <w:sz w:val="18"/>
                <w:szCs w:val="18"/>
              </w:rPr>
            </w:pPr>
          </w:p>
        </w:tc>
        <w:tc>
          <w:tcPr>
            <w:tcW w:w="556" w:type="pct"/>
            <w:shd w:val="clear" w:color="auto" w:fill="E7E6E6"/>
          </w:tcPr>
          <w:p w14:paraId="44C5B5F1" w14:textId="77777777" w:rsidR="005C6900" w:rsidRPr="00C531A2" w:rsidRDefault="005C6900" w:rsidP="00725D9F">
            <w:pPr>
              <w:rPr>
                <w:rFonts w:ascii="Times New Roman" w:eastAsia="Calibri" w:hAnsi="Times New Roman"/>
                <w:sz w:val="18"/>
                <w:szCs w:val="18"/>
              </w:rPr>
            </w:pPr>
          </w:p>
        </w:tc>
        <w:tc>
          <w:tcPr>
            <w:tcW w:w="556" w:type="pct"/>
            <w:shd w:val="clear" w:color="auto" w:fill="E7E6E6"/>
          </w:tcPr>
          <w:p w14:paraId="6FE1A521" w14:textId="77777777" w:rsidR="005C6900" w:rsidRPr="00C531A2" w:rsidRDefault="005C6900" w:rsidP="00725D9F">
            <w:pPr>
              <w:rPr>
                <w:rFonts w:ascii="Times New Roman" w:eastAsia="Calibri" w:hAnsi="Times New Roman"/>
                <w:sz w:val="18"/>
                <w:szCs w:val="18"/>
              </w:rPr>
            </w:pPr>
          </w:p>
        </w:tc>
        <w:tc>
          <w:tcPr>
            <w:tcW w:w="556" w:type="pct"/>
            <w:shd w:val="clear" w:color="auto" w:fill="E7E6E6"/>
          </w:tcPr>
          <w:p w14:paraId="3E88E73D" w14:textId="77777777" w:rsidR="005C6900" w:rsidRPr="00C531A2" w:rsidRDefault="005C6900" w:rsidP="00725D9F">
            <w:pPr>
              <w:rPr>
                <w:rFonts w:ascii="Times New Roman" w:eastAsia="Calibri" w:hAnsi="Times New Roman"/>
                <w:sz w:val="18"/>
                <w:szCs w:val="18"/>
              </w:rPr>
            </w:pPr>
          </w:p>
        </w:tc>
        <w:tc>
          <w:tcPr>
            <w:tcW w:w="556" w:type="pct"/>
            <w:shd w:val="clear" w:color="auto" w:fill="E7E6E6"/>
          </w:tcPr>
          <w:p w14:paraId="251BD991" w14:textId="77777777" w:rsidR="005C6900" w:rsidRPr="00C531A2" w:rsidRDefault="005C6900" w:rsidP="00725D9F">
            <w:pPr>
              <w:rPr>
                <w:rFonts w:ascii="Times New Roman" w:eastAsia="Calibri" w:hAnsi="Times New Roman"/>
                <w:sz w:val="18"/>
                <w:szCs w:val="18"/>
              </w:rPr>
            </w:pPr>
          </w:p>
        </w:tc>
      </w:tr>
      <w:tr w:rsidR="005C6900" w:rsidRPr="00C531A2" w14:paraId="376F6339" w14:textId="77777777" w:rsidTr="00725D9F">
        <w:trPr>
          <w:trHeight w:val="20"/>
        </w:trPr>
        <w:tc>
          <w:tcPr>
            <w:tcW w:w="2220" w:type="pct"/>
          </w:tcPr>
          <w:p w14:paraId="2E1A4866" w14:textId="77777777" w:rsidR="005C6900" w:rsidRPr="00C531A2" w:rsidRDefault="005C6900" w:rsidP="00725D9F">
            <w:pPr>
              <w:ind w:left="440" w:hanging="180"/>
              <w:rPr>
                <w:rFonts w:ascii="Times New Roman" w:eastAsia="Calibri" w:hAnsi="Times New Roman"/>
                <w:sz w:val="18"/>
              </w:rPr>
            </w:pPr>
            <w:r w:rsidRPr="00C531A2">
              <w:rPr>
                <w:rFonts w:ascii="Times New Roman" w:eastAsia="Calibri" w:hAnsi="Times New Roman"/>
                <w:sz w:val="18"/>
              </w:rPr>
              <w:t>Еврозона</w:t>
            </w:r>
          </w:p>
        </w:tc>
        <w:tc>
          <w:tcPr>
            <w:tcW w:w="556" w:type="pct"/>
            <w:vAlign w:val="center"/>
          </w:tcPr>
          <w:p w14:paraId="41583ED5" w14:textId="77777777" w:rsidR="005C6900" w:rsidRPr="00C531A2" w:rsidRDefault="005C6900" w:rsidP="00725D9F">
            <w:pPr>
              <w:jc w:val="center"/>
              <w:rPr>
                <w:rFonts w:ascii="Times New Roman" w:eastAsia="Calibri" w:hAnsi="Times New Roman"/>
                <w:sz w:val="18"/>
                <w:szCs w:val="18"/>
              </w:rPr>
            </w:pPr>
            <w:r w:rsidRPr="00C531A2">
              <w:rPr>
                <w:rFonts w:ascii="Times New Roman" w:eastAsia="Calibri" w:hAnsi="Times New Roman"/>
                <w:sz w:val="18"/>
                <w:szCs w:val="18"/>
              </w:rPr>
              <w:t>6,4</w:t>
            </w:r>
          </w:p>
        </w:tc>
        <w:tc>
          <w:tcPr>
            <w:tcW w:w="556" w:type="pct"/>
            <w:vAlign w:val="center"/>
          </w:tcPr>
          <w:p w14:paraId="716F39AF" w14:textId="77777777" w:rsidR="005C6900" w:rsidRPr="00C531A2" w:rsidRDefault="005C6900" w:rsidP="00725D9F">
            <w:pPr>
              <w:jc w:val="center"/>
              <w:rPr>
                <w:rFonts w:ascii="Times New Roman" w:eastAsia="Calibri" w:hAnsi="Times New Roman"/>
                <w:sz w:val="18"/>
                <w:szCs w:val="18"/>
              </w:rPr>
            </w:pPr>
            <w:r w:rsidRPr="00C531A2">
              <w:rPr>
                <w:rFonts w:ascii="Times New Roman" w:eastAsia="Calibri" w:hAnsi="Times New Roman"/>
                <w:sz w:val="18"/>
                <w:szCs w:val="18"/>
              </w:rPr>
              <w:t>6,4</w:t>
            </w:r>
          </w:p>
        </w:tc>
        <w:tc>
          <w:tcPr>
            <w:tcW w:w="556" w:type="pct"/>
            <w:vAlign w:val="center"/>
          </w:tcPr>
          <w:p w14:paraId="5304D347" w14:textId="77777777" w:rsidR="005C6900" w:rsidRPr="00C531A2" w:rsidRDefault="005C6900" w:rsidP="00725D9F">
            <w:pPr>
              <w:jc w:val="center"/>
              <w:rPr>
                <w:rFonts w:ascii="Times New Roman" w:eastAsia="Calibri" w:hAnsi="Times New Roman"/>
                <w:sz w:val="18"/>
                <w:szCs w:val="18"/>
              </w:rPr>
            </w:pPr>
            <w:r w:rsidRPr="00C531A2">
              <w:rPr>
                <w:rFonts w:ascii="Times New Roman" w:eastAsia="Calibri" w:hAnsi="Times New Roman"/>
                <w:sz w:val="18"/>
                <w:szCs w:val="18"/>
              </w:rPr>
              <w:t>6,3</w:t>
            </w:r>
          </w:p>
        </w:tc>
        <w:tc>
          <w:tcPr>
            <w:tcW w:w="556" w:type="pct"/>
            <w:vAlign w:val="center"/>
          </w:tcPr>
          <w:p w14:paraId="7B2A296D" w14:textId="77777777" w:rsidR="005C6900" w:rsidRPr="00C531A2" w:rsidRDefault="005C6900" w:rsidP="00725D9F">
            <w:pPr>
              <w:jc w:val="center"/>
              <w:rPr>
                <w:rFonts w:ascii="Times New Roman" w:eastAsia="Calibri" w:hAnsi="Times New Roman"/>
                <w:sz w:val="18"/>
                <w:szCs w:val="18"/>
              </w:rPr>
            </w:pPr>
            <w:r w:rsidRPr="00C531A2">
              <w:rPr>
                <w:rFonts w:ascii="Times New Roman" w:eastAsia="Calibri" w:hAnsi="Times New Roman"/>
                <w:sz w:val="18"/>
                <w:szCs w:val="18"/>
              </w:rPr>
              <w:t>6,2</w:t>
            </w:r>
          </w:p>
        </w:tc>
        <w:tc>
          <w:tcPr>
            <w:tcW w:w="556" w:type="pct"/>
            <w:vAlign w:val="center"/>
          </w:tcPr>
          <w:p w14:paraId="1B842440" w14:textId="77777777" w:rsidR="005C6900" w:rsidRPr="00C531A2" w:rsidRDefault="005C6900" w:rsidP="00725D9F">
            <w:pPr>
              <w:jc w:val="center"/>
              <w:rPr>
                <w:rFonts w:ascii="Times New Roman" w:eastAsia="Calibri" w:hAnsi="Times New Roman"/>
                <w:sz w:val="18"/>
                <w:szCs w:val="18"/>
              </w:rPr>
            </w:pPr>
            <w:r w:rsidRPr="00C531A2">
              <w:rPr>
                <w:rFonts w:ascii="Times New Roman" w:eastAsia="Calibri" w:hAnsi="Times New Roman"/>
                <w:sz w:val="18"/>
                <w:szCs w:val="18"/>
              </w:rPr>
              <w:t>6,2</w:t>
            </w:r>
          </w:p>
        </w:tc>
      </w:tr>
      <w:tr w:rsidR="005C6900" w:rsidRPr="00C531A2" w14:paraId="714149F0" w14:textId="77777777" w:rsidTr="00725D9F">
        <w:trPr>
          <w:trHeight w:val="20"/>
        </w:trPr>
        <w:tc>
          <w:tcPr>
            <w:tcW w:w="2220" w:type="pct"/>
          </w:tcPr>
          <w:p w14:paraId="473E4F7C" w14:textId="77777777" w:rsidR="005C6900" w:rsidRPr="00C531A2" w:rsidRDefault="005C6900" w:rsidP="00725D9F">
            <w:pPr>
              <w:ind w:left="440" w:hanging="180"/>
              <w:rPr>
                <w:rFonts w:ascii="Times New Roman" w:eastAsia="Calibri" w:hAnsi="Times New Roman"/>
                <w:sz w:val="18"/>
              </w:rPr>
            </w:pPr>
            <w:r w:rsidRPr="00C531A2">
              <w:rPr>
                <w:rFonts w:ascii="Times New Roman" w:eastAsia="Calibri" w:hAnsi="Times New Roman"/>
                <w:sz w:val="18"/>
              </w:rPr>
              <w:t>САД</w:t>
            </w:r>
          </w:p>
        </w:tc>
        <w:tc>
          <w:tcPr>
            <w:tcW w:w="556" w:type="pct"/>
            <w:vAlign w:val="center"/>
          </w:tcPr>
          <w:p w14:paraId="3C7C105A" w14:textId="77777777" w:rsidR="005C6900" w:rsidRPr="00C531A2" w:rsidRDefault="005C6900" w:rsidP="00725D9F">
            <w:pPr>
              <w:jc w:val="center"/>
              <w:rPr>
                <w:rFonts w:ascii="Times New Roman" w:eastAsia="Calibri" w:hAnsi="Times New Roman"/>
                <w:sz w:val="18"/>
                <w:szCs w:val="18"/>
              </w:rPr>
            </w:pPr>
            <w:r w:rsidRPr="00C531A2">
              <w:rPr>
                <w:rFonts w:ascii="Times New Roman" w:eastAsia="Calibri" w:hAnsi="Times New Roman"/>
                <w:sz w:val="18"/>
                <w:szCs w:val="18"/>
              </w:rPr>
              <w:t>4,0</w:t>
            </w:r>
          </w:p>
        </w:tc>
        <w:tc>
          <w:tcPr>
            <w:tcW w:w="556" w:type="pct"/>
            <w:vAlign w:val="center"/>
          </w:tcPr>
          <w:p w14:paraId="7E8C3165" w14:textId="77777777" w:rsidR="005C6900" w:rsidRPr="00C531A2" w:rsidRDefault="005C6900" w:rsidP="00725D9F">
            <w:pPr>
              <w:jc w:val="center"/>
              <w:rPr>
                <w:rFonts w:ascii="Times New Roman" w:eastAsia="Calibri" w:hAnsi="Times New Roman"/>
                <w:sz w:val="18"/>
                <w:szCs w:val="18"/>
              </w:rPr>
            </w:pPr>
            <w:r w:rsidRPr="00C531A2">
              <w:rPr>
                <w:rFonts w:ascii="Times New Roman" w:eastAsia="Calibri" w:hAnsi="Times New Roman"/>
                <w:sz w:val="18"/>
                <w:szCs w:val="18"/>
              </w:rPr>
              <w:t>4,2</w:t>
            </w:r>
          </w:p>
        </w:tc>
        <w:tc>
          <w:tcPr>
            <w:tcW w:w="556" w:type="pct"/>
            <w:vAlign w:val="center"/>
          </w:tcPr>
          <w:p w14:paraId="634FF4B0" w14:textId="77777777" w:rsidR="005C6900" w:rsidRPr="00C531A2" w:rsidRDefault="005C6900" w:rsidP="00725D9F">
            <w:pPr>
              <w:jc w:val="center"/>
              <w:rPr>
                <w:rFonts w:ascii="Times New Roman" w:eastAsia="Calibri" w:hAnsi="Times New Roman"/>
                <w:sz w:val="18"/>
                <w:szCs w:val="18"/>
              </w:rPr>
            </w:pPr>
            <w:r w:rsidRPr="00C531A2">
              <w:rPr>
                <w:rFonts w:ascii="Times New Roman" w:eastAsia="Calibri" w:hAnsi="Times New Roman"/>
                <w:sz w:val="18"/>
                <w:szCs w:val="18"/>
              </w:rPr>
              <w:t>4,1</w:t>
            </w:r>
          </w:p>
        </w:tc>
        <w:tc>
          <w:tcPr>
            <w:tcW w:w="556" w:type="pct"/>
            <w:vAlign w:val="center"/>
          </w:tcPr>
          <w:p w14:paraId="0D6AEDAA" w14:textId="77777777" w:rsidR="005C6900" w:rsidRPr="00C531A2" w:rsidRDefault="005C6900" w:rsidP="00725D9F">
            <w:pPr>
              <w:jc w:val="center"/>
              <w:rPr>
                <w:rFonts w:ascii="Times New Roman" w:eastAsia="Calibri" w:hAnsi="Times New Roman"/>
                <w:sz w:val="18"/>
                <w:szCs w:val="18"/>
              </w:rPr>
            </w:pPr>
            <w:r w:rsidRPr="00C531A2">
              <w:rPr>
                <w:rFonts w:ascii="Times New Roman" w:eastAsia="Calibri" w:hAnsi="Times New Roman"/>
                <w:sz w:val="18"/>
                <w:szCs w:val="18"/>
              </w:rPr>
              <w:t>4,0</w:t>
            </w:r>
          </w:p>
        </w:tc>
        <w:tc>
          <w:tcPr>
            <w:tcW w:w="556" w:type="pct"/>
            <w:vAlign w:val="center"/>
          </w:tcPr>
          <w:p w14:paraId="5A2C518C" w14:textId="77777777" w:rsidR="005C6900" w:rsidRPr="00C531A2" w:rsidRDefault="005C6900" w:rsidP="00725D9F">
            <w:pPr>
              <w:jc w:val="center"/>
              <w:rPr>
                <w:rFonts w:ascii="Times New Roman" w:eastAsia="Calibri" w:hAnsi="Times New Roman"/>
                <w:sz w:val="18"/>
                <w:szCs w:val="18"/>
              </w:rPr>
            </w:pPr>
            <w:r w:rsidRPr="00C531A2">
              <w:rPr>
                <w:rFonts w:ascii="Times New Roman" w:eastAsia="Calibri" w:hAnsi="Times New Roman"/>
                <w:sz w:val="18"/>
                <w:szCs w:val="18"/>
              </w:rPr>
              <w:t>3,9</w:t>
            </w:r>
          </w:p>
        </w:tc>
      </w:tr>
      <w:tr w:rsidR="005C6900" w:rsidRPr="00C531A2" w14:paraId="6FFAC6C7" w14:textId="77777777" w:rsidTr="00725D9F">
        <w:trPr>
          <w:trHeight w:val="20"/>
        </w:trPr>
        <w:tc>
          <w:tcPr>
            <w:tcW w:w="2220" w:type="pct"/>
            <w:shd w:val="clear" w:color="auto" w:fill="E7E6E6"/>
          </w:tcPr>
          <w:p w14:paraId="70BE7378" w14:textId="77777777" w:rsidR="005C6900" w:rsidRPr="00C531A2" w:rsidRDefault="005C6900" w:rsidP="00725D9F">
            <w:pPr>
              <w:rPr>
                <w:rFonts w:ascii="Times New Roman" w:eastAsia="Calibri" w:hAnsi="Times New Roman"/>
                <w:sz w:val="18"/>
                <w:highlight w:val="yellow"/>
              </w:rPr>
            </w:pPr>
            <w:r w:rsidRPr="00C531A2">
              <w:rPr>
                <w:rFonts w:ascii="Times New Roman" w:eastAsia="Calibri" w:hAnsi="Times New Roman"/>
                <w:sz w:val="18"/>
              </w:rPr>
              <w:t>Потрошачке цене, просек периода, %</w:t>
            </w:r>
          </w:p>
        </w:tc>
        <w:tc>
          <w:tcPr>
            <w:tcW w:w="556" w:type="pct"/>
            <w:shd w:val="clear" w:color="auto" w:fill="E7E6E6"/>
          </w:tcPr>
          <w:p w14:paraId="5560C964" w14:textId="77777777" w:rsidR="005C6900" w:rsidRPr="00C531A2" w:rsidRDefault="005C6900" w:rsidP="00725D9F">
            <w:pPr>
              <w:rPr>
                <w:rFonts w:ascii="Times New Roman" w:eastAsia="Calibri" w:hAnsi="Times New Roman"/>
                <w:sz w:val="18"/>
                <w:szCs w:val="18"/>
                <w:highlight w:val="yellow"/>
              </w:rPr>
            </w:pPr>
          </w:p>
        </w:tc>
        <w:tc>
          <w:tcPr>
            <w:tcW w:w="556" w:type="pct"/>
            <w:shd w:val="clear" w:color="auto" w:fill="E7E6E6"/>
          </w:tcPr>
          <w:p w14:paraId="7D1AD279" w14:textId="77777777" w:rsidR="005C6900" w:rsidRPr="00C531A2" w:rsidRDefault="005C6900" w:rsidP="00725D9F">
            <w:pPr>
              <w:rPr>
                <w:rFonts w:ascii="Times New Roman" w:eastAsia="Calibri" w:hAnsi="Times New Roman"/>
                <w:sz w:val="18"/>
                <w:szCs w:val="18"/>
                <w:highlight w:val="yellow"/>
              </w:rPr>
            </w:pPr>
          </w:p>
        </w:tc>
        <w:tc>
          <w:tcPr>
            <w:tcW w:w="556" w:type="pct"/>
            <w:shd w:val="clear" w:color="auto" w:fill="E7E6E6"/>
          </w:tcPr>
          <w:p w14:paraId="0909614C" w14:textId="77777777" w:rsidR="005C6900" w:rsidRPr="00C531A2" w:rsidRDefault="005C6900" w:rsidP="00725D9F">
            <w:pPr>
              <w:rPr>
                <w:rFonts w:ascii="Times New Roman" w:eastAsia="Calibri" w:hAnsi="Times New Roman"/>
                <w:sz w:val="18"/>
                <w:szCs w:val="18"/>
                <w:highlight w:val="yellow"/>
              </w:rPr>
            </w:pPr>
          </w:p>
        </w:tc>
        <w:tc>
          <w:tcPr>
            <w:tcW w:w="556" w:type="pct"/>
            <w:shd w:val="clear" w:color="auto" w:fill="E7E6E6"/>
          </w:tcPr>
          <w:p w14:paraId="47E66578" w14:textId="77777777" w:rsidR="005C6900" w:rsidRPr="00C531A2" w:rsidRDefault="005C6900" w:rsidP="00725D9F">
            <w:pPr>
              <w:rPr>
                <w:rFonts w:ascii="Times New Roman" w:eastAsia="Calibri" w:hAnsi="Times New Roman"/>
                <w:sz w:val="18"/>
                <w:szCs w:val="18"/>
                <w:highlight w:val="yellow"/>
              </w:rPr>
            </w:pPr>
          </w:p>
        </w:tc>
        <w:tc>
          <w:tcPr>
            <w:tcW w:w="556" w:type="pct"/>
            <w:shd w:val="clear" w:color="auto" w:fill="E7E6E6"/>
          </w:tcPr>
          <w:p w14:paraId="6CCF83A8" w14:textId="77777777" w:rsidR="005C6900" w:rsidRPr="00C531A2" w:rsidRDefault="005C6900" w:rsidP="00725D9F">
            <w:pPr>
              <w:rPr>
                <w:rFonts w:ascii="Times New Roman" w:eastAsia="Calibri" w:hAnsi="Times New Roman"/>
                <w:sz w:val="18"/>
                <w:szCs w:val="18"/>
                <w:highlight w:val="yellow"/>
              </w:rPr>
            </w:pPr>
          </w:p>
        </w:tc>
      </w:tr>
      <w:tr w:rsidR="005C6900" w:rsidRPr="00C531A2" w14:paraId="5624F306" w14:textId="77777777" w:rsidTr="00725D9F">
        <w:trPr>
          <w:trHeight w:val="20"/>
        </w:trPr>
        <w:tc>
          <w:tcPr>
            <w:tcW w:w="2220" w:type="pct"/>
          </w:tcPr>
          <w:p w14:paraId="02A8BF27" w14:textId="77777777" w:rsidR="005C6900" w:rsidRPr="00C531A2" w:rsidRDefault="005C6900" w:rsidP="00725D9F">
            <w:pPr>
              <w:ind w:left="350" w:hanging="90"/>
              <w:rPr>
                <w:rFonts w:ascii="Times New Roman" w:eastAsia="Calibri" w:hAnsi="Times New Roman"/>
                <w:sz w:val="18"/>
              </w:rPr>
            </w:pPr>
            <w:r w:rsidRPr="00C531A2">
              <w:rPr>
                <w:rFonts w:ascii="Times New Roman" w:eastAsia="Calibri" w:hAnsi="Times New Roman"/>
                <w:sz w:val="18"/>
              </w:rPr>
              <w:t>Еврозона</w:t>
            </w:r>
          </w:p>
        </w:tc>
        <w:tc>
          <w:tcPr>
            <w:tcW w:w="556" w:type="pct"/>
            <w:vAlign w:val="center"/>
          </w:tcPr>
          <w:p w14:paraId="1EB9DC37" w14:textId="77777777" w:rsidR="005C6900" w:rsidRPr="00C531A2" w:rsidRDefault="005C6900" w:rsidP="00725D9F">
            <w:pPr>
              <w:jc w:val="center"/>
              <w:rPr>
                <w:rFonts w:ascii="Times New Roman" w:eastAsia="Calibri" w:hAnsi="Times New Roman"/>
                <w:sz w:val="18"/>
                <w:szCs w:val="18"/>
              </w:rPr>
            </w:pPr>
            <w:r w:rsidRPr="00C531A2">
              <w:rPr>
                <w:rFonts w:ascii="Times New Roman" w:hAnsi="Times New Roman"/>
                <w:sz w:val="18"/>
                <w:szCs w:val="18"/>
                <w:lang w:eastAsia="en-GB"/>
              </w:rPr>
              <w:t>2,4</w:t>
            </w:r>
          </w:p>
        </w:tc>
        <w:tc>
          <w:tcPr>
            <w:tcW w:w="556" w:type="pct"/>
            <w:vAlign w:val="center"/>
          </w:tcPr>
          <w:p w14:paraId="5B41E16E" w14:textId="77777777" w:rsidR="005C6900" w:rsidRPr="00C531A2" w:rsidRDefault="005C6900" w:rsidP="00725D9F">
            <w:pPr>
              <w:jc w:val="center"/>
              <w:rPr>
                <w:rFonts w:ascii="Times New Roman" w:eastAsia="Calibri" w:hAnsi="Times New Roman"/>
                <w:sz w:val="18"/>
                <w:szCs w:val="18"/>
              </w:rPr>
            </w:pPr>
            <w:r w:rsidRPr="00C531A2">
              <w:rPr>
                <w:rFonts w:ascii="Times New Roman" w:hAnsi="Times New Roman"/>
                <w:sz w:val="18"/>
                <w:szCs w:val="18"/>
                <w:lang w:eastAsia="en-GB"/>
              </w:rPr>
              <w:t>2,1</w:t>
            </w:r>
          </w:p>
        </w:tc>
        <w:tc>
          <w:tcPr>
            <w:tcW w:w="556" w:type="pct"/>
            <w:vAlign w:val="center"/>
          </w:tcPr>
          <w:p w14:paraId="09721354" w14:textId="77777777" w:rsidR="005C6900" w:rsidRPr="00C531A2" w:rsidRDefault="005C6900" w:rsidP="00725D9F">
            <w:pPr>
              <w:jc w:val="center"/>
              <w:rPr>
                <w:rFonts w:ascii="Times New Roman" w:eastAsia="Calibri" w:hAnsi="Times New Roman"/>
                <w:sz w:val="18"/>
                <w:szCs w:val="18"/>
              </w:rPr>
            </w:pPr>
            <w:r w:rsidRPr="00C531A2">
              <w:rPr>
                <w:rFonts w:ascii="Times New Roman" w:eastAsia="Calibri" w:hAnsi="Times New Roman"/>
                <w:sz w:val="18"/>
                <w:szCs w:val="18"/>
              </w:rPr>
              <w:t>1,9</w:t>
            </w:r>
          </w:p>
        </w:tc>
        <w:tc>
          <w:tcPr>
            <w:tcW w:w="556" w:type="pct"/>
            <w:vAlign w:val="center"/>
          </w:tcPr>
          <w:p w14:paraId="785C333C" w14:textId="77777777" w:rsidR="005C6900" w:rsidRPr="00C531A2" w:rsidRDefault="005C6900" w:rsidP="00725D9F">
            <w:pPr>
              <w:jc w:val="center"/>
              <w:rPr>
                <w:rFonts w:ascii="Times New Roman" w:eastAsia="Calibri" w:hAnsi="Times New Roman"/>
                <w:sz w:val="18"/>
                <w:szCs w:val="18"/>
              </w:rPr>
            </w:pPr>
            <w:r w:rsidRPr="00C531A2">
              <w:rPr>
                <w:rFonts w:ascii="Times New Roman" w:eastAsia="Calibri" w:hAnsi="Times New Roman"/>
                <w:sz w:val="18"/>
                <w:szCs w:val="18"/>
              </w:rPr>
              <w:t>2,1</w:t>
            </w:r>
          </w:p>
        </w:tc>
        <w:tc>
          <w:tcPr>
            <w:tcW w:w="556" w:type="pct"/>
            <w:vAlign w:val="center"/>
          </w:tcPr>
          <w:p w14:paraId="04268E12" w14:textId="77777777" w:rsidR="005C6900" w:rsidRPr="00C531A2" w:rsidRDefault="005C6900" w:rsidP="00725D9F">
            <w:pPr>
              <w:jc w:val="center"/>
              <w:rPr>
                <w:rFonts w:ascii="Times New Roman" w:eastAsia="Calibri" w:hAnsi="Times New Roman"/>
                <w:sz w:val="18"/>
                <w:szCs w:val="18"/>
              </w:rPr>
            </w:pPr>
            <w:r w:rsidRPr="00C531A2">
              <w:rPr>
                <w:rFonts w:ascii="Times New Roman" w:eastAsia="Calibri" w:hAnsi="Times New Roman"/>
                <w:sz w:val="18"/>
                <w:szCs w:val="18"/>
              </w:rPr>
              <w:t>2,0</w:t>
            </w:r>
          </w:p>
        </w:tc>
      </w:tr>
      <w:tr w:rsidR="005C6900" w:rsidRPr="00C531A2" w14:paraId="4B6506F6" w14:textId="77777777" w:rsidTr="00725D9F">
        <w:trPr>
          <w:trHeight w:val="20"/>
        </w:trPr>
        <w:tc>
          <w:tcPr>
            <w:tcW w:w="2220" w:type="pct"/>
          </w:tcPr>
          <w:p w14:paraId="628C06A4" w14:textId="77777777" w:rsidR="005C6900" w:rsidRPr="00C531A2" w:rsidRDefault="005C6900" w:rsidP="00725D9F">
            <w:pPr>
              <w:ind w:left="350" w:hanging="90"/>
              <w:rPr>
                <w:rFonts w:ascii="Times New Roman" w:eastAsia="Calibri" w:hAnsi="Times New Roman"/>
                <w:sz w:val="18"/>
              </w:rPr>
            </w:pPr>
            <w:r w:rsidRPr="00C531A2">
              <w:rPr>
                <w:rFonts w:ascii="Times New Roman" w:eastAsia="Calibri" w:hAnsi="Times New Roman"/>
                <w:sz w:val="18"/>
              </w:rPr>
              <w:t>Развијене економије</w:t>
            </w:r>
          </w:p>
        </w:tc>
        <w:tc>
          <w:tcPr>
            <w:tcW w:w="556" w:type="pct"/>
            <w:vAlign w:val="center"/>
          </w:tcPr>
          <w:p w14:paraId="30E7BD23" w14:textId="77777777" w:rsidR="005C6900" w:rsidRPr="00C531A2" w:rsidRDefault="005C6900" w:rsidP="00725D9F">
            <w:pPr>
              <w:jc w:val="center"/>
              <w:rPr>
                <w:rFonts w:ascii="Times New Roman" w:eastAsia="Calibri" w:hAnsi="Times New Roman"/>
                <w:sz w:val="18"/>
                <w:szCs w:val="18"/>
              </w:rPr>
            </w:pPr>
            <w:r w:rsidRPr="00C531A2">
              <w:rPr>
                <w:rFonts w:ascii="Times New Roman" w:hAnsi="Times New Roman"/>
                <w:sz w:val="18"/>
                <w:szCs w:val="18"/>
                <w:lang w:eastAsia="en-GB"/>
              </w:rPr>
              <w:t>2,6</w:t>
            </w:r>
          </w:p>
        </w:tc>
        <w:tc>
          <w:tcPr>
            <w:tcW w:w="556" w:type="pct"/>
            <w:vAlign w:val="center"/>
          </w:tcPr>
          <w:p w14:paraId="454FAF59" w14:textId="77777777" w:rsidR="005C6900" w:rsidRPr="00C531A2" w:rsidRDefault="005C6900" w:rsidP="00725D9F">
            <w:pPr>
              <w:jc w:val="center"/>
              <w:rPr>
                <w:rFonts w:ascii="Times New Roman" w:eastAsia="Calibri" w:hAnsi="Times New Roman"/>
                <w:sz w:val="18"/>
                <w:szCs w:val="18"/>
              </w:rPr>
            </w:pPr>
            <w:r w:rsidRPr="00C531A2">
              <w:rPr>
                <w:rFonts w:ascii="Times New Roman" w:hAnsi="Times New Roman"/>
                <w:sz w:val="18"/>
                <w:szCs w:val="18"/>
                <w:lang w:eastAsia="en-GB"/>
              </w:rPr>
              <w:t>2,5</w:t>
            </w:r>
          </w:p>
        </w:tc>
        <w:tc>
          <w:tcPr>
            <w:tcW w:w="556" w:type="pct"/>
            <w:vAlign w:val="center"/>
          </w:tcPr>
          <w:p w14:paraId="1D06B5B0" w14:textId="77777777" w:rsidR="005C6900" w:rsidRPr="00C531A2" w:rsidRDefault="005C6900" w:rsidP="00725D9F">
            <w:pPr>
              <w:jc w:val="center"/>
              <w:rPr>
                <w:rFonts w:ascii="Times New Roman" w:eastAsia="Calibri" w:hAnsi="Times New Roman"/>
                <w:sz w:val="18"/>
                <w:szCs w:val="18"/>
              </w:rPr>
            </w:pPr>
            <w:r w:rsidRPr="00C531A2">
              <w:rPr>
                <w:rFonts w:ascii="Times New Roman" w:eastAsia="Calibri" w:hAnsi="Times New Roman"/>
                <w:sz w:val="18"/>
                <w:szCs w:val="18"/>
              </w:rPr>
              <w:t>2,2</w:t>
            </w:r>
          </w:p>
        </w:tc>
        <w:tc>
          <w:tcPr>
            <w:tcW w:w="556" w:type="pct"/>
            <w:vAlign w:val="center"/>
          </w:tcPr>
          <w:p w14:paraId="2574D7F0" w14:textId="77777777" w:rsidR="005C6900" w:rsidRPr="00C531A2" w:rsidRDefault="005C6900" w:rsidP="00725D9F">
            <w:pPr>
              <w:jc w:val="center"/>
              <w:rPr>
                <w:rFonts w:ascii="Times New Roman" w:eastAsia="Calibri" w:hAnsi="Times New Roman"/>
                <w:sz w:val="18"/>
                <w:szCs w:val="18"/>
              </w:rPr>
            </w:pPr>
            <w:r w:rsidRPr="00C531A2">
              <w:rPr>
                <w:rFonts w:ascii="Times New Roman" w:eastAsia="Calibri" w:hAnsi="Times New Roman"/>
                <w:sz w:val="18"/>
                <w:szCs w:val="18"/>
              </w:rPr>
              <w:t>2,1</w:t>
            </w:r>
          </w:p>
        </w:tc>
        <w:tc>
          <w:tcPr>
            <w:tcW w:w="556" w:type="pct"/>
            <w:vAlign w:val="center"/>
          </w:tcPr>
          <w:p w14:paraId="0E8CD21B" w14:textId="77777777" w:rsidR="005C6900" w:rsidRPr="00C531A2" w:rsidRDefault="005C6900" w:rsidP="00725D9F">
            <w:pPr>
              <w:jc w:val="center"/>
              <w:rPr>
                <w:rFonts w:ascii="Times New Roman" w:eastAsia="Calibri" w:hAnsi="Times New Roman"/>
                <w:sz w:val="18"/>
                <w:szCs w:val="18"/>
              </w:rPr>
            </w:pPr>
            <w:r w:rsidRPr="00C531A2">
              <w:rPr>
                <w:rFonts w:ascii="Times New Roman" w:eastAsia="Calibri" w:hAnsi="Times New Roman"/>
                <w:sz w:val="18"/>
                <w:szCs w:val="18"/>
              </w:rPr>
              <w:t>2,1</w:t>
            </w:r>
          </w:p>
        </w:tc>
      </w:tr>
      <w:tr w:rsidR="005C6900" w:rsidRPr="00C531A2" w14:paraId="5F80094C" w14:textId="77777777" w:rsidTr="00725D9F">
        <w:trPr>
          <w:trHeight w:val="20"/>
        </w:trPr>
        <w:tc>
          <w:tcPr>
            <w:tcW w:w="2220" w:type="pct"/>
          </w:tcPr>
          <w:p w14:paraId="7DC8EB32" w14:textId="77777777" w:rsidR="005C6900" w:rsidRPr="00C531A2" w:rsidRDefault="005C6900" w:rsidP="00725D9F">
            <w:pPr>
              <w:ind w:left="350" w:hanging="90"/>
              <w:rPr>
                <w:rFonts w:ascii="Times New Roman" w:eastAsia="Calibri" w:hAnsi="Times New Roman"/>
                <w:sz w:val="18"/>
              </w:rPr>
            </w:pPr>
            <w:r w:rsidRPr="00C531A2">
              <w:rPr>
                <w:rFonts w:ascii="Times New Roman" w:eastAsia="Calibri" w:hAnsi="Times New Roman"/>
                <w:sz w:val="18"/>
              </w:rPr>
              <w:t>Земље у успону</w:t>
            </w:r>
          </w:p>
        </w:tc>
        <w:tc>
          <w:tcPr>
            <w:tcW w:w="556" w:type="pct"/>
            <w:vAlign w:val="center"/>
          </w:tcPr>
          <w:p w14:paraId="1FF3E995" w14:textId="77777777" w:rsidR="005C6900" w:rsidRPr="00C531A2" w:rsidRDefault="005C6900" w:rsidP="00725D9F">
            <w:pPr>
              <w:jc w:val="center"/>
              <w:rPr>
                <w:rFonts w:ascii="Times New Roman" w:eastAsia="Calibri" w:hAnsi="Times New Roman"/>
                <w:sz w:val="18"/>
                <w:szCs w:val="18"/>
              </w:rPr>
            </w:pPr>
            <w:r w:rsidRPr="00C531A2">
              <w:rPr>
                <w:rFonts w:ascii="Times New Roman" w:hAnsi="Times New Roman"/>
                <w:sz w:val="18"/>
                <w:szCs w:val="18"/>
                <w:lang w:eastAsia="en-GB"/>
              </w:rPr>
              <w:t>7,9</w:t>
            </w:r>
          </w:p>
        </w:tc>
        <w:tc>
          <w:tcPr>
            <w:tcW w:w="556" w:type="pct"/>
            <w:vAlign w:val="center"/>
          </w:tcPr>
          <w:p w14:paraId="6B54BBE3" w14:textId="77777777" w:rsidR="005C6900" w:rsidRPr="00C531A2" w:rsidRDefault="005C6900" w:rsidP="00725D9F">
            <w:pPr>
              <w:jc w:val="center"/>
              <w:rPr>
                <w:rFonts w:ascii="Times New Roman" w:eastAsia="Calibri" w:hAnsi="Times New Roman"/>
                <w:sz w:val="18"/>
                <w:szCs w:val="18"/>
              </w:rPr>
            </w:pPr>
            <w:r w:rsidRPr="00C531A2">
              <w:rPr>
                <w:rFonts w:ascii="Times New Roman" w:hAnsi="Times New Roman"/>
                <w:sz w:val="18"/>
                <w:szCs w:val="18"/>
                <w:lang w:eastAsia="en-GB"/>
              </w:rPr>
              <w:t>5,3</w:t>
            </w:r>
          </w:p>
        </w:tc>
        <w:tc>
          <w:tcPr>
            <w:tcW w:w="556" w:type="pct"/>
            <w:vAlign w:val="center"/>
          </w:tcPr>
          <w:p w14:paraId="2CB8ED99" w14:textId="77777777" w:rsidR="005C6900" w:rsidRPr="00C531A2" w:rsidRDefault="005C6900" w:rsidP="00725D9F">
            <w:pPr>
              <w:jc w:val="center"/>
              <w:rPr>
                <w:rFonts w:ascii="Times New Roman" w:eastAsia="Calibri" w:hAnsi="Times New Roman"/>
                <w:sz w:val="18"/>
                <w:szCs w:val="18"/>
              </w:rPr>
            </w:pPr>
            <w:r w:rsidRPr="00C531A2">
              <w:rPr>
                <w:rFonts w:ascii="Times New Roman" w:eastAsia="Calibri" w:hAnsi="Times New Roman"/>
                <w:sz w:val="18"/>
                <w:szCs w:val="18"/>
              </w:rPr>
              <w:t>4,7</w:t>
            </w:r>
          </w:p>
        </w:tc>
        <w:tc>
          <w:tcPr>
            <w:tcW w:w="556" w:type="pct"/>
            <w:vAlign w:val="center"/>
          </w:tcPr>
          <w:p w14:paraId="4D7FE36B" w14:textId="77777777" w:rsidR="005C6900" w:rsidRPr="00C531A2" w:rsidRDefault="005C6900" w:rsidP="00725D9F">
            <w:pPr>
              <w:jc w:val="center"/>
              <w:rPr>
                <w:rFonts w:ascii="Times New Roman" w:eastAsia="Calibri" w:hAnsi="Times New Roman"/>
                <w:sz w:val="18"/>
                <w:szCs w:val="18"/>
              </w:rPr>
            </w:pPr>
            <w:r w:rsidRPr="00C531A2">
              <w:rPr>
                <w:rFonts w:ascii="Times New Roman" w:eastAsia="Calibri" w:hAnsi="Times New Roman"/>
                <w:sz w:val="18"/>
                <w:szCs w:val="18"/>
              </w:rPr>
              <w:t>4,2</w:t>
            </w:r>
          </w:p>
        </w:tc>
        <w:tc>
          <w:tcPr>
            <w:tcW w:w="556" w:type="pct"/>
            <w:vAlign w:val="center"/>
          </w:tcPr>
          <w:p w14:paraId="3E445BBC" w14:textId="77777777" w:rsidR="005C6900" w:rsidRPr="00C531A2" w:rsidRDefault="005C6900" w:rsidP="00725D9F">
            <w:pPr>
              <w:jc w:val="center"/>
              <w:rPr>
                <w:rFonts w:ascii="Times New Roman" w:eastAsia="Calibri" w:hAnsi="Times New Roman"/>
                <w:sz w:val="18"/>
                <w:szCs w:val="18"/>
              </w:rPr>
            </w:pPr>
            <w:r w:rsidRPr="00C531A2">
              <w:rPr>
                <w:rFonts w:ascii="Times New Roman" w:eastAsia="Calibri" w:hAnsi="Times New Roman"/>
                <w:sz w:val="18"/>
                <w:szCs w:val="18"/>
              </w:rPr>
              <w:t>4,1</w:t>
            </w:r>
          </w:p>
        </w:tc>
      </w:tr>
      <w:tr w:rsidR="005C6900" w:rsidRPr="00C531A2" w14:paraId="0ECAFC6E" w14:textId="77777777" w:rsidTr="00725D9F">
        <w:trPr>
          <w:trHeight w:val="20"/>
        </w:trPr>
        <w:tc>
          <w:tcPr>
            <w:tcW w:w="2220" w:type="pct"/>
          </w:tcPr>
          <w:p w14:paraId="4DF185D2" w14:textId="77777777" w:rsidR="005C6900" w:rsidRPr="00C531A2" w:rsidRDefault="005C6900" w:rsidP="00725D9F">
            <w:pPr>
              <w:rPr>
                <w:rFonts w:ascii="Times New Roman" w:eastAsia="Calibri" w:hAnsi="Times New Roman"/>
                <w:color w:val="FF0000"/>
                <w:sz w:val="18"/>
                <w:highlight w:val="yellow"/>
              </w:rPr>
            </w:pPr>
          </w:p>
        </w:tc>
        <w:tc>
          <w:tcPr>
            <w:tcW w:w="556" w:type="pct"/>
            <w:vAlign w:val="center"/>
          </w:tcPr>
          <w:p w14:paraId="45A7A1A1" w14:textId="77777777" w:rsidR="005C6900" w:rsidRPr="00C531A2" w:rsidRDefault="005C6900" w:rsidP="00725D9F">
            <w:pPr>
              <w:rPr>
                <w:rFonts w:ascii="Times New Roman" w:eastAsia="Calibri" w:hAnsi="Times New Roman"/>
                <w:color w:val="FF0000"/>
                <w:sz w:val="18"/>
                <w:szCs w:val="18"/>
                <w:highlight w:val="yellow"/>
              </w:rPr>
            </w:pPr>
          </w:p>
        </w:tc>
        <w:tc>
          <w:tcPr>
            <w:tcW w:w="556" w:type="pct"/>
            <w:vAlign w:val="center"/>
          </w:tcPr>
          <w:p w14:paraId="4AF07D3F" w14:textId="77777777" w:rsidR="005C6900" w:rsidRPr="00C531A2" w:rsidRDefault="005C6900" w:rsidP="00725D9F">
            <w:pPr>
              <w:rPr>
                <w:rFonts w:ascii="Times New Roman" w:eastAsia="Calibri" w:hAnsi="Times New Roman"/>
                <w:color w:val="FF0000"/>
                <w:sz w:val="18"/>
                <w:szCs w:val="18"/>
                <w:highlight w:val="yellow"/>
              </w:rPr>
            </w:pPr>
          </w:p>
        </w:tc>
        <w:tc>
          <w:tcPr>
            <w:tcW w:w="556" w:type="pct"/>
            <w:vAlign w:val="center"/>
          </w:tcPr>
          <w:p w14:paraId="0701B8F9" w14:textId="77777777" w:rsidR="005C6900" w:rsidRPr="00C531A2" w:rsidRDefault="005C6900" w:rsidP="00725D9F">
            <w:pPr>
              <w:rPr>
                <w:rFonts w:ascii="Times New Roman" w:eastAsia="Calibri" w:hAnsi="Times New Roman"/>
                <w:color w:val="FF0000"/>
                <w:sz w:val="18"/>
                <w:szCs w:val="18"/>
                <w:highlight w:val="yellow"/>
              </w:rPr>
            </w:pPr>
          </w:p>
        </w:tc>
        <w:tc>
          <w:tcPr>
            <w:tcW w:w="556" w:type="pct"/>
            <w:vAlign w:val="center"/>
          </w:tcPr>
          <w:p w14:paraId="6821EF30" w14:textId="77777777" w:rsidR="005C6900" w:rsidRPr="00C531A2" w:rsidRDefault="005C6900" w:rsidP="00725D9F">
            <w:pPr>
              <w:rPr>
                <w:rFonts w:ascii="Times New Roman" w:eastAsia="Calibri" w:hAnsi="Times New Roman"/>
                <w:color w:val="FF0000"/>
                <w:sz w:val="18"/>
                <w:szCs w:val="18"/>
                <w:highlight w:val="yellow"/>
              </w:rPr>
            </w:pPr>
          </w:p>
        </w:tc>
        <w:tc>
          <w:tcPr>
            <w:tcW w:w="556" w:type="pct"/>
            <w:vAlign w:val="center"/>
          </w:tcPr>
          <w:p w14:paraId="78E1F042" w14:textId="77777777" w:rsidR="005C6900" w:rsidRPr="00C531A2" w:rsidRDefault="005C6900" w:rsidP="00725D9F">
            <w:pPr>
              <w:rPr>
                <w:rFonts w:ascii="Times New Roman" w:eastAsia="Calibri" w:hAnsi="Times New Roman"/>
                <w:color w:val="FF0000"/>
                <w:sz w:val="18"/>
                <w:szCs w:val="18"/>
                <w:highlight w:val="yellow"/>
              </w:rPr>
            </w:pPr>
          </w:p>
        </w:tc>
      </w:tr>
      <w:tr w:rsidR="005C6900" w:rsidRPr="00C531A2" w14:paraId="34936704" w14:textId="77777777" w:rsidTr="00725D9F">
        <w:trPr>
          <w:trHeight w:val="20"/>
        </w:trPr>
        <w:tc>
          <w:tcPr>
            <w:tcW w:w="2220" w:type="pct"/>
          </w:tcPr>
          <w:p w14:paraId="1C42C388" w14:textId="77777777" w:rsidR="005C6900" w:rsidRPr="00C531A2" w:rsidRDefault="005C6900" w:rsidP="00725D9F">
            <w:pPr>
              <w:rPr>
                <w:rFonts w:ascii="Times New Roman" w:eastAsia="Calibri" w:hAnsi="Times New Roman"/>
                <w:sz w:val="18"/>
              </w:rPr>
            </w:pPr>
            <w:r w:rsidRPr="00C531A2">
              <w:rPr>
                <w:rFonts w:ascii="Times New Roman" w:eastAsia="Calibri" w:hAnsi="Times New Roman"/>
                <w:sz w:val="18"/>
              </w:rPr>
              <w:t>Девизни курс, евро/долар, крај периода</w:t>
            </w:r>
          </w:p>
        </w:tc>
        <w:tc>
          <w:tcPr>
            <w:tcW w:w="556" w:type="pct"/>
            <w:vAlign w:val="center"/>
          </w:tcPr>
          <w:p w14:paraId="4853FB64" w14:textId="77777777" w:rsidR="005C6900" w:rsidRPr="00C531A2" w:rsidRDefault="005C6900" w:rsidP="00725D9F">
            <w:pPr>
              <w:jc w:val="center"/>
              <w:rPr>
                <w:rFonts w:ascii="Times New Roman" w:eastAsia="Calibri" w:hAnsi="Times New Roman"/>
                <w:sz w:val="18"/>
                <w:szCs w:val="18"/>
              </w:rPr>
            </w:pPr>
            <w:r w:rsidRPr="00C531A2">
              <w:rPr>
                <w:rFonts w:ascii="Times New Roman" w:eastAsia="Calibri" w:hAnsi="Times New Roman"/>
                <w:sz w:val="18"/>
                <w:szCs w:val="18"/>
              </w:rPr>
              <w:t>1,1</w:t>
            </w:r>
          </w:p>
        </w:tc>
        <w:tc>
          <w:tcPr>
            <w:tcW w:w="556" w:type="pct"/>
            <w:vAlign w:val="center"/>
          </w:tcPr>
          <w:p w14:paraId="58E01400" w14:textId="77777777" w:rsidR="005C6900" w:rsidRPr="00C531A2" w:rsidRDefault="005C6900" w:rsidP="00725D9F">
            <w:pPr>
              <w:jc w:val="center"/>
              <w:rPr>
                <w:rFonts w:ascii="Times New Roman" w:eastAsia="Calibri" w:hAnsi="Times New Roman"/>
                <w:sz w:val="18"/>
                <w:szCs w:val="18"/>
              </w:rPr>
            </w:pPr>
            <w:r w:rsidRPr="00C531A2">
              <w:rPr>
                <w:rFonts w:ascii="Times New Roman" w:eastAsia="Calibri" w:hAnsi="Times New Roman"/>
                <w:sz w:val="18"/>
                <w:szCs w:val="18"/>
              </w:rPr>
              <w:t>1,1</w:t>
            </w:r>
          </w:p>
        </w:tc>
        <w:tc>
          <w:tcPr>
            <w:tcW w:w="556" w:type="pct"/>
            <w:vAlign w:val="center"/>
          </w:tcPr>
          <w:p w14:paraId="276C3AB0" w14:textId="77777777" w:rsidR="005C6900" w:rsidRPr="00C531A2" w:rsidRDefault="005C6900" w:rsidP="00725D9F">
            <w:pPr>
              <w:jc w:val="center"/>
              <w:rPr>
                <w:rFonts w:ascii="Times New Roman" w:eastAsia="Calibri" w:hAnsi="Times New Roman"/>
                <w:sz w:val="18"/>
                <w:szCs w:val="18"/>
              </w:rPr>
            </w:pPr>
            <w:r w:rsidRPr="00C531A2">
              <w:rPr>
                <w:rFonts w:ascii="Times New Roman" w:eastAsia="Calibri" w:hAnsi="Times New Roman"/>
                <w:sz w:val="18"/>
                <w:szCs w:val="18"/>
              </w:rPr>
              <w:t>1,2</w:t>
            </w:r>
          </w:p>
        </w:tc>
        <w:tc>
          <w:tcPr>
            <w:tcW w:w="556" w:type="pct"/>
            <w:vAlign w:val="center"/>
          </w:tcPr>
          <w:p w14:paraId="7E1440FC" w14:textId="77777777" w:rsidR="005C6900" w:rsidRPr="00C531A2" w:rsidRDefault="005C6900" w:rsidP="00725D9F">
            <w:pPr>
              <w:jc w:val="center"/>
              <w:rPr>
                <w:rFonts w:ascii="Times New Roman" w:eastAsia="Calibri" w:hAnsi="Times New Roman"/>
                <w:sz w:val="18"/>
                <w:szCs w:val="18"/>
              </w:rPr>
            </w:pPr>
            <w:r w:rsidRPr="00C531A2">
              <w:rPr>
                <w:rFonts w:ascii="Times New Roman" w:eastAsia="Calibri" w:hAnsi="Times New Roman"/>
                <w:sz w:val="18"/>
                <w:szCs w:val="18"/>
              </w:rPr>
              <w:t>-</w:t>
            </w:r>
          </w:p>
        </w:tc>
        <w:tc>
          <w:tcPr>
            <w:tcW w:w="556" w:type="pct"/>
            <w:vAlign w:val="center"/>
          </w:tcPr>
          <w:p w14:paraId="6A0DF596" w14:textId="77777777" w:rsidR="005C6900" w:rsidRPr="00C531A2" w:rsidRDefault="005C6900" w:rsidP="00725D9F">
            <w:pPr>
              <w:jc w:val="center"/>
              <w:rPr>
                <w:rFonts w:ascii="Times New Roman" w:eastAsia="Calibri" w:hAnsi="Times New Roman"/>
                <w:sz w:val="18"/>
                <w:szCs w:val="18"/>
              </w:rPr>
            </w:pPr>
            <w:r w:rsidRPr="00C531A2">
              <w:rPr>
                <w:rFonts w:ascii="Times New Roman" w:eastAsia="Calibri" w:hAnsi="Times New Roman"/>
                <w:sz w:val="18"/>
                <w:szCs w:val="18"/>
              </w:rPr>
              <w:t>-</w:t>
            </w:r>
          </w:p>
        </w:tc>
      </w:tr>
      <w:tr w:rsidR="005C6900" w:rsidRPr="00C531A2" w14:paraId="1B4ED23C" w14:textId="77777777" w:rsidTr="00725D9F">
        <w:trPr>
          <w:trHeight w:val="20"/>
        </w:trPr>
        <w:tc>
          <w:tcPr>
            <w:tcW w:w="2220" w:type="pct"/>
          </w:tcPr>
          <w:p w14:paraId="15E3D108" w14:textId="77777777" w:rsidR="005C6900" w:rsidRPr="00C531A2" w:rsidRDefault="005C6900" w:rsidP="00725D9F">
            <w:pPr>
              <w:rPr>
                <w:rFonts w:ascii="Times New Roman" w:eastAsia="Calibri" w:hAnsi="Times New Roman"/>
                <w:sz w:val="18"/>
              </w:rPr>
            </w:pPr>
            <w:r w:rsidRPr="00C531A2">
              <w:rPr>
                <w:rFonts w:ascii="Times New Roman" w:eastAsia="Calibri" w:hAnsi="Times New Roman"/>
                <w:sz w:val="18"/>
              </w:rPr>
              <w:t>Цене житарица, у доларима, годишње промене</w:t>
            </w:r>
            <w:r w:rsidRPr="00C531A2">
              <w:rPr>
                <w:rFonts w:ascii="Times New Roman" w:eastAsia="Calibri" w:hAnsi="Times New Roman"/>
                <w:sz w:val="18"/>
                <w:vertAlign w:val="superscript"/>
              </w:rPr>
              <w:t>2</w:t>
            </w:r>
          </w:p>
        </w:tc>
        <w:tc>
          <w:tcPr>
            <w:tcW w:w="556" w:type="pct"/>
            <w:vAlign w:val="center"/>
          </w:tcPr>
          <w:p w14:paraId="5FD6EBCF" w14:textId="77777777" w:rsidR="005C6900" w:rsidRPr="00C531A2" w:rsidRDefault="005C6900" w:rsidP="00725D9F">
            <w:pPr>
              <w:jc w:val="center"/>
              <w:rPr>
                <w:rFonts w:ascii="Times New Roman" w:hAnsi="Times New Roman"/>
                <w:sz w:val="18"/>
                <w:szCs w:val="18"/>
                <w:lang w:eastAsia="en-GB"/>
              </w:rPr>
            </w:pPr>
            <w:r w:rsidRPr="00C531A2">
              <w:rPr>
                <w:rFonts w:ascii="Times New Roman" w:hAnsi="Times New Roman"/>
                <w:sz w:val="18"/>
                <w:szCs w:val="18"/>
                <w:lang w:eastAsia="en-GB"/>
              </w:rPr>
              <w:t>-20,1</w:t>
            </w:r>
          </w:p>
        </w:tc>
        <w:tc>
          <w:tcPr>
            <w:tcW w:w="556" w:type="pct"/>
            <w:vAlign w:val="center"/>
          </w:tcPr>
          <w:p w14:paraId="53213E1D" w14:textId="77777777" w:rsidR="005C6900" w:rsidRPr="00C531A2" w:rsidRDefault="005C6900" w:rsidP="00725D9F">
            <w:pPr>
              <w:jc w:val="center"/>
              <w:rPr>
                <w:rFonts w:ascii="Times New Roman" w:hAnsi="Times New Roman"/>
                <w:sz w:val="18"/>
                <w:szCs w:val="18"/>
                <w:lang w:eastAsia="en-GB"/>
              </w:rPr>
            </w:pPr>
            <w:r w:rsidRPr="00C531A2">
              <w:rPr>
                <w:rFonts w:ascii="Times New Roman" w:hAnsi="Times New Roman"/>
                <w:sz w:val="18"/>
                <w:szCs w:val="18"/>
                <w:lang w:eastAsia="en-GB"/>
              </w:rPr>
              <w:t>-9,1</w:t>
            </w:r>
          </w:p>
        </w:tc>
        <w:tc>
          <w:tcPr>
            <w:tcW w:w="556" w:type="pct"/>
            <w:vAlign w:val="center"/>
          </w:tcPr>
          <w:p w14:paraId="3D58B72D" w14:textId="77777777" w:rsidR="005C6900" w:rsidRPr="00C531A2" w:rsidRDefault="005C6900" w:rsidP="00725D9F">
            <w:pPr>
              <w:jc w:val="center"/>
              <w:rPr>
                <w:rFonts w:ascii="Times New Roman" w:hAnsi="Times New Roman"/>
                <w:sz w:val="18"/>
                <w:szCs w:val="18"/>
                <w:lang w:eastAsia="en-GB"/>
              </w:rPr>
            </w:pPr>
            <w:r w:rsidRPr="00C531A2">
              <w:rPr>
                <w:rFonts w:ascii="Times New Roman" w:hAnsi="Times New Roman"/>
                <w:sz w:val="18"/>
                <w:szCs w:val="18"/>
                <w:lang w:eastAsia="en-GB"/>
              </w:rPr>
              <w:t>6,5</w:t>
            </w:r>
          </w:p>
        </w:tc>
        <w:tc>
          <w:tcPr>
            <w:tcW w:w="556" w:type="pct"/>
            <w:vAlign w:val="center"/>
          </w:tcPr>
          <w:p w14:paraId="0F780E9F" w14:textId="77777777" w:rsidR="005C6900" w:rsidRPr="00C531A2" w:rsidRDefault="005C6900" w:rsidP="00725D9F">
            <w:pPr>
              <w:jc w:val="center"/>
              <w:rPr>
                <w:rFonts w:ascii="Times New Roman" w:hAnsi="Times New Roman"/>
                <w:sz w:val="18"/>
                <w:szCs w:val="18"/>
                <w:lang w:eastAsia="en-GB"/>
              </w:rPr>
            </w:pPr>
            <w:r w:rsidRPr="00C531A2">
              <w:rPr>
                <w:rFonts w:ascii="Times New Roman" w:hAnsi="Times New Roman"/>
                <w:sz w:val="18"/>
                <w:szCs w:val="18"/>
                <w:lang w:eastAsia="en-GB"/>
              </w:rPr>
              <w:t>5,7</w:t>
            </w:r>
          </w:p>
        </w:tc>
        <w:tc>
          <w:tcPr>
            <w:tcW w:w="556" w:type="pct"/>
            <w:vAlign w:val="center"/>
          </w:tcPr>
          <w:p w14:paraId="0BD59200" w14:textId="77777777" w:rsidR="005C6900" w:rsidRPr="00C531A2" w:rsidRDefault="005C6900" w:rsidP="00725D9F">
            <w:pPr>
              <w:jc w:val="center"/>
              <w:rPr>
                <w:rFonts w:ascii="Times New Roman" w:hAnsi="Times New Roman"/>
                <w:sz w:val="18"/>
                <w:szCs w:val="18"/>
                <w:lang w:eastAsia="en-GB"/>
              </w:rPr>
            </w:pPr>
            <w:r w:rsidRPr="00C531A2">
              <w:rPr>
                <w:rFonts w:ascii="Times New Roman" w:hAnsi="Times New Roman"/>
                <w:sz w:val="18"/>
                <w:szCs w:val="18"/>
                <w:lang w:eastAsia="en-GB"/>
              </w:rPr>
              <w:t>1,8</w:t>
            </w:r>
          </w:p>
        </w:tc>
      </w:tr>
      <w:tr w:rsidR="005C6900" w:rsidRPr="00C531A2" w14:paraId="6620CA50" w14:textId="77777777" w:rsidTr="00725D9F">
        <w:trPr>
          <w:trHeight w:val="20"/>
        </w:trPr>
        <w:tc>
          <w:tcPr>
            <w:tcW w:w="2220" w:type="pct"/>
          </w:tcPr>
          <w:p w14:paraId="39E3FF2B" w14:textId="77777777" w:rsidR="005C6900" w:rsidRPr="00C531A2" w:rsidRDefault="005C6900" w:rsidP="00725D9F">
            <w:pPr>
              <w:rPr>
                <w:rFonts w:ascii="Times New Roman" w:eastAsia="Calibri" w:hAnsi="Times New Roman"/>
                <w:sz w:val="18"/>
              </w:rPr>
            </w:pPr>
            <w:r w:rsidRPr="00C531A2">
              <w:rPr>
                <w:rFonts w:ascii="Times New Roman" w:eastAsia="Calibri" w:hAnsi="Times New Roman"/>
                <w:sz w:val="18"/>
              </w:rPr>
              <w:t>Цене метала, годишње промене</w:t>
            </w:r>
            <w:r w:rsidRPr="00C531A2">
              <w:rPr>
                <w:rFonts w:ascii="Times New Roman" w:eastAsia="Calibri" w:hAnsi="Times New Roman"/>
                <w:sz w:val="18"/>
                <w:vertAlign w:val="superscript"/>
              </w:rPr>
              <w:t>3</w:t>
            </w:r>
          </w:p>
        </w:tc>
        <w:tc>
          <w:tcPr>
            <w:tcW w:w="556" w:type="pct"/>
            <w:vAlign w:val="center"/>
          </w:tcPr>
          <w:p w14:paraId="7AC0F760" w14:textId="77777777" w:rsidR="005C6900" w:rsidRPr="00C531A2" w:rsidRDefault="005C6900" w:rsidP="00725D9F">
            <w:pPr>
              <w:jc w:val="center"/>
              <w:rPr>
                <w:rFonts w:ascii="Times New Roman" w:hAnsi="Times New Roman"/>
                <w:sz w:val="18"/>
                <w:szCs w:val="18"/>
                <w:lang w:eastAsia="en-GB"/>
              </w:rPr>
            </w:pPr>
            <w:r w:rsidRPr="00C531A2">
              <w:rPr>
                <w:rFonts w:ascii="Times New Roman" w:hAnsi="Times New Roman"/>
                <w:sz w:val="18"/>
                <w:szCs w:val="18"/>
                <w:lang w:eastAsia="en-GB"/>
              </w:rPr>
              <w:t>-1,9</w:t>
            </w:r>
          </w:p>
        </w:tc>
        <w:tc>
          <w:tcPr>
            <w:tcW w:w="556" w:type="pct"/>
            <w:vAlign w:val="center"/>
          </w:tcPr>
          <w:p w14:paraId="57DF0726" w14:textId="77777777" w:rsidR="005C6900" w:rsidRPr="00C531A2" w:rsidRDefault="005C6900" w:rsidP="00725D9F">
            <w:pPr>
              <w:jc w:val="center"/>
              <w:rPr>
                <w:rFonts w:ascii="Times New Roman" w:hAnsi="Times New Roman"/>
                <w:sz w:val="18"/>
                <w:szCs w:val="18"/>
                <w:lang w:eastAsia="en-GB"/>
              </w:rPr>
            </w:pPr>
            <w:r w:rsidRPr="00C531A2">
              <w:rPr>
                <w:rFonts w:ascii="Times New Roman" w:hAnsi="Times New Roman"/>
                <w:sz w:val="18"/>
                <w:szCs w:val="18"/>
                <w:lang w:eastAsia="en-GB"/>
              </w:rPr>
              <w:t>0,3</w:t>
            </w:r>
          </w:p>
        </w:tc>
        <w:tc>
          <w:tcPr>
            <w:tcW w:w="556" w:type="pct"/>
            <w:vAlign w:val="center"/>
          </w:tcPr>
          <w:p w14:paraId="22221E97" w14:textId="77777777" w:rsidR="005C6900" w:rsidRPr="00C531A2" w:rsidRDefault="005C6900" w:rsidP="00725D9F">
            <w:pPr>
              <w:jc w:val="center"/>
              <w:rPr>
                <w:rFonts w:ascii="Times New Roman" w:hAnsi="Times New Roman"/>
                <w:sz w:val="18"/>
                <w:szCs w:val="18"/>
                <w:lang w:eastAsia="en-GB"/>
              </w:rPr>
            </w:pPr>
            <w:r w:rsidRPr="00C531A2">
              <w:rPr>
                <w:rFonts w:ascii="Times New Roman" w:hAnsi="Times New Roman"/>
                <w:sz w:val="18"/>
                <w:szCs w:val="18"/>
                <w:lang w:eastAsia="en-GB"/>
              </w:rPr>
              <w:t>3,0</w:t>
            </w:r>
          </w:p>
        </w:tc>
        <w:tc>
          <w:tcPr>
            <w:tcW w:w="556" w:type="pct"/>
            <w:vAlign w:val="center"/>
          </w:tcPr>
          <w:p w14:paraId="11FC3BE8" w14:textId="77777777" w:rsidR="005C6900" w:rsidRPr="00C531A2" w:rsidRDefault="005C6900" w:rsidP="00725D9F">
            <w:pPr>
              <w:jc w:val="center"/>
              <w:rPr>
                <w:rFonts w:ascii="Times New Roman" w:hAnsi="Times New Roman"/>
                <w:sz w:val="18"/>
                <w:szCs w:val="18"/>
                <w:lang w:eastAsia="en-GB"/>
              </w:rPr>
            </w:pPr>
            <w:r w:rsidRPr="00C531A2">
              <w:rPr>
                <w:rFonts w:ascii="Times New Roman" w:hAnsi="Times New Roman"/>
                <w:sz w:val="18"/>
                <w:szCs w:val="18"/>
                <w:lang w:eastAsia="en-GB"/>
              </w:rPr>
              <w:t>-0,4</w:t>
            </w:r>
          </w:p>
        </w:tc>
        <w:tc>
          <w:tcPr>
            <w:tcW w:w="556" w:type="pct"/>
            <w:vAlign w:val="center"/>
          </w:tcPr>
          <w:p w14:paraId="1492FDD6" w14:textId="77777777" w:rsidR="005C6900" w:rsidRPr="00C531A2" w:rsidRDefault="005C6900" w:rsidP="00725D9F">
            <w:pPr>
              <w:jc w:val="center"/>
              <w:rPr>
                <w:rFonts w:ascii="Times New Roman" w:hAnsi="Times New Roman"/>
                <w:sz w:val="18"/>
                <w:szCs w:val="18"/>
                <w:lang w:eastAsia="en-GB"/>
              </w:rPr>
            </w:pPr>
            <w:r w:rsidRPr="00C531A2">
              <w:rPr>
                <w:rFonts w:ascii="Times New Roman" w:hAnsi="Times New Roman"/>
                <w:sz w:val="18"/>
                <w:szCs w:val="18"/>
                <w:lang w:eastAsia="en-GB"/>
              </w:rPr>
              <w:t>-0,7</w:t>
            </w:r>
          </w:p>
        </w:tc>
      </w:tr>
      <w:tr w:rsidR="005C6900" w:rsidRPr="00C531A2" w14:paraId="585AEE08" w14:textId="77777777" w:rsidTr="00725D9F">
        <w:trPr>
          <w:trHeight w:val="20"/>
        </w:trPr>
        <w:tc>
          <w:tcPr>
            <w:tcW w:w="2220" w:type="pct"/>
          </w:tcPr>
          <w:p w14:paraId="12FE5B85" w14:textId="77777777" w:rsidR="005C6900" w:rsidRPr="00C531A2" w:rsidRDefault="005C6900" w:rsidP="00725D9F">
            <w:pPr>
              <w:rPr>
                <w:rFonts w:ascii="Times New Roman" w:eastAsia="Calibri" w:hAnsi="Times New Roman"/>
                <w:sz w:val="18"/>
              </w:rPr>
            </w:pPr>
            <w:r w:rsidRPr="00C531A2">
              <w:rPr>
                <w:rFonts w:ascii="Times New Roman" w:eastAsia="Calibri" w:hAnsi="Times New Roman"/>
                <w:sz w:val="18"/>
              </w:rPr>
              <w:t>Цена руде гвожђа, у доларима</w:t>
            </w:r>
            <w:r w:rsidRPr="00C531A2">
              <w:rPr>
                <w:rFonts w:ascii="Times New Roman" w:eastAsia="Calibri" w:hAnsi="Times New Roman"/>
                <w:sz w:val="18"/>
                <w:vertAlign w:val="superscript"/>
              </w:rPr>
              <w:t>4</w:t>
            </w:r>
          </w:p>
        </w:tc>
        <w:tc>
          <w:tcPr>
            <w:tcW w:w="556" w:type="pct"/>
            <w:vAlign w:val="center"/>
          </w:tcPr>
          <w:p w14:paraId="4309CBD7" w14:textId="77777777" w:rsidR="005C6900" w:rsidRPr="00C531A2" w:rsidRDefault="005C6900" w:rsidP="00725D9F">
            <w:pPr>
              <w:jc w:val="center"/>
              <w:rPr>
                <w:rFonts w:ascii="Times New Roman" w:hAnsi="Times New Roman"/>
                <w:sz w:val="18"/>
                <w:szCs w:val="18"/>
                <w:lang w:eastAsia="en-GB"/>
              </w:rPr>
            </w:pPr>
            <w:r w:rsidRPr="00C531A2">
              <w:rPr>
                <w:rFonts w:ascii="Times New Roman" w:hAnsi="Times New Roman"/>
                <w:sz w:val="18"/>
                <w:szCs w:val="18"/>
                <w:lang w:eastAsia="en-GB"/>
              </w:rPr>
              <w:t>-7,7</w:t>
            </w:r>
          </w:p>
        </w:tc>
        <w:tc>
          <w:tcPr>
            <w:tcW w:w="556" w:type="pct"/>
            <w:vAlign w:val="center"/>
          </w:tcPr>
          <w:p w14:paraId="69DDDEBB" w14:textId="77777777" w:rsidR="005C6900" w:rsidRPr="00C531A2" w:rsidRDefault="005C6900" w:rsidP="00725D9F">
            <w:pPr>
              <w:jc w:val="center"/>
              <w:rPr>
                <w:rFonts w:ascii="Times New Roman" w:hAnsi="Times New Roman"/>
                <w:sz w:val="18"/>
                <w:szCs w:val="18"/>
                <w:lang w:eastAsia="en-GB"/>
              </w:rPr>
            </w:pPr>
            <w:r w:rsidRPr="00C531A2">
              <w:rPr>
                <w:rFonts w:ascii="Times New Roman" w:hAnsi="Times New Roman"/>
                <w:sz w:val="18"/>
                <w:szCs w:val="18"/>
                <w:lang w:eastAsia="en-GB"/>
              </w:rPr>
              <w:t>-7,6</w:t>
            </w:r>
          </w:p>
        </w:tc>
        <w:tc>
          <w:tcPr>
            <w:tcW w:w="556" w:type="pct"/>
            <w:vAlign w:val="center"/>
          </w:tcPr>
          <w:p w14:paraId="7FB68DC9" w14:textId="77777777" w:rsidR="005C6900" w:rsidRPr="00C531A2" w:rsidRDefault="005C6900" w:rsidP="00725D9F">
            <w:pPr>
              <w:jc w:val="center"/>
              <w:rPr>
                <w:rFonts w:ascii="Times New Roman" w:hAnsi="Times New Roman"/>
                <w:sz w:val="18"/>
                <w:szCs w:val="18"/>
                <w:lang w:eastAsia="en-GB"/>
              </w:rPr>
            </w:pPr>
            <w:r w:rsidRPr="00C531A2">
              <w:rPr>
                <w:rFonts w:ascii="Times New Roman" w:hAnsi="Times New Roman"/>
                <w:sz w:val="18"/>
                <w:szCs w:val="18"/>
                <w:lang w:eastAsia="en-GB"/>
              </w:rPr>
              <w:t>-2,4</w:t>
            </w:r>
          </w:p>
        </w:tc>
        <w:tc>
          <w:tcPr>
            <w:tcW w:w="556" w:type="pct"/>
            <w:vAlign w:val="center"/>
          </w:tcPr>
          <w:p w14:paraId="196A60C4" w14:textId="77777777" w:rsidR="005C6900" w:rsidRPr="00C531A2" w:rsidRDefault="005C6900" w:rsidP="00725D9F">
            <w:pPr>
              <w:jc w:val="center"/>
              <w:rPr>
                <w:rFonts w:ascii="Times New Roman" w:hAnsi="Times New Roman"/>
                <w:sz w:val="18"/>
                <w:szCs w:val="18"/>
                <w:lang w:eastAsia="en-GB"/>
              </w:rPr>
            </w:pPr>
            <w:r w:rsidRPr="00C531A2">
              <w:rPr>
                <w:rFonts w:ascii="Times New Roman" w:hAnsi="Times New Roman"/>
                <w:sz w:val="18"/>
                <w:szCs w:val="18"/>
                <w:lang w:eastAsia="en-GB"/>
              </w:rPr>
              <w:t>-5,4</w:t>
            </w:r>
          </w:p>
        </w:tc>
        <w:tc>
          <w:tcPr>
            <w:tcW w:w="556" w:type="pct"/>
            <w:vAlign w:val="center"/>
          </w:tcPr>
          <w:p w14:paraId="210F05B6" w14:textId="77777777" w:rsidR="005C6900" w:rsidRPr="00C531A2" w:rsidRDefault="005C6900" w:rsidP="00725D9F">
            <w:pPr>
              <w:jc w:val="center"/>
              <w:rPr>
                <w:rFonts w:ascii="Times New Roman" w:hAnsi="Times New Roman"/>
                <w:sz w:val="18"/>
                <w:szCs w:val="18"/>
                <w:lang w:eastAsia="en-GB"/>
              </w:rPr>
            </w:pPr>
            <w:r w:rsidRPr="00C531A2">
              <w:rPr>
                <w:rFonts w:ascii="Times New Roman" w:hAnsi="Times New Roman"/>
                <w:sz w:val="18"/>
                <w:szCs w:val="18"/>
                <w:lang w:eastAsia="en-GB"/>
              </w:rPr>
              <w:t>-6,2</w:t>
            </w:r>
          </w:p>
        </w:tc>
      </w:tr>
      <w:tr w:rsidR="005C6900" w:rsidRPr="00C531A2" w14:paraId="71DE3480" w14:textId="77777777" w:rsidTr="00725D9F">
        <w:trPr>
          <w:trHeight w:val="20"/>
        </w:trPr>
        <w:tc>
          <w:tcPr>
            <w:tcW w:w="2220" w:type="pct"/>
            <w:tcBorders>
              <w:bottom w:val="single" w:sz="4" w:space="0" w:color="002060"/>
            </w:tcBorders>
          </w:tcPr>
          <w:p w14:paraId="336A9DB8" w14:textId="77777777" w:rsidR="005C6900" w:rsidRPr="00C531A2" w:rsidRDefault="005C6900" w:rsidP="00725D9F">
            <w:pPr>
              <w:rPr>
                <w:rFonts w:ascii="Times New Roman" w:eastAsia="Calibri" w:hAnsi="Times New Roman"/>
                <w:sz w:val="18"/>
              </w:rPr>
            </w:pPr>
            <w:r w:rsidRPr="00C531A2">
              <w:rPr>
                <w:rFonts w:ascii="Times New Roman" w:eastAsia="Calibri" w:hAnsi="Times New Roman"/>
                <w:sz w:val="18"/>
              </w:rPr>
              <w:t>Цене нафте, у доларима, годишње промене, %</w:t>
            </w:r>
          </w:p>
        </w:tc>
        <w:tc>
          <w:tcPr>
            <w:tcW w:w="556" w:type="pct"/>
            <w:tcBorders>
              <w:bottom w:val="single" w:sz="4" w:space="0" w:color="002060"/>
            </w:tcBorders>
            <w:vAlign w:val="center"/>
          </w:tcPr>
          <w:p w14:paraId="1C317C81" w14:textId="77777777" w:rsidR="005C6900" w:rsidRPr="00C531A2" w:rsidRDefault="005C6900" w:rsidP="00725D9F">
            <w:pPr>
              <w:jc w:val="center"/>
              <w:rPr>
                <w:rFonts w:ascii="Times New Roman" w:hAnsi="Times New Roman"/>
                <w:sz w:val="18"/>
                <w:szCs w:val="18"/>
                <w:lang w:eastAsia="en-GB"/>
              </w:rPr>
            </w:pPr>
            <w:r w:rsidRPr="00C531A2">
              <w:rPr>
                <w:rFonts w:ascii="Times New Roman" w:hAnsi="Times New Roman"/>
                <w:sz w:val="18"/>
                <w:szCs w:val="18"/>
                <w:lang w:eastAsia="en-GB"/>
              </w:rPr>
              <w:t>-1,8</w:t>
            </w:r>
          </w:p>
        </w:tc>
        <w:tc>
          <w:tcPr>
            <w:tcW w:w="556" w:type="pct"/>
            <w:tcBorders>
              <w:bottom w:val="single" w:sz="4" w:space="0" w:color="002060"/>
            </w:tcBorders>
            <w:vAlign w:val="center"/>
          </w:tcPr>
          <w:p w14:paraId="3182207B" w14:textId="77777777" w:rsidR="005C6900" w:rsidRPr="00C531A2" w:rsidRDefault="005C6900" w:rsidP="00725D9F">
            <w:pPr>
              <w:jc w:val="center"/>
              <w:rPr>
                <w:rFonts w:ascii="Times New Roman" w:hAnsi="Times New Roman"/>
                <w:sz w:val="18"/>
                <w:szCs w:val="18"/>
                <w:lang w:eastAsia="en-GB"/>
              </w:rPr>
            </w:pPr>
            <w:r w:rsidRPr="00C531A2">
              <w:rPr>
                <w:rFonts w:ascii="Times New Roman" w:hAnsi="Times New Roman"/>
                <w:sz w:val="18"/>
                <w:szCs w:val="18"/>
                <w:lang w:eastAsia="en-GB"/>
              </w:rPr>
              <w:t>-12,9</w:t>
            </w:r>
          </w:p>
        </w:tc>
        <w:tc>
          <w:tcPr>
            <w:tcW w:w="556" w:type="pct"/>
            <w:tcBorders>
              <w:bottom w:val="single" w:sz="4" w:space="0" w:color="002060"/>
            </w:tcBorders>
            <w:vAlign w:val="center"/>
          </w:tcPr>
          <w:p w14:paraId="6824CA53" w14:textId="77777777" w:rsidR="005C6900" w:rsidRPr="00C531A2" w:rsidRDefault="005C6900" w:rsidP="00725D9F">
            <w:pPr>
              <w:jc w:val="center"/>
              <w:rPr>
                <w:rFonts w:ascii="Times New Roman" w:hAnsi="Times New Roman"/>
                <w:sz w:val="18"/>
                <w:szCs w:val="18"/>
                <w:lang w:eastAsia="en-GB"/>
              </w:rPr>
            </w:pPr>
            <w:r w:rsidRPr="00C531A2">
              <w:rPr>
                <w:rFonts w:ascii="Times New Roman" w:hAnsi="Times New Roman"/>
                <w:sz w:val="18"/>
                <w:szCs w:val="18"/>
                <w:lang w:eastAsia="en-GB"/>
              </w:rPr>
              <w:t>-4,5</w:t>
            </w:r>
          </w:p>
        </w:tc>
        <w:tc>
          <w:tcPr>
            <w:tcW w:w="556" w:type="pct"/>
            <w:tcBorders>
              <w:bottom w:val="single" w:sz="4" w:space="0" w:color="002060"/>
            </w:tcBorders>
            <w:vAlign w:val="center"/>
          </w:tcPr>
          <w:p w14:paraId="6672C278" w14:textId="77777777" w:rsidR="005C6900" w:rsidRPr="00C531A2" w:rsidRDefault="005C6900" w:rsidP="00725D9F">
            <w:pPr>
              <w:jc w:val="center"/>
              <w:rPr>
                <w:rFonts w:ascii="Times New Roman" w:hAnsi="Times New Roman"/>
                <w:sz w:val="18"/>
                <w:szCs w:val="18"/>
                <w:lang w:eastAsia="en-GB"/>
              </w:rPr>
            </w:pPr>
            <w:r w:rsidRPr="00C531A2">
              <w:rPr>
                <w:rFonts w:ascii="Times New Roman" w:hAnsi="Times New Roman"/>
                <w:sz w:val="18"/>
                <w:szCs w:val="18"/>
                <w:lang w:eastAsia="en-GB"/>
              </w:rPr>
              <w:t>-0,2</w:t>
            </w:r>
          </w:p>
        </w:tc>
        <w:tc>
          <w:tcPr>
            <w:tcW w:w="556" w:type="pct"/>
            <w:tcBorders>
              <w:bottom w:val="single" w:sz="4" w:space="0" w:color="002060"/>
            </w:tcBorders>
            <w:vAlign w:val="center"/>
          </w:tcPr>
          <w:p w14:paraId="5B9B5A25" w14:textId="77777777" w:rsidR="005C6900" w:rsidRPr="00C531A2" w:rsidRDefault="005C6900" w:rsidP="00725D9F">
            <w:pPr>
              <w:jc w:val="center"/>
              <w:rPr>
                <w:rFonts w:ascii="Times New Roman" w:hAnsi="Times New Roman"/>
                <w:sz w:val="18"/>
                <w:szCs w:val="18"/>
                <w:lang w:eastAsia="en-GB"/>
              </w:rPr>
            </w:pPr>
            <w:r w:rsidRPr="00C531A2">
              <w:rPr>
                <w:rFonts w:ascii="Times New Roman" w:hAnsi="Times New Roman"/>
                <w:sz w:val="18"/>
                <w:szCs w:val="18"/>
                <w:lang w:eastAsia="en-GB"/>
              </w:rPr>
              <w:t>0,9</w:t>
            </w:r>
          </w:p>
        </w:tc>
      </w:tr>
      <w:tr w:rsidR="005C6900" w:rsidRPr="00C531A2" w14:paraId="7A624DC3" w14:textId="77777777" w:rsidTr="00725D9F">
        <w:trPr>
          <w:trHeight w:val="20"/>
        </w:trPr>
        <w:tc>
          <w:tcPr>
            <w:tcW w:w="5000" w:type="pct"/>
            <w:gridSpan w:val="6"/>
            <w:tcBorders>
              <w:top w:val="single" w:sz="4" w:space="0" w:color="002060"/>
            </w:tcBorders>
          </w:tcPr>
          <w:p w14:paraId="74910463" w14:textId="77777777" w:rsidR="005C6900" w:rsidRPr="00C531A2" w:rsidRDefault="005C6900" w:rsidP="00725D9F">
            <w:pPr>
              <w:rPr>
                <w:rFonts w:ascii="Times New Roman" w:eastAsia="Calibri" w:hAnsi="Times New Roman"/>
                <w:bCs/>
                <w:sz w:val="16"/>
                <w:szCs w:val="72"/>
              </w:rPr>
            </w:pPr>
            <w:r w:rsidRPr="00C531A2">
              <w:rPr>
                <w:rFonts w:ascii="Times New Roman" w:eastAsia="Calibri" w:hAnsi="Times New Roman"/>
                <w:bCs/>
                <w:sz w:val="16"/>
                <w:szCs w:val="72"/>
              </w:rPr>
              <w:t xml:space="preserve">Извор: ММФ, </w:t>
            </w:r>
            <w:r w:rsidRPr="00C531A2">
              <w:rPr>
                <w:rFonts w:ascii="Times New Roman" w:eastAsia="Calibri" w:hAnsi="Times New Roman"/>
                <w:bCs/>
                <w:i/>
                <w:sz w:val="16"/>
                <w:szCs w:val="72"/>
              </w:rPr>
              <w:t>World Economic Outlook</w:t>
            </w:r>
            <w:r w:rsidRPr="00C531A2">
              <w:rPr>
                <w:rFonts w:ascii="Times New Roman" w:eastAsia="Calibri" w:hAnsi="Times New Roman"/>
                <w:bCs/>
                <w:sz w:val="16"/>
                <w:szCs w:val="72"/>
              </w:rPr>
              <w:t>, октобар 2025.</w:t>
            </w:r>
          </w:p>
        </w:tc>
      </w:tr>
      <w:tr w:rsidR="005C6900" w:rsidRPr="00C531A2" w14:paraId="4A25E5E5" w14:textId="77777777" w:rsidTr="00725D9F">
        <w:trPr>
          <w:trHeight w:val="20"/>
        </w:trPr>
        <w:tc>
          <w:tcPr>
            <w:tcW w:w="5000" w:type="pct"/>
            <w:gridSpan w:val="6"/>
          </w:tcPr>
          <w:p w14:paraId="284E1F29" w14:textId="77777777" w:rsidR="005C6900" w:rsidRPr="00C531A2" w:rsidRDefault="005C6900" w:rsidP="00725D9F">
            <w:pPr>
              <w:rPr>
                <w:rFonts w:ascii="Times New Roman" w:eastAsia="Calibri" w:hAnsi="Times New Roman"/>
                <w:bCs/>
                <w:sz w:val="16"/>
                <w:szCs w:val="72"/>
              </w:rPr>
            </w:pPr>
            <w:r w:rsidRPr="00C531A2">
              <w:rPr>
                <w:rFonts w:ascii="Times New Roman" w:eastAsia="Calibri" w:hAnsi="Times New Roman"/>
                <w:bCs/>
                <w:sz w:val="16"/>
                <w:szCs w:val="72"/>
                <w:vertAlign w:val="superscript"/>
              </w:rPr>
              <w:t>1</w:t>
            </w:r>
            <w:r w:rsidRPr="00C531A2">
              <w:rPr>
                <w:rFonts w:ascii="Times New Roman" w:eastAsia="Calibri" w:hAnsi="Times New Roman"/>
                <w:bCs/>
                <w:sz w:val="16"/>
                <w:szCs w:val="72"/>
              </w:rPr>
              <w:t xml:space="preserve"> Светски БДП израчунат је према паритету куповне моћи.</w:t>
            </w:r>
          </w:p>
          <w:p w14:paraId="580E4255" w14:textId="77777777" w:rsidR="005C6900" w:rsidRPr="00C531A2" w:rsidRDefault="005C6900" w:rsidP="00725D9F">
            <w:pPr>
              <w:rPr>
                <w:rFonts w:ascii="Times New Roman" w:eastAsia="Calibri" w:hAnsi="Times New Roman"/>
                <w:bCs/>
                <w:sz w:val="16"/>
                <w:szCs w:val="72"/>
              </w:rPr>
            </w:pPr>
            <w:r w:rsidRPr="00C531A2">
              <w:rPr>
                <w:rFonts w:ascii="Times New Roman" w:eastAsia="Calibri" w:hAnsi="Times New Roman"/>
                <w:bCs/>
                <w:sz w:val="16"/>
                <w:szCs w:val="72"/>
                <w:vertAlign w:val="superscript"/>
              </w:rPr>
              <w:t>2</w:t>
            </w:r>
            <w:r w:rsidRPr="00C531A2">
              <w:rPr>
                <w:rFonts w:ascii="Times New Roman" w:eastAsia="Calibri" w:hAnsi="Times New Roman"/>
                <w:bCs/>
                <w:sz w:val="16"/>
                <w:szCs w:val="72"/>
              </w:rPr>
              <w:t xml:space="preserve"> Цена житарица добијена као пондерисани просек цена пшенице, кукуруза, соје, пиринча и јечма.</w:t>
            </w:r>
          </w:p>
          <w:p w14:paraId="361399EF" w14:textId="77777777" w:rsidR="005C6900" w:rsidRPr="00C531A2" w:rsidRDefault="005C6900" w:rsidP="00725D9F">
            <w:pPr>
              <w:rPr>
                <w:rFonts w:ascii="Times New Roman" w:eastAsia="Calibri" w:hAnsi="Times New Roman"/>
                <w:bCs/>
                <w:sz w:val="16"/>
                <w:szCs w:val="72"/>
              </w:rPr>
            </w:pPr>
            <w:r w:rsidRPr="00C531A2">
              <w:rPr>
                <w:rFonts w:ascii="Times New Roman" w:eastAsia="Calibri" w:hAnsi="Times New Roman"/>
                <w:bCs/>
                <w:sz w:val="16"/>
                <w:szCs w:val="72"/>
                <w:vertAlign w:val="superscript"/>
              </w:rPr>
              <w:t>3</w:t>
            </w:r>
            <w:r w:rsidRPr="00C531A2">
              <w:rPr>
                <w:rFonts w:ascii="Times New Roman" w:eastAsia="Calibri" w:hAnsi="Times New Roman"/>
                <w:bCs/>
                <w:sz w:val="16"/>
                <w:szCs w:val="72"/>
              </w:rPr>
              <w:t xml:space="preserve"> Цена метала добијена као пондерисани просек цена бакра, алуминијума, руде гвожђа, калаја, никла, цинка, олова и уранијума.</w:t>
            </w:r>
          </w:p>
          <w:p w14:paraId="2905449C" w14:textId="77777777" w:rsidR="005C6900" w:rsidRPr="00C531A2" w:rsidRDefault="005C6900" w:rsidP="00725D9F">
            <w:pPr>
              <w:rPr>
                <w:rFonts w:ascii="Times New Roman" w:eastAsia="Calibri" w:hAnsi="Times New Roman"/>
                <w:bCs/>
                <w:sz w:val="16"/>
                <w:szCs w:val="72"/>
                <w:vertAlign w:val="superscript"/>
              </w:rPr>
            </w:pPr>
            <w:r w:rsidRPr="00C531A2">
              <w:rPr>
                <w:rFonts w:ascii="Times New Roman" w:eastAsia="Calibri" w:hAnsi="Times New Roman"/>
                <w:bCs/>
                <w:sz w:val="16"/>
                <w:szCs w:val="72"/>
                <w:vertAlign w:val="superscript"/>
              </w:rPr>
              <w:t>4</w:t>
            </w:r>
            <w:r w:rsidRPr="00C531A2">
              <w:rPr>
                <w:rFonts w:ascii="Times New Roman" w:eastAsia="Calibri" w:hAnsi="Times New Roman"/>
                <w:bCs/>
                <w:sz w:val="16"/>
                <w:szCs w:val="72"/>
              </w:rPr>
              <w:t xml:space="preserve"> Цена руде гвожђа (садржај гвожђа од 62%) за увоз у Кини, лука Тиан Јан, у доларима по метричкој тони.</w:t>
            </w:r>
          </w:p>
        </w:tc>
      </w:tr>
    </w:tbl>
    <w:p w14:paraId="2AF15823" w14:textId="77777777" w:rsidR="005C6900" w:rsidRPr="00C531A2" w:rsidRDefault="005C6900" w:rsidP="005C6900">
      <w:pPr>
        <w:tabs>
          <w:tab w:val="left" w:pos="720"/>
          <w:tab w:val="left" w:pos="1440"/>
        </w:tabs>
        <w:spacing w:before="120" w:after="120"/>
        <w:ind w:firstLine="720"/>
        <w:rPr>
          <w:rFonts w:ascii="Times New Roman" w:hAnsi="Times New Roman"/>
          <w:szCs w:val="24"/>
        </w:rPr>
      </w:pPr>
      <w:r w:rsidRPr="00C531A2">
        <w:rPr>
          <w:rFonts w:ascii="Times New Roman" w:hAnsi="Times New Roman"/>
          <w:b/>
          <w:bCs/>
          <w:szCs w:val="24"/>
        </w:rPr>
        <w:t xml:space="preserve">Динамика економске активности Немачке и Италије, наших најважнијих спољнотрговинских партнера из еврозоне, показује извесне знаке опоравка, али и даље остаје знатно испод свог дугорочног потенцијала. </w:t>
      </w:r>
      <w:r w:rsidRPr="00C531A2">
        <w:rPr>
          <w:rFonts w:ascii="Times New Roman" w:hAnsi="Times New Roman"/>
          <w:szCs w:val="24"/>
        </w:rPr>
        <w:t xml:space="preserve">Немачка, као највећа економија еврозоне, према најновијим пројекцијама ММФ, оствариће раст од 0,2% у 2025. години, што представља ревизију навише од 0,2 п.п. у односу на априлску и 0,1 п.п. у односу на јулску пројекцију. Главни фактори који су погурали раст су фискална експанзија и улагање у инфраструктурне и војне пројекте, док ће као ограничавајући фактор деловати дубока зависност индустрије од глобалних ланаца снабдевања који су нарушени растућим геополитичким тензијама и трговинским баријерама. За 2026. годину, очекује се раст од 0,9%, подстакнут благом фискалном експанзијом и умереним опоравком индустријске производње. Италијанска економија ће у 2025. години остварити раст од 0,5%, док се за 2026. годину очекује благо убрзање на 0,8%, што је практично непромењено у односу на претходна очекивања. Дугорочни структурни изазови, као што су ниска продуктивност, неповољна демографска структура и висок јавни дуг, остају ограничавајући фактори бржег раста. </w:t>
      </w:r>
    </w:p>
    <w:p w14:paraId="07CEF74F" w14:textId="77777777" w:rsidR="005C6900" w:rsidRPr="00C531A2" w:rsidRDefault="005C6900" w:rsidP="005C6900">
      <w:pPr>
        <w:tabs>
          <w:tab w:val="left" w:pos="720"/>
          <w:tab w:val="left" w:pos="1440"/>
        </w:tabs>
        <w:spacing w:before="120" w:after="120"/>
        <w:ind w:firstLine="720"/>
        <w:rPr>
          <w:rFonts w:ascii="Times New Roman" w:hAnsi="Times New Roman"/>
          <w:bCs/>
          <w:color w:val="FF0000"/>
          <w:szCs w:val="24"/>
        </w:rPr>
      </w:pPr>
      <w:r w:rsidRPr="00C531A2">
        <w:rPr>
          <w:rFonts w:ascii="Times New Roman" w:hAnsi="Times New Roman"/>
          <w:b/>
          <w:bCs/>
          <w:szCs w:val="24"/>
        </w:rPr>
        <w:lastRenderedPageBreak/>
        <w:t xml:space="preserve">Према актуелним пројекцијама ММФ, глобална инфлација ће успорити са 5,8% у 2024. години на 4,2% у 2025. години и 3,7% у 2026. години. </w:t>
      </w:r>
      <w:r w:rsidRPr="00C531A2">
        <w:rPr>
          <w:rFonts w:ascii="Times New Roman" w:hAnsi="Times New Roman"/>
          <w:szCs w:val="24"/>
        </w:rPr>
        <w:t>Међутим, иако су ове пројекције у складу са претходним, постоје велике разлике међу земљама и регионима. У САД и УК инфлација је ревидирана навише у односу на претходну прогнозу, јер се утицај нових тарифних мера све мање апсорбује кроз профитне марже предузећа, а све више преноси на крајње потрошаче, као и услед повећања регулисаних</w:t>
      </w:r>
      <w:r w:rsidRPr="00C531A2">
        <w:rPr>
          <w:rFonts w:ascii="Times New Roman" w:hAnsi="Times New Roman"/>
          <w:bCs/>
          <w:szCs w:val="24"/>
        </w:rPr>
        <w:t xml:space="preserve"> цена и одложених ефеката раста енергетских трошкова, за које се процењује да су привременог карактера. Истовремено, дезинфлаторни процес у земљама у успону одвија се знатно спорије, што се повезује са вишим ценама хране и енергената и структурним ограничењима у снабдевању. У тим економијама се очекује да инфлација остане изнад 5% и током 2026. године, при чему ће стабилизација цена бити постепена и условљена даљим попуштањем глобалних трошковних притисака и прилагођавањем монетарне политике. Према оцени ММФ, успоравање инфлације у земљама у развоју биће кључно за ублажавање социјалних ризика и очување реалних прихода, с обзиром на висок удео потрошње на храну и енергију у укупним трошковима домаћинстава.</w:t>
      </w:r>
    </w:p>
    <w:p w14:paraId="29F234D8" w14:textId="77777777" w:rsidR="005C6900" w:rsidRPr="00C531A2" w:rsidRDefault="005C6900" w:rsidP="005C6900">
      <w:pPr>
        <w:tabs>
          <w:tab w:val="left" w:pos="720"/>
          <w:tab w:val="left" w:pos="1440"/>
        </w:tabs>
        <w:spacing w:before="120" w:after="120"/>
        <w:ind w:firstLine="720"/>
        <w:rPr>
          <w:rFonts w:ascii="Times New Roman" w:hAnsi="Times New Roman"/>
          <w:bCs/>
          <w:szCs w:val="24"/>
        </w:rPr>
      </w:pPr>
      <w:r w:rsidRPr="00C531A2">
        <w:rPr>
          <w:rFonts w:ascii="Times New Roman" w:hAnsi="Times New Roman"/>
          <w:b/>
          <w:bCs/>
          <w:szCs w:val="24"/>
        </w:rPr>
        <w:t>Према септембарским пројекцијама Европске централне банке (ЕЦБ), раст привреде еврозоне у 2025. години износиће 1,2%, што представља ревизију навише за 0,3 п.п. у односу на очекивања из јуна.</w:t>
      </w:r>
      <w:r w:rsidRPr="00C531A2">
        <w:rPr>
          <w:rFonts w:ascii="Times New Roman" w:hAnsi="Times New Roman"/>
          <w:bCs/>
          <w:szCs w:val="24"/>
        </w:rPr>
        <w:t xml:space="preserve"> Ова ревизија одражава јаче домаће факторе раста, пре свега повећање реалног дохотка становништва, стабилну запосленост и убрзане инвестиције, који су надокнадили слабију спољну тражњу и делимично ублажили ефекте неповољних спољних цена и нових трговинских ограничења. Привредни раст еврозоне у 2026. години процењује се на 1,0%, што представља благу ревизију наниже у односу на очекивања из јуна (1,1%). Ова корекција одражава очекивано успоравање привредне активности након привремено снажнијег опоравка у 2025. години, када су привредну активност подстакли преносни ефекти, раст реалног дохотка и повећана јавна и приватна улагања. У 2026. години очекује се умереније кретање домаће тражње, јер се ефекат мање инфлације и раста реалних зарада постепено исцрпљује, док се стопа штедње стабилизује. Инвестиције настављају да расту, али споријим темпом услед смањеног утицаја фондова Next Generation EU и мање динамике инвестиција у стамбеном сектору. Истовремено, спољна тражња остаје слаба услед успоравања глобалне трговине, јачег евра и повећаних тарифа, што ограничава извозни сектор. У целини, раст од 1,0% у 2026. години одражава прелаз ка стабилнијој, али умеренијој економској динамици, при чему домаћи фактори и даље остају кључни носиоци раста економске активности, али без додатних једнократних подстицаја из претходног периода.</w:t>
      </w:r>
    </w:p>
    <w:p w14:paraId="4BE1FD36" w14:textId="77777777" w:rsidR="005C6900" w:rsidRPr="00C531A2" w:rsidRDefault="005C6900" w:rsidP="005C6900">
      <w:pPr>
        <w:tabs>
          <w:tab w:val="left" w:pos="720"/>
          <w:tab w:val="left" w:pos="1440"/>
        </w:tabs>
        <w:spacing w:before="120" w:after="120"/>
        <w:ind w:firstLine="720"/>
        <w:rPr>
          <w:rFonts w:ascii="Times New Roman" w:hAnsi="Times New Roman"/>
          <w:bCs/>
          <w:szCs w:val="24"/>
        </w:rPr>
      </w:pPr>
      <w:r w:rsidRPr="00C531A2">
        <w:rPr>
          <w:rFonts w:ascii="Times New Roman" w:hAnsi="Times New Roman"/>
          <w:b/>
          <w:bCs/>
          <w:szCs w:val="24"/>
        </w:rPr>
        <w:t>Према проценама ЕЦБ очекује се да ће укупна инфлација износити 2,1% у 2025, 1,7% у 2026, и 1,9% у 2027. години, што одражава слабљење домаћих ценовних притисака, али и очекивано благо поновно убрзање у 2027. години због увођења система трговине емисијама ETS2, који ће повећати енергетске трошкове.</w:t>
      </w:r>
      <w:r w:rsidRPr="00C531A2">
        <w:rPr>
          <w:rFonts w:ascii="Times New Roman" w:hAnsi="Times New Roman"/>
          <w:bCs/>
          <w:szCs w:val="24"/>
        </w:rPr>
        <w:t xml:space="preserve"> Базна инфлација наставља смањење са 2,4% у 2025. на 1,9% у 2026. и 1,8% у 2027. години, под утицајем успоравања раста зарада, слабљења инфлације у сектору услуга и јачања евра, што обара увозне цене индустријских добара. Истовремено, раст зарада постепено успорава а раст јединичних трошкова рада се смањује, што доприноси ублажавању унутрашњих ценовних притисака и стабилизацији профитних маржи предузећа. Јачање евра додатно снижава увозне цене, чиме се робна инфлација ублажава током 2026. године, док у 2027. години овај ефекат постепено слаби.</w:t>
      </w:r>
    </w:p>
    <w:p w14:paraId="37BBEA0B" w14:textId="77777777" w:rsidR="005C6900" w:rsidRPr="00C531A2" w:rsidRDefault="005C6900" w:rsidP="005C6900">
      <w:pPr>
        <w:tabs>
          <w:tab w:val="left" w:pos="720"/>
          <w:tab w:val="left" w:pos="1440"/>
        </w:tabs>
        <w:spacing w:before="120" w:after="120"/>
        <w:rPr>
          <w:rFonts w:ascii="Times New Roman" w:hAnsi="Times New Roman"/>
          <w:szCs w:val="24"/>
        </w:rPr>
      </w:pPr>
      <w:r w:rsidRPr="00C531A2">
        <w:rPr>
          <w:rFonts w:ascii="Times New Roman" w:hAnsi="Times New Roman"/>
          <w:b/>
          <w:bCs/>
        </w:rPr>
        <w:t>Макроекономски оквир Републике Србије</w:t>
      </w:r>
    </w:p>
    <w:p w14:paraId="3F0E7147" w14:textId="77777777" w:rsidR="005C6900" w:rsidRPr="00C531A2" w:rsidRDefault="005C6900" w:rsidP="005C6900">
      <w:pPr>
        <w:tabs>
          <w:tab w:val="left" w:pos="720"/>
          <w:tab w:val="left" w:pos="1440"/>
        </w:tabs>
        <w:spacing w:before="120" w:after="120"/>
        <w:ind w:firstLine="720"/>
        <w:rPr>
          <w:rFonts w:ascii="Times New Roman" w:hAnsi="Times New Roman"/>
          <w:szCs w:val="24"/>
        </w:rPr>
      </w:pPr>
      <w:r w:rsidRPr="00C531A2">
        <w:rPr>
          <w:rFonts w:ascii="Times New Roman" w:hAnsi="Times New Roman"/>
          <w:b/>
          <w:bCs/>
          <w:szCs w:val="24"/>
        </w:rPr>
        <w:t xml:space="preserve">У макроекономском оквиру за 2026. годину пројектује се раст БДП од 3,0%, </w:t>
      </w:r>
      <w:r w:rsidRPr="00C531A2">
        <w:rPr>
          <w:rFonts w:ascii="Times New Roman" w:hAnsi="Times New Roman"/>
          <w:bCs/>
          <w:szCs w:val="24"/>
        </w:rPr>
        <w:t>што</w:t>
      </w:r>
      <w:r w:rsidRPr="00C531A2">
        <w:rPr>
          <w:rFonts w:ascii="Times New Roman" w:hAnsi="Times New Roman"/>
          <w:szCs w:val="24"/>
        </w:rPr>
        <w:t xml:space="preserve"> одражава примену конзервативног приступа у пројектовању, имајући у </w:t>
      </w:r>
      <w:r w:rsidRPr="00C531A2">
        <w:rPr>
          <w:rFonts w:ascii="Times New Roman" w:hAnsi="Times New Roman"/>
          <w:szCs w:val="24"/>
        </w:rPr>
        <w:lastRenderedPageBreak/>
        <w:t>виду тренутни ниво ризика из домаћег и међународног окружења, као и додатну неизвесност која произилази из ограничења у обиму производње појединих индустријских делатности.</w:t>
      </w:r>
    </w:p>
    <w:p w14:paraId="281C7CFF" w14:textId="77777777" w:rsidR="005C6900" w:rsidRPr="00C531A2" w:rsidRDefault="005C6900" w:rsidP="005C6900">
      <w:pPr>
        <w:tabs>
          <w:tab w:val="left" w:pos="720"/>
          <w:tab w:val="left" w:pos="1440"/>
        </w:tabs>
        <w:spacing w:before="120" w:after="120"/>
        <w:ind w:firstLine="720"/>
        <w:rPr>
          <w:rFonts w:ascii="Times New Roman" w:hAnsi="Times New Roman"/>
          <w:szCs w:val="24"/>
        </w:rPr>
      </w:pPr>
      <w:r w:rsidRPr="00C531A2">
        <w:rPr>
          <w:rFonts w:ascii="Times New Roman" w:hAnsi="Times New Roman"/>
          <w:b/>
          <w:bCs/>
          <w:szCs w:val="24"/>
        </w:rPr>
        <w:t xml:space="preserve">Посматрано по агрегатима употребе, разлози ревизије раста БДП у 2026. години налазе се како на страни домаће тражње, тако и на страни нето извоза. </w:t>
      </w:r>
      <w:r w:rsidRPr="00C531A2">
        <w:rPr>
          <w:rFonts w:ascii="Times New Roman" w:hAnsi="Times New Roman"/>
          <w:szCs w:val="24"/>
        </w:rPr>
        <w:t>У оквиру домаће тражње дошло је до измена у структури, при чему је код приватне потрошње ревизија извршена навише, док су државна потрошња и инвестиције кориговане наниже, у односу на претходна очекивања. Опоравак потрошачког поверења, у комбинацији са снажним растом реалног расположивог дохотка становништва, пре свега услед повећања зарада и пензија, представљаће један од кључних покретача економске активности у наредном периоду. Под утицајем ових фактора, раст приватне потрошње требало би да убрза на 4,6% са овогодишњих 2,8%. Ова позитивна кретања биће подстакнута постепеним попуштањем привремених ограничења која су током 2025. године успоравала потрошњу, а која су проистекла из наглог пораста друштвено-политичких тензија, као што су штедња из предострожности и одлагање куповина. Са постепеним побољшањем потрошачког расположења очекује се оживљавање тражње, посебно у сегменту трајних добара и услуга. Позитиван допринос расту БДП у 2026. години доћи ће и од државне потрошње за коју се очекује повећање од 2,9%. Убрзање реализације капиталних инфраструктурних пројеката, уз очувану профитабилност домаће привреде из претходног периода и очекивани прилив страних директних инвестиција, требало би да резултира растом инвестиционе активности од 6,9% у 2026. години. Завршна фаза реализације пројеката повезаних са ЕКСПО-ом, укључујући кључне инфраструктурне објекте и приступне путеве, наставиће да подстиче грађевинску активност и представљаће значајан ослонац инвестиционог циклуса у наредној години. Снажна акумулација залиха у 2025. години обезбедила је чврсту полазну основу за 2026, када се очекује њихово постепено смањење, сходно томе, допринос залиха је конзервативно ревидиран наниже. Истовремено, након две узастопно слабије пољопривредне сезоне, у 2026. се очекује нормализација приноса и корекција пољопривредних залиха, што ће додатно обликовати динамику краткорочних токова. Уз опоравак домаће тражње и појачану набавку стратешких инпута, нето извоз ће привремено  остварити израженији негативан допринос од -1,6 п.п., при чему се ова динамика посматра као увод у снажније извозне ефекте у наставку хоризонта пројекције. У овом конзервативном сценарију пројектује се нешто спорија динамика извозних активности у нафтној и металној индустрији, с обзиром на изражену неизвесност у овим секторима услед глобалне фрагментације, заоштравања тарифне и царинске политике ЕУ и промена у глобалној енергетској политици. Ради обезбеђивања енергетске стабилности, може се очекивати повећан увоз енергената и одржавање сигурносних залиха, како би се обезбедило стабилно снабдевање домаћег тржишта и подмирење растућих потреба привреде и становништва. Иако ће извоз у појединим гранама прерађивачке индустрије, као и ИКТ сектору и туристичким услугама, наставити да бележи позитивна кретања, очекује се да ти ефекти неће бити довољни да надоместе повећани увозни притисак, па ће нето извоз у наредној години имати негативан утицај на раст БДП.</w:t>
      </w:r>
    </w:p>
    <w:p w14:paraId="67F4120F" w14:textId="77777777" w:rsidR="005C6900" w:rsidRPr="00C531A2" w:rsidRDefault="005C6900" w:rsidP="005C6900">
      <w:pPr>
        <w:tabs>
          <w:tab w:val="left" w:pos="720"/>
          <w:tab w:val="left" w:pos="1440"/>
        </w:tabs>
        <w:spacing w:before="120" w:after="120"/>
        <w:ind w:firstLine="720"/>
        <w:rPr>
          <w:rFonts w:ascii="Times New Roman" w:hAnsi="Times New Roman"/>
          <w:bCs/>
          <w:szCs w:val="24"/>
        </w:rPr>
      </w:pPr>
      <w:r w:rsidRPr="00C531A2">
        <w:rPr>
          <w:rFonts w:ascii="Times New Roman" w:hAnsi="Times New Roman"/>
          <w:b/>
          <w:bCs/>
          <w:szCs w:val="24"/>
        </w:rPr>
        <w:t>Посматрано са производне стране, пројекције раста БДП за 2026. годину одражава опрезну процену кретања индустријске производње.</w:t>
      </w:r>
      <w:r w:rsidRPr="00C531A2">
        <w:rPr>
          <w:rFonts w:ascii="Times New Roman" w:hAnsi="Times New Roman"/>
          <w:bCs/>
          <w:szCs w:val="24"/>
        </w:rPr>
        <w:t xml:space="preserve"> Спорија динамика у појединим сегментима прерађивачке индустрије, на које утичу процеси глобалне фрагментације и преобликовање енергетских ланаца снабдевања односно „подизање завеса“ у енергетици условљава умеренију динамику производње и извоза. Уз претпоставку постепене нормализације услова спољне трговине, очекује се да се индустријска активност у наставку хоризонта постепено опоравља. Сектор услуга остаће главни носилац привредног раста, са очекиваним повећањем од 3,5% пре свега </w:t>
      </w:r>
      <w:r w:rsidRPr="00C531A2">
        <w:rPr>
          <w:rFonts w:ascii="Times New Roman" w:hAnsi="Times New Roman"/>
          <w:bCs/>
          <w:szCs w:val="24"/>
        </w:rPr>
        <w:lastRenderedPageBreak/>
        <w:t>као резултат снажног раста трговине, саобраћаја и туризма, као и наставка повољних кретања у ИКТ, финансијским и стручно-техничким услугама. Грађевинарство ће у 2026. години остварити раст од око 8,5%, захваљујући наставку реализације инфраструктурних пројеката, уласку у завршну фазу грађевинских активности повезаних са ЕКСПО-ом, као и ефекту ниске базе из 2025. године. За пољопривреду, под претпоставком просечне сезоне, пројектован раст износи 3,1%.</w:t>
      </w:r>
    </w:p>
    <w:p w14:paraId="1965B7F9" w14:textId="77777777" w:rsidR="005C6900" w:rsidRPr="00C531A2" w:rsidRDefault="005C6900" w:rsidP="005C6900">
      <w:pPr>
        <w:tabs>
          <w:tab w:val="left" w:pos="720"/>
          <w:tab w:val="left" w:pos="1440"/>
        </w:tabs>
        <w:spacing w:before="120" w:after="120"/>
        <w:ind w:firstLine="720"/>
        <w:rPr>
          <w:rFonts w:ascii="Times New Roman" w:hAnsi="Times New Roman"/>
          <w:bCs/>
          <w:szCs w:val="24"/>
        </w:rPr>
      </w:pPr>
      <w:r w:rsidRPr="00C531A2">
        <w:rPr>
          <w:rFonts w:ascii="Times New Roman" w:hAnsi="Times New Roman"/>
          <w:b/>
          <w:bCs/>
          <w:szCs w:val="24"/>
        </w:rPr>
        <w:t>У наредном периоду очекује се да ће тржиште рада наставити са повољним кретањима, у складу са очекиваним растом економске активности и стабилним макроекономским окружењем.</w:t>
      </w:r>
      <w:r w:rsidRPr="00C531A2">
        <w:rPr>
          <w:rFonts w:ascii="Times New Roman" w:hAnsi="Times New Roman"/>
          <w:bCs/>
          <w:szCs w:val="24"/>
        </w:rPr>
        <w:t xml:space="preserve"> Креатори јавних политика настављају да унапређују мере усмерене на јачање квалитета радне снаге и улагање у људски капитал, што доприноси лакшем запошљавању и развоју сектора са већом додатом вредношћу. Посебно се истиче раст запослености у областима заснованим на иновацијама и знању, што потврђује структурно јачање економије. Очекује се да ће се наставити активности усмерене на подстицање формалне запослености, чиме се додатно унапређују услови рада и стварају стабилнији извори буџетских прихода. Очекује се наставак позитивних ефеката мера активне политике запошљавања, програма преквалификација и подршке социјалном предузетништву, што ће омогућити већу доступност радних места социјално рањивим групама и допринети инклузивном привредном расту. У складу са наведеним, у средњем року пројектује се постепено смањивање незапослености и наставак реалног раста зарада. У приватном сектору очекује се стабилан раст у складу са тржишним кретањима, док ће зараде у јавном сектору наставити да се усклађују са фискалним правилима, обезбеђујући дугорочну одрживост.</w:t>
      </w:r>
    </w:p>
    <w:p w14:paraId="6E4F7BDC" w14:textId="77777777" w:rsidR="005C6900" w:rsidRPr="00C531A2" w:rsidRDefault="005C6900" w:rsidP="005C6900">
      <w:pPr>
        <w:tabs>
          <w:tab w:val="left" w:pos="720"/>
          <w:tab w:val="left" w:pos="1440"/>
        </w:tabs>
        <w:spacing w:before="120" w:after="120"/>
        <w:ind w:firstLine="720"/>
        <w:rPr>
          <w:rFonts w:ascii="Times New Roman" w:hAnsi="Times New Roman"/>
          <w:szCs w:val="24"/>
        </w:rPr>
      </w:pPr>
      <w:r w:rsidRPr="00C531A2">
        <w:rPr>
          <w:rFonts w:ascii="Times New Roman" w:hAnsi="Times New Roman"/>
          <w:b/>
          <w:bCs/>
          <w:szCs w:val="24"/>
        </w:rPr>
        <w:t xml:space="preserve">Током 2026. године очекује се стабилизација инфлације у границама циљаног оквира Народне банке Србије (3% ±1,5 п.п.), уз пројектовану просечну стопу од 3,7%. </w:t>
      </w:r>
      <w:r w:rsidRPr="00C531A2">
        <w:rPr>
          <w:rFonts w:ascii="Times New Roman" w:hAnsi="Times New Roman"/>
          <w:szCs w:val="24"/>
        </w:rPr>
        <w:t>Пројекција почива на комбинованом дејству слабљења спољних трошковних притисака и повољнијих домаћих фактора. Са спољне стране, очекује се да ће се наставити пад трошковних фактора који су утицали на раст цена. Са домаће стране, очекује се повољнија пољопривредна сезона, што повећава понуду основних прехрамбених производа и додатно успорава раст цена хране — компоненте са највећом учешћем у потрошачкој корпи. Наставак опрезне монетарне политике допринеће постепеном снижавању базне инфлације, уз усидреност инфлационих очекивања. Додатно, привремена мера ограничења трговачких маржи делује дезинфлаторно у сегменту хране и пића, подстичући конкуренцију и транспарентност и умањујући простор за преливање трошкова на остале категорије. У таквом макроекономском окружењу, очекује се кретање инфлације у границама циљаног оквира НБС. Сходно томе, Србија улази у 2026. годину са јасно дефинисаном путањом стабилизације цена и инфлацијом близу централне вредности циља, што представља предуслов за очување поверења, макроекономску стабилност и наставак раста реалног животног стандарда.</w:t>
      </w:r>
    </w:p>
    <w:p w14:paraId="7A4F8DCC" w14:textId="77777777" w:rsidR="005C6900" w:rsidRPr="00C531A2" w:rsidRDefault="005C6900" w:rsidP="005C6900">
      <w:pPr>
        <w:tabs>
          <w:tab w:val="left" w:pos="720"/>
          <w:tab w:val="left" w:pos="1440"/>
        </w:tabs>
        <w:spacing w:before="120" w:after="120"/>
        <w:ind w:firstLine="720"/>
        <w:rPr>
          <w:rFonts w:ascii="Times New Roman" w:hAnsi="Times New Roman"/>
          <w:bCs/>
          <w:szCs w:val="24"/>
        </w:rPr>
      </w:pPr>
      <w:r w:rsidRPr="00C531A2">
        <w:rPr>
          <w:rFonts w:ascii="Times New Roman" w:hAnsi="Times New Roman"/>
          <w:b/>
          <w:bCs/>
          <w:szCs w:val="24"/>
        </w:rPr>
        <w:t>Неизвесност присутна код пројекција остаје значајно већа од уобичајене, пре свега због природе и обима потенцијалних шокова.</w:t>
      </w:r>
      <w:r w:rsidRPr="00C531A2">
        <w:rPr>
          <w:rFonts w:ascii="Times New Roman" w:hAnsi="Times New Roman"/>
          <w:bCs/>
          <w:szCs w:val="24"/>
        </w:rPr>
        <w:t xml:space="preserve"> Растућа фрагментација глобалног економског система и могућност заоштравања блоковских подела носе ризик успоравања међународне трговине и волатилности на светским енергетским и финансијским тржиштима, што би могло додатно погодити Србију као малу и отворену економију. У таквом окружењу, Влада наставља са применом мера усмерених на очување макроекономске стабилности, јачање отпорности привреде и ублажавање утицаја спољних шокова, при чему задржавање опадајућег тренда јавног дуга у БДП остаје главно сидро фискалне политике.</w:t>
      </w:r>
    </w:p>
    <w:p w14:paraId="58FFB415" w14:textId="77777777" w:rsidR="005C6900" w:rsidRPr="00C531A2" w:rsidRDefault="005C6900" w:rsidP="005C6900">
      <w:pPr>
        <w:tabs>
          <w:tab w:val="left" w:pos="720"/>
        </w:tabs>
        <w:spacing w:after="200" w:line="276" w:lineRule="auto"/>
        <w:jc w:val="center"/>
        <w:rPr>
          <w:rFonts w:ascii="Times New Roman" w:hAnsi="Times New Roman"/>
          <w:b/>
        </w:rPr>
      </w:pPr>
      <w:r w:rsidRPr="00C531A2">
        <w:rPr>
          <w:rFonts w:ascii="Times New Roman" w:hAnsi="Times New Roman"/>
          <w:b/>
        </w:rPr>
        <w:t>Основне макроекономске претпоставке</w:t>
      </w:r>
    </w:p>
    <w:tbl>
      <w:tblPr>
        <w:tblW w:w="9360" w:type="dxa"/>
        <w:tblLook w:val="04A0" w:firstRow="1" w:lastRow="0" w:firstColumn="1" w:lastColumn="0" w:noHBand="0" w:noVBand="1"/>
      </w:tblPr>
      <w:tblGrid>
        <w:gridCol w:w="4500"/>
        <w:gridCol w:w="900"/>
        <w:gridCol w:w="990"/>
        <w:gridCol w:w="990"/>
        <w:gridCol w:w="990"/>
        <w:gridCol w:w="990"/>
      </w:tblGrid>
      <w:tr w:rsidR="005C6900" w:rsidRPr="00C531A2" w14:paraId="24C2E4F6" w14:textId="77777777" w:rsidTr="00725D9F">
        <w:trPr>
          <w:trHeight w:val="315"/>
        </w:trPr>
        <w:tc>
          <w:tcPr>
            <w:tcW w:w="4500" w:type="dxa"/>
            <w:tcBorders>
              <w:top w:val="nil"/>
              <w:left w:val="nil"/>
              <w:bottom w:val="single" w:sz="8" w:space="0" w:color="auto"/>
              <w:right w:val="single" w:sz="8" w:space="0" w:color="auto"/>
            </w:tcBorders>
            <w:shd w:val="clear" w:color="000000" w:fill="FFFFFF"/>
            <w:hideMark/>
          </w:tcPr>
          <w:p w14:paraId="64AC75E6" w14:textId="77777777" w:rsidR="005C6900" w:rsidRPr="00C531A2" w:rsidRDefault="005C6900" w:rsidP="00725D9F">
            <w:pPr>
              <w:rPr>
                <w:rFonts w:ascii="Times New Roman" w:hAnsi="Times New Roman"/>
                <w:sz w:val="20"/>
              </w:rPr>
            </w:pPr>
            <w:r w:rsidRPr="00C531A2">
              <w:rPr>
                <w:rFonts w:ascii="Times New Roman" w:hAnsi="Times New Roman"/>
                <w:sz w:val="20"/>
              </w:rPr>
              <w:lastRenderedPageBreak/>
              <w:t> </w:t>
            </w:r>
          </w:p>
        </w:tc>
        <w:tc>
          <w:tcPr>
            <w:tcW w:w="900" w:type="dxa"/>
            <w:tcBorders>
              <w:top w:val="nil"/>
              <w:left w:val="nil"/>
              <w:bottom w:val="single" w:sz="8" w:space="0" w:color="auto"/>
              <w:right w:val="single" w:sz="8" w:space="0" w:color="auto"/>
            </w:tcBorders>
            <w:shd w:val="clear" w:color="000000" w:fill="FFFFFF"/>
          </w:tcPr>
          <w:p w14:paraId="4733E474" w14:textId="77777777" w:rsidR="005C6900" w:rsidRPr="00C531A2" w:rsidRDefault="005C6900" w:rsidP="00725D9F">
            <w:pPr>
              <w:jc w:val="center"/>
              <w:rPr>
                <w:rFonts w:ascii="Times New Roman" w:hAnsi="Times New Roman"/>
                <w:sz w:val="20"/>
              </w:rPr>
            </w:pPr>
            <w:r w:rsidRPr="00C531A2">
              <w:rPr>
                <w:rFonts w:ascii="Times New Roman" w:hAnsi="Times New Roman"/>
                <w:sz w:val="20"/>
              </w:rPr>
              <w:t>2024</w:t>
            </w:r>
          </w:p>
        </w:tc>
        <w:tc>
          <w:tcPr>
            <w:tcW w:w="990" w:type="dxa"/>
            <w:tcBorders>
              <w:top w:val="nil"/>
              <w:left w:val="single" w:sz="8" w:space="0" w:color="auto"/>
              <w:bottom w:val="single" w:sz="8" w:space="0" w:color="auto"/>
              <w:right w:val="single" w:sz="8" w:space="0" w:color="auto"/>
            </w:tcBorders>
            <w:shd w:val="clear" w:color="000000" w:fill="FFFFFF"/>
            <w:noWrap/>
            <w:vAlign w:val="center"/>
            <w:hideMark/>
          </w:tcPr>
          <w:p w14:paraId="2CCFFF32" w14:textId="77777777" w:rsidR="005C6900" w:rsidRPr="00C531A2" w:rsidRDefault="005C6900" w:rsidP="00725D9F">
            <w:pPr>
              <w:jc w:val="center"/>
              <w:rPr>
                <w:rFonts w:ascii="Times New Roman" w:hAnsi="Times New Roman"/>
                <w:sz w:val="20"/>
              </w:rPr>
            </w:pPr>
            <w:r w:rsidRPr="00C531A2">
              <w:rPr>
                <w:rFonts w:ascii="Times New Roman" w:hAnsi="Times New Roman"/>
                <w:sz w:val="20"/>
              </w:rPr>
              <w:t>2025</w:t>
            </w:r>
          </w:p>
        </w:tc>
        <w:tc>
          <w:tcPr>
            <w:tcW w:w="990" w:type="dxa"/>
            <w:tcBorders>
              <w:top w:val="nil"/>
              <w:left w:val="nil"/>
              <w:bottom w:val="single" w:sz="8" w:space="0" w:color="auto"/>
              <w:right w:val="single" w:sz="8" w:space="0" w:color="auto"/>
            </w:tcBorders>
            <w:shd w:val="clear" w:color="000000" w:fill="FFFFFF"/>
            <w:noWrap/>
            <w:vAlign w:val="center"/>
            <w:hideMark/>
          </w:tcPr>
          <w:p w14:paraId="427DFED3" w14:textId="77777777" w:rsidR="005C6900" w:rsidRPr="00C531A2" w:rsidRDefault="005C6900" w:rsidP="00725D9F">
            <w:pPr>
              <w:jc w:val="center"/>
              <w:rPr>
                <w:rFonts w:ascii="Times New Roman" w:hAnsi="Times New Roman"/>
                <w:sz w:val="20"/>
              </w:rPr>
            </w:pPr>
            <w:r w:rsidRPr="00C531A2">
              <w:rPr>
                <w:rFonts w:ascii="Times New Roman" w:hAnsi="Times New Roman"/>
                <w:sz w:val="20"/>
              </w:rPr>
              <w:t>2026</w:t>
            </w:r>
          </w:p>
        </w:tc>
        <w:tc>
          <w:tcPr>
            <w:tcW w:w="990" w:type="dxa"/>
            <w:tcBorders>
              <w:top w:val="nil"/>
              <w:left w:val="nil"/>
              <w:bottom w:val="single" w:sz="8" w:space="0" w:color="auto"/>
              <w:right w:val="single" w:sz="8" w:space="0" w:color="auto"/>
            </w:tcBorders>
            <w:shd w:val="clear" w:color="000000" w:fill="FFFFFF"/>
          </w:tcPr>
          <w:p w14:paraId="76A5C070" w14:textId="77777777" w:rsidR="005C6900" w:rsidRPr="00C531A2" w:rsidRDefault="005C6900" w:rsidP="00725D9F">
            <w:pPr>
              <w:jc w:val="center"/>
              <w:rPr>
                <w:rFonts w:ascii="Times New Roman" w:hAnsi="Times New Roman"/>
                <w:sz w:val="20"/>
              </w:rPr>
            </w:pPr>
            <w:r w:rsidRPr="00C531A2">
              <w:rPr>
                <w:rFonts w:ascii="Times New Roman" w:hAnsi="Times New Roman"/>
                <w:sz w:val="20"/>
              </w:rPr>
              <w:t>2027</w:t>
            </w:r>
          </w:p>
        </w:tc>
        <w:tc>
          <w:tcPr>
            <w:tcW w:w="990" w:type="dxa"/>
            <w:tcBorders>
              <w:top w:val="nil"/>
              <w:left w:val="nil"/>
              <w:bottom w:val="single" w:sz="8" w:space="0" w:color="auto"/>
              <w:right w:val="single" w:sz="8" w:space="0" w:color="auto"/>
            </w:tcBorders>
            <w:shd w:val="clear" w:color="000000" w:fill="FFFFFF"/>
          </w:tcPr>
          <w:p w14:paraId="4FD47615" w14:textId="77777777" w:rsidR="005C6900" w:rsidRPr="00C531A2" w:rsidRDefault="005C6900" w:rsidP="00725D9F">
            <w:pPr>
              <w:jc w:val="center"/>
              <w:rPr>
                <w:rFonts w:ascii="Times New Roman" w:hAnsi="Times New Roman"/>
                <w:sz w:val="20"/>
              </w:rPr>
            </w:pPr>
            <w:r w:rsidRPr="00C531A2">
              <w:rPr>
                <w:rFonts w:ascii="Times New Roman" w:hAnsi="Times New Roman"/>
                <w:sz w:val="20"/>
              </w:rPr>
              <w:t>2028</w:t>
            </w:r>
          </w:p>
        </w:tc>
      </w:tr>
      <w:tr w:rsidR="005C6900" w:rsidRPr="00C531A2" w14:paraId="4663EC8F" w14:textId="77777777" w:rsidTr="00725D9F">
        <w:trPr>
          <w:trHeight w:val="215"/>
        </w:trPr>
        <w:tc>
          <w:tcPr>
            <w:tcW w:w="4500" w:type="dxa"/>
            <w:tcBorders>
              <w:top w:val="nil"/>
              <w:left w:val="nil"/>
              <w:bottom w:val="single" w:sz="8" w:space="0" w:color="auto"/>
              <w:right w:val="single" w:sz="8" w:space="0" w:color="auto"/>
            </w:tcBorders>
            <w:shd w:val="clear" w:color="000000" w:fill="F2F2F2"/>
            <w:noWrap/>
            <w:vAlign w:val="center"/>
            <w:hideMark/>
          </w:tcPr>
          <w:p w14:paraId="63D68955" w14:textId="77777777" w:rsidR="005C6900" w:rsidRPr="00C531A2" w:rsidRDefault="005C6900" w:rsidP="00725D9F">
            <w:pPr>
              <w:rPr>
                <w:rFonts w:ascii="Times New Roman" w:hAnsi="Times New Roman"/>
                <w:i/>
                <w:iCs/>
                <w:sz w:val="20"/>
              </w:rPr>
            </w:pPr>
            <w:r w:rsidRPr="00C531A2">
              <w:rPr>
                <w:rFonts w:ascii="Times New Roman" w:hAnsi="Times New Roman"/>
                <w:i/>
                <w:iCs/>
                <w:sz w:val="20"/>
              </w:rPr>
              <w:t>Стопа реалног раста БДП,%</w:t>
            </w:r>
          </w:p>
        </w:tc>
        <w:tc>
          <w:tcPr>
            <w:tcW w:w="900" w:type="dxa"/>
            <w:tcBorders>
              <w:top w:val="single" w:sz="8" w:space="0" w:color="auto"/>
              <w:left w:val="nil"/>
              <w:bottom w:val="single" w:sz="8" w:space="0" w:color="auto"/>
              <w:right w:val="single" w:sz="8" w:space="0" w:color="auto"/>
            </w:tcBorders>
            <w:shd w:val="clear" w:color="000000" w:fill="F2F2F2"/>
          </w:tcPr>
          <w:p w14:paraId="385F6529"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3,9</w:t>
            </w:r>
          </w:p>
        </w:tc>
        <w:tc>
          <w:tcPr>
            <w:tcW w:w="990" w:type="dxa"/>
            <w:tcBorders>
              <w:top w:val="nil"/>
              <w:left w:val="single" w:sz="8" w:space="0" w:color="auto"/>
              <w:bottom w:val="single" w:sz="8" w:space="0" w:color="auto"/>
              <w:right w:val="single" w:sz="8" w:space="0" w:color="auto"/>
            </w:tcBorders>
            <w:shd w:val="clear" w:color="000000" w:fill="F2F2F2"/>
            <w:noWrap/>
            <w:vAlign w:val="center"/>
          </w:tcPr>
          <w:p w14:paraId="3EB8A339"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2,3</w:t>
            </w:r>
          </w:p>
        </w:tc>
        <w:tc>
          <w:tcPr>
            <w:tcW w:w="990" w:type="dxa"/>
            <w:tcBorders>
              <w:top w:val="nil"/>
              <w:left w:val="nil"/>
              <w:bottom w:val="single" w:sz="8" w:space="0" w:color="auto"/>
              <w:right w:val="single" w:sz="8" w:space="0" w:color="auto"/>
            </w:tcBorders>
            <w:shd w:val="clear" w:color="000000" w:fill="F2F2F2"/>
            <w:noWrap/>
            <w:vAlign w:val="center"/>
          </w:tcPr>
          <w:p w14:paraId="4C5A8691"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3,0</w:t>
            </w:r>
          </w:p>
        </w:tc>
        <w:tc>
          <w:tcPr>
            <w:tcW w:w="990" w:type="dxa"/>
            <w:tcBorders>
              <w:top w:val="nil"/>
              <w:left w:val="nil"/>
              <w:bottom w:val="single" w:sz="8" w:space="0" w:color="auto"/>
              <w:right w:val="single" w:sz="8" w:space="0" w:color="auto"/>
            </w:tcBorders>
            <w:shd w:val="clear" w:color="000000" w:fill="F2F2F2"/>
          </w:tcPr>
          <w:p w14:paraId="47E93FBE"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5,0</w:t>
            </w:r>
          </w:p>
        </w:tc>
        <w:tc>
          <w:tcPr>
            <w:tcW w:w="990" w:type="dxa"/>
            <w:tcBorders>
              <w:top w:val="nil"/>
              <w:left w:val="nil"/>
              <w:bottom w:val="single" w:sz="8" w:space="0" w:color="auto"/>
              <w:right w:val="single" w:sz="8" w:space="0" w:color="auto"/>
            </w:tcBorders>
            <w:shd w:val="clear" w:color="000000" w:fill="F2F2F2"/>
          </w:tcPr>
          <w:p w14:paraId="5A3F3869"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3,5</w:t>
            </w:r>
          </w:p>
        </w:tc>
      </w:tr>
      <w:tr w:rsidR="005C6900" w:rsidRPr="00C531A2" w14:paraId="34F8F840" w14:textId="77777777" w:rsidTr="00725D9F">
        <w:trPr>
          <w:trHeight w:val="215"/>
        </w:trPr>
        <w:tc>
          <w:tcPr>
            <w:tcW w:w="4500" w:type="dxa"/>
            <w:tcBorders>
              <w:top w:val="nil"/>
              <w:left w:val="nil"/>
              <w:bottom w:val="single" w:sz="8" w:space="0" w:color="auto"/>
              <w:right w:val="single" w:sz="8" w:space="0" w:color="auto"/>
            </w:tcBorders>
            <w:shd w:val="clear" w:color="000000" w:fill="FFFFFF"/>
            <w:noWrap/>
            <w:vAlign w:val="center"/>
            <w:hideMark/>
          </w:tcPr>
          <w:p w14:paraId="027710AE" w14:textId="77777777" w:rsidR="005C6900" w:rsidRPr="00C531A2" w:rsidRDefault="005C6900" w:rsidP="00725D9F">
            <w:pPr>
              <w:rPr>
                <w:rFonts w:ascii="Times New Roman" w:hAnsi="Times New Roman"/>
                <w:i/>
                <w:iCs/>
                <w:sz w:val="20"/>
              </w:rPr>
            </w:pPr>
            <w:r w:rsidRPr="00C531A2">
              <w:rPr>
                <w:rFonts w:ascii="Times New Roman" w:hAnsi="Times New Roman"/>
                <w:i/>
                <w:iCs/>
                <w:sz w:val="20"/>
              </w:rPr>
              <w:t>БДП у текућим тржишним ценама (у млрд РСД)</w:t>
            </w:r>
          </w:p>
        </w:tc>
        <w:tc>
          <w:tcPr>
            <w:tcW w:w="900" w:type="dxa"/>
            <w:tcBorders>
              <w:top w:val="single" w:sz="8" w:space="0" w:color="auto"/>
              <w:left w:val="nil"/>
              <w:bottom w:val="single" w:sz="8" w:space="0" w:color="auto"/>
              <w:right w:val="single" w:sz="8" w:space="0" w:color="auto"/>
            </w:tcBorders>
          </w:tcPr>
          <w:p w14:paraId="2CC797D0"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9,748.3</w:t>
            </w:r>
          </w:p>
        </w:tc>
        <w:tc>
          <w:tcPr>
            <w:tcW w:w="990" w:type="dxa"/>
            <w:tcBorders>
              <w:top w:val="nil"/>
              <w:left w:val="single" w:sz="8" w:space="0" w:color="auto"/>
              <w:bottom w:val="single" w:sz="8" w:space="0" w:color="auto"/>
              <w:right w:val="single" w:sz="8" w:space="0" w:color="auto"/>
            </w:tcBorders>
            <w:noWrap/>
            <w:vAlign w:val="center"/>
          </w:tcPr>
          <w:p w14:paraId="0017CDAD"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10.377,9</w:t>
            </w:r>
          </w:p>
        </w:tc>
        <w:tc>
          <w:tcPr>
            <w:tcW w:w="990" w:type="dxa"/>
            <w:tcBorders>
              <w:top w:val="nil"/>
              <w:left w:val="nil"/>
              <w:bottom w:val="single" w:sz="8" w:space="0" w:color="auto"/>
              <w:right w:val="single" w:sz="8" w:space="0" w:color="auto"/>
            </w:tcBorders>
            <w:noWrap/>
            <w:vAlign w:val="center"/>
          </w:tcPr>
          <w:p w14:paraId="2C3A186D"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11.085,1</w:t>
            </w:r>
          </w:p>
        </w:tc>
        <w:tc>
          <w:tcPr>
            <w:tcW w:w="990" w:type="dxa"/>
            <w:tcBorders>
              <w:top w:val="nil"/>
              <w:left w:val="nil"/>
              <w:bottom w:val="single" w:sz="8" w:space="0" w:color="auto"/>
              <w:right w:val="single" w:sz="8" w:space="0" w:color="auto"/>
            </w:tcBorders>
          </w:tcPr>
          <w:p w14:paraId="4BC7D861"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12.034,3</w:t>
            </w:r>
          </w:p>
        </w:tc>
        <w:tc>
          <w:tcPr>
            <w:tcW w:w="990" w:type="dxa"/>
            <w:tcBorders>
              <w:top w:val="nil"/>
              <w:left w:val="nil"/>
              <w:bottom w:val="single" w:sz="8" w:space="0" w:color="auto"/>
              <w:right w:val="single" w:sz="8" w:space="0" w:color="auto"/>
            </w:tcBorders>
          </w:tcPr>
          <w:p w14:paraId="4CC4CCFE"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12.807,2</w:t>
            </w:r>
          </w:p>
        </w:tc>
      </w:tr>
      <w:tr w:rsidR="005C6900" w:rsidRPr="00C531A2" w14:paraId="5CF97DF1" w14:textId="77777777" w:rsidTr="00725D9F">
        <w:trPr>
          <w:trHeight w:val="215"/>
        </w:trPr>
        <w:tc>
          <w:tcPr>
            <w:tcW w:w="4500" w:type="dxa"/>
            <w:tcBorders>
              <w:top w:val="nil"/>
              <w:left w:val="nil"/>
              <w:bottom w:val="single" w:sz="8" w:space="0" w:color="auto"/>
              <w:right w:val="nil"/>
            </w:tcBorders>
            <w:shd w:val="clear" w:color="000000" w:fill="FFFFFF"/>
            <w:noWrap/>
            <w:vAlign w:val="center"/>
            <w:hideMark/>
          </w:tcPr>
          <w:p w14:paraId="4E589022" w14:textId="77777777" w:rsidR="005C6900" w:rsidRPr="00C531A2" w:rsidRDefault="005C6900" w:rsidP="00725D9F">
            <w:pPr>
              <w:rPr>
                <w:rFonts w:ascii="Times New Roman" w:hAnsi="Times New Roman"/>
                <w:b/>
                <w:bCs/>
                <w:i/>
                <w:iCs/>
                <w:sz w:val="20"/>
              </w:rPr>
            </w:pPr>
            <w:r w:rsidRPr="00C531A2">
              <w:rPr>
                <w:rFonts w:ascii="Times New Roman" w:hAnsi="Times New Roman"/>
                <w:b/>
                <w:bCs/>
                <w:i/>
                <w:iCs/>
                <w:sz w:val="20"/>
              </w:rPr>
              <w:t>Извори раста: процентне промене у сталним ценама</w:t>
            </w:r>
          </w:p>
        </w:tc>
        <w:tc>
          <w:tcPr>
            <w:tcW w:w="900" w:type="dxa"/>
            <w:tcBorders>
              <w:top w:val="nil"/>
              <w:left w:val="nil"/>
              <w:bottom w:val="single" w:sz="8" w:space="0" w:color="auto"/>
              <w:right w:val="nil"/>
            </w:tcBorders>
            <w:shd w:val="clear" w:color="000000" w:fill="FFFFFF"/>
          </w:tcPr>
          <w:p w14:paraId="369E3CDF" w14:textId="77777777" w:rsidR="005C6900" w:rsidRPr="00C531A2" w:rsidRDefault="005C6900" w:rsidP="00725D9F">
            <w:pPr>
              <w:rPr>
                <w:rFonts w:ascii="Times New Roman" w:hAnsi="Times New Roman"/>
                <w:b/>
                <w:bCs/>
                <w:i/>
                <w:iCs/>
                <w:sz w:val="20"/>
              </w:rPr>
            </w:pPr>
          </w:p>
        </w:tc>
        <w:tc>
          <w:tcPr>
            <w:tcW w:w="990" w:type="dxa"/>
            <w:tcBorders>
              <w:top w:val="nil"/>
              <w:left w:val="nil"/>
              <w:bottom w:val="single" w:sz="8" w:space="0" w:color="auto"/>
              <w:right w:val="nil"/>
            </w:tcBorders>
            <w:shd w:val="clear" w:color="000000" w:fill="FFFFFF"/>
            <w:noWrap/>
            <w:vAlign w:val="center"/>
          </w:tcPr>
          <w:p w14:paraId="6F920CA7" w14:textId="77777777" w:rsidR="005C6900" w:rsidRPr="00C531A2" w:rsidRDefault="005C6900" w:rsidP="00725D9F">
            <w:pPr>
              <w:rPr>
                <w:rFonts w:ascii="Times New Roman" w:hAnsi="Times New Roman"/>
                <w:b/>
                <w:bCs/>
                <w:i/>
                <w:iCs/>
                <w:sz w:val="20"/>
              </w:rPr>
            </w:pPr>
          </w:p>
        </w:tc>
        <w:tc>
          <w:tcPr>
            <w:tcW w:w="990" w:type="dxa"/>
            <w:tcBorders>
              <w:top w:val="nil"/>
              <w:left w:val="nil"/>
              <w:bottom w:val="single" w:sz="8" w:space="0" w:color="auto"/>
              <w:right w:val="single" w:sz="8" w:space="0" w:color="7F7F7F"/>
            </w:tcBorders>
            <w:shd w:val="clear" w:color="000000" w:fill="FFFFFF"/>
            <w:noWrap/>
            <w:vAlign w:val="center"/>
          </w:tcPr>
          <w:p w14:paraId="50FC541C" w14:textId="77777777" w:rsidR="005C6900" w:rsidRPr="00C531A2" w:rsidRDefault="005C6900" w:rsidP="00725D9F">
            <w:pPr>
              <w:rPr>
                <w:rFonts w:ascii="Times New Roman" w:hAnsi="Times New Roman"/>
                <w:b/>
                <w:bCs/>
                <w:i/>
                <w:iCs/>
                <w:sz w:val="20"/>
              </w:rPr>
            </w:pPr>
          </w:p>
        </w:tc>
        <w:tc>
          <w:tcPr>
            <w:tcW w:w="990" w:type="dxa"/>
            <w:tcBorders>
              <w:top w:val="nil"/>
              <w:left w:val="nil"/>
              <w:bottom w:val="single" w:sz="8" w:space="0" w:color="auto"/>
              <w:right w:val="single" w:sz="8" w:space="0" w:color="7F7F7F"/>
            </w:tcBorders>
            <w:shd w:val="clear" w:color="000000" w:fill="FFFFFF"/>
          </w:tcPr>
          <w:p w14:paraId="7B33904F" w14:textId="77777777" w:rsidR="005C6900" w:rsidRPr="00C531A2" w:rsidRDefault="005C6900" w:rsidP="00725D9F">
            <w:pPr>
              <w:rPr>
                <w:rFonts w:ascii="Times New Roman" w:hAnsi="Times New Roman"/>
                <w:b/>
                <w:bCs/>
                <w:i/>
                <w:iCs/>
                <w:sz w:val="20"/>
              </w:rPr>
            </w:pPr>
          </w:p>
        </w:tc>
        <w:tc>
          <w:tcPr>
            <w:tcW w:w="990" w:type="dxa"/>
            <w:tcBorders>
              <w:top w:val="nil"/>
              <w:left w:val="nil"/>
              <w:bottom w:val="single" w:sz="8" w:space="0" w:color="auto"/>
              <w:right w:val="single" w:sz="8" w:space="0" w:color="7F7F7F"/>
            </w:tcBorders>
            <w:shd w:val="clear" w:color="000000" w:fill="FFFFFF"/>
          </w:tcPr>
          <w:p w14:paraId="04341440" w14:textId="77777777" w:rsidR="005C6900" w:rsidRPr="00C531A2" w:rsidRDefault="005C6900" w:rsidP="00725D9F">
            <w:pPr>
              <w:rPr>
                <w:rFonts w:ascii="Times New Roman" w:hAnsi="Times New Roman"/>
                <w:b/>
                <w:bCs/>
                <w:i/>
                <w:iCs/>
                <w:sz w:val="20"/>
              </w:rPr>
            </w:pPr>
          </w:p>
        </w:tc>
      </w:tr>
      <w:tr w:rsidR="005C6900" w:rsidRPr="00C531A2" w14:paraId="76BCF9E3" w14:textId="77777777" w:rsidTr="00725D9F">
        <w:trPr>
          <w:trHeight w:val="215"/>
        </w:trPr>
        <w:tc>
          <w:tcPr>
            <w:tcW w:w="4500" w:type="dxa"/>
            <w:tcBorders>
              <w:top w:val="nil"/>
              <w:left w:val="nil"/>
              <w:bottom w:val="single" w:sz="8" w:space="0" w:color="auto"/>
              <w:right w:val="single" w:sz="8" w:space="0" w:color="auto"/>
            </w:tcBorders>
            <w:shd w:val="clear" w:color="000000" w:fill="FFFFFF"/>
            <w:noWrap/>
            <w:vAlign w:val="center"/>
            <w:hideMark/>
          </w:tcPr>
          <w:p w14:paraId="6A616435" w14:textId="77777777" w:rsidR="005C6900" w:rsidRPr="00C531A2" w:rsidRDefault="005C6900" w:rsidP="00725D9F">
            <w:pPr>
              <w:rPr>
                <w:rFonts w:ascii="Times New Roman" w:hAnsi="Times New Roman"/>
                <w:i/>
                <w:iCs/>
                <w:sz w:val="20"/>
              </w:rPr>
            </w:pPr>
            <w:r w:rsidRPr="00C531A2">
              <w:rPr>
                <w:rFonts w:ascii="Times New Roman" w:hAnsi="Times New Roman"/>
                <w:i/>
                <w:iCs/>
                <w:sz w:val="20"/>
              </w:rPr>
              <w:t>Лична потрошња</w:t>
            </w:r>
          </w:p>
        </w:tc>
        <w:tc>
          <w:tcPr>
            <w:tcW w:w="900" w:type="dxa"/>
            <w:tcBorders>
              <w:top w:val="single" w:sz="8" w:space="0" w:color="auto"/>
              <w:left w:val="nil"/>
              <w:bottom w:val="single" w:sz="8" w:space="0" w:color="auto"/>
              <w:right w:val="single" w:sz="8" w:space="0" w:color="auto"/>
            </w:tcBorders>
          </w:tcPr>
          <w:p w14:paraId="354E4768"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5,2</w:t>
            </w:r>
          </w:p>
        </w:tc>
        <w:tc>
          <w:tcPr>
            <w:tcW w:w="990" w:type="dxa"/>
            <w:tcBorders>
              <w:top w:val="nil"/>
              <w:left w:val="single" w:sz="8" w:space="0" w:color="auto"/>
              <w:bottom w:val="single" w:sz="8" w:space="0" w:color="auto"/>
              <w:right w:val="single" w:sz="8" w:space="0" w:color="auto"/>
            </w:tcBorders>
            <w:noWrap/>
            <w:vAlign w:val="center"/>
          </w:tcPr>
          <w:p w14:paraId="171627D1"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2,8</w:t>
            </w:r>
          </w:p>
        </w:tc>
        <w:tc>
          <w:tcPr>
            <w:tcW w:w="990" w:type="dxa"/>
            <w:tcBorders>
              <w:top w:val="nil"/>
              <w:left w:val="nil"/>
              <w:bottom w:val="single" w:sz="8" w:space="0" w:color="auto"/>
              <w:right w:val="single" w:sz="8" w:space="0" w:color="auto"/>
            </w:tcBorders>
            <w:noWrap/>
            <w:vAlign w:val="center"/>
          </w:tcPr>
          <w:p w14:paraId="480237E5"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4,6</w:t>
            </w:r>
          </w:p>
        </w:tc>
        <w:tc>
          <w:tcPr>
            <w:tcW w:w="990" w:type="dxa"/>
            <w:tcBorders>
              <w:top w:val="nil"/>
              <w:left w:val="nil"/>
              <w:bottom w:val="single" w:sz="8" w:space="0" w:color="auto"/>
              <w:right w:val="single" w:sz="8" w:space="0" w:color="auto"/>
            </w:tcBorders>
          </w:tcPr>
          <w:p w14:paraId="18272429"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3,5</w:t>
            </w:r>
          </w:p>
        </w:tc>
        <w:tc>
          <w:tcPr>
            <w:tcW w:w="990" w:type="dxa"/>
            <w:tcBorders>
              <w:top w:val="nil"/>
              <w:left w:val="nil"/>
              <w:bottom w:val="single" w:sz="8" w:space="0" w:color="auto"/>
              <w:right w:val="single" w:sz="8" w:space="0" w:color="auto"/>
            </w:tcBorders>
          </w:tcPr>
          <w:p w14:paraId="30A2F5D0"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3,4</w:t>
            </w:r>
          </w:p>
        </w:tc>
      </w:tr>
      <w:tr w:rsidR="005C6900" w:rsidRPr="00C531A2" w14:paraId="76B09201" w14:textId="77777777" w:rsidTr="00725D9F">
        <w:trPr>
          <w:trHeight w:val="215"/>
        </w:trPr>
        <w:tc>
          <w:tcPr>
            <w:tcW w:w="4500" w:type="dxa"/>
            <w:tcBorders>
              <w:top w:val="nil"/>
              <w:left w:val="nil"/>
              <w:bottom w:val="single" w:sz="8" w:space="0" w:color="auto"/>
              <w:right w:val="single" w:sz="8" w:space="0" w:color="auto"/>
            </w:tcBorders>
            <w:shd w:val="clear" w:color="000000" w:fill="F2F2F2"/>
            <w:noWrap/>
            <w:vAlign w:val="center"/>
            <w:hideMark/>
          </w:tcPr>
          <w:p w14:paraId="4ACB64B0" w14:textId="77777777" w:rsidR="005C6900" w:rsidRPr="00C531A2" w:rsidRDefault="005C6900" w:rsidP="00725D9F">
            <w:pPr>
              <w:rPr>
                <w:rFonts w:ascii="Times New Roman" w:hAnsi="Times New Roman"/>
                <w:i/>
                <w:iCs/>
                <w:sz w:val="20"/>
              </w:rPr>
            </w:pPr>
            <w:r w:rsidRPr="00C531A2">
              <w:rPr>
                <w:rFonts w:ascii="Times New Roman" w:hAnsi="Times New Roman"/>
                <w:i/>
                <w:iCs/>
                <w:sz w:val="20"/>
              </w:rPr>
              <w:t>Државна потрошња</w:t>
            </w:r>
          </w:p>
        </w:tc>
        <w:tc>
          <w:tcPr>
            <w:tcW w:w="900" w:type="dxa"/>
            <w:tcBorders>
              <w:top w:val="single" w:sz="8" w:space="0" w:color="auto"/>
              <w:left w:val="nil"/>
              <w:bottom w:val="single" w:sz="8" w:space="0" w:color="auto"/>
              <w:right w:val="single" w:sz="8" w:space="0" w:color="auto"/>
            </w:tcBorders>
            <w:shd w:val="clear" w:color="000000" w:fill="F2F2F2"/>
          </w:tcPr>
          <w:p w14:paraId="77E28B13"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4,0</w:t>
            </w:r>
          </w:p>
        </w:tc>
        <w:tc>
          <w:tcPr>
            <w:tcW w:w="990" w:type="dxa"/>
            <w:tcBorders>
              <w:top w:val="nil"/>
              <w:left w:val="single" w:sz="8" w:space="0" w:color="auto"/>
              <w:bottom w:val="single" w:sz="8" w:space="0" w:color="auto"/>
              <w:right w:val="single" w:sz="8" w:space="0" w:color="auto"/>
            </w:tcBorders>
            <w:shd w:val="clear" w:color="000000" w:fill="F2F2F2"/>
            <w:noWrap/>
            <w:vAlign w:val="center"/>
          </w:tcPr>
          <w:p w14:paraId="48FE619F"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2,6</w:t>
            </w:r>
          </w:p>
        </w:tc>
        <w:tc>
          <w:tcPr>
            <w:tcW w:w="990" w:type="dxa"/>
            <w:tcBorders>
              <w:top w:val="nil"/>
              <w:left w:val="nil"/>
              <w:bottom w:val="single" w:sz="8" w:space="0" w:color="auto"/>
              <w:right w:val="single" w:sz="8" w:space="0" w:color="auto"/>
            </w:tcBorders>
            <w:shd w:val="clear" w:color="000000" w:fill="F2F2F2"/>
            <w:noWrap/>
            <w:vAlign w:val="center"/>
          </w:tcPr>
          <w:p w14:paraId="61F3E534"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2,9</w:t>
            </w:r>
          </w:p>
        </w:tc>
        <w:tc>
          <w:tcPr>
            <w:tcW w:w="990" w:type="dxa"/>
            <w:tcBorders>
              <w:top w:val="nil"/>
              <w:left w:val="nil"/>
              <w:bottom w:val="single" w:sz="8" w:space="0" w:color="auto"/>
              <w:right w:val="single" w:sz="8" w:space="0" w:color="auto"/>
            </w:tcBorders>
            <w:shd w:val="clear" w:color="000000" w:fill="F2F2F2"/>
          </w:tcPr>
          <w:p w14:paraId="64ACF0ED"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2,0</w:t>
            </w:r>
          </w:p>
        </w:tc>
        <w:tc>
          <w:tcPr>
            <w:tcW w:w="990" w:type="dxa"/>
            <w:tcBorders>
              <w:top w:val="nil"/>
              <w:left w:val="nil"/>
              <w:bottom w:val="single" w:sz="8" w:space="0" w:color="auto"/>
              <w:right w:val="single" w:sz="8" w:space="0" w:color="auto"/>
            </w:tcBorders>
            <w:shd w:val="clear" w:color="000000" w:fill="F2F2F2"/>
          </w:tcPr>
          <w:p w14:paraId="59A3A9A9"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2,4</w:t>
            </w:r>
          </w:p>
        </w:tc>
      </w:tr>
      <w:tr w:rsidR="005C6900" w:rsidRPr="00C531A2" w14:paraId="3B67A3B5" w14:textId="77777777" w:rsidTr="00725D9F">
        <w:trPr>
          <w:trHeight w:val="215"/>
        </w:trPr>
        <w:tc>
          <w:tcPr>
            <w:tcW w:w="4500" w:type="dxa"/>
            <w:tcBorders>
              <w:top w:val="nil"/>
              <w:left w:val="nil"/>
              <w:bottom w:val="single" w:sz="8" w:space="0" w:color="auto"/>
              <w:right w:val="single" w:sz="8" w:space="0" w:color="auto"/>
            </w:tcBorders>
            <w:shd w:val="clear" w:color="000000" w:fill="FFFFFF"/>
            <w:noWrap/>
            <w:vAlign w:val="center"/>
            <w:hideMark/>
          </w:tcPr>
          <w:p w14:paraId="6EDE39DB" w14:textId="77777777" w:rsidR="005C6900" w:rsidRPr="00C531A2" w:rsidRDefault="005C6900" w:rsidP="00725D9F">
            <w:pPr>
              <w:rPr>
                <w:rFonts w:ascii="Times New Roman" w:hAnsi="Times New Roman"/>
                <w:i/>
                <w:iCs/>
                <w:sz w:val="20"/>
              </w:rPr>
            </w:pPr>
            <w:r w:rsidRPr="00C531A2">
              <w:rPr>
                <w:rFonts w:ascii="Times New Roman" w:hAnsi="Times New Roman"/>
                <w:i/>
                <w:iCs/>
                <w:sz w:val="20"/>
              </w:rPr>
              <w:t>Инвестиције у основна средства</w:t>
            </w:r>
          </w:p>
        </w:tc>
        <w:tc>
          <w:tcPr>
            <w:tcW w:w="900" w:type="dxa"/>
            <w:tcBorders>
              <w:top w:val="single" w:sz="8" w:space="0" w:color="auto"/>
              <w:left w:val="nil"/>
              <w:bottom w:val="single" w:sz="8" w:space="0" w:color="auto"/>
              <w:right w:val="single" w:sz="8" w:space="0" w:color="auto"/>
            </w:tcBorders>
          </w:tcPr>
          <w:p w14:paraId="5E5E6C62"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7,7</w:t>
            </w:r>
          </w:p>
        </w:tc>
        <w:tc>
          <w:tcPr>
            <w:tcW w:w="990" w:type="dxa"/>
            <w:tcBorders>
              <w:top w:val="nil"/>
              <w:left w:val="single" w:sz="8" w:space="0" w:color="auto"/>
              <w:bottom w:val="single" w:sz="8" w:space="0" w:color="auto"/>
              <w:right w:val="single" w:sz="8" w:space="0" w:color="auto"/>
            </w:tcBorders>
            <w:noWrap/>
            <w:vAlign w:val="center"/>
          </w:tcPr>
          <w:p w14:paraId="6770E61B"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1,6</w:t>
            </w:r>
          </w:p>
        </w:tc>
        <w:tc>
          <w:tcPr>
            <w:tcW w:w="990" w:type="dxa"/>
            <w:tcBorders>
              <w:top w:val="nil"/>
              <w:left w:val="nil"/>
              <w:bottom w:val="single" w:sz="8" w:space="0" w:color="auto"/>
              <w:right w:val="single" w:sz="8" w:space="0" w:color="auto"/>
            </w:tcBorders>
            <w:noWrap/>
            <w:vAlign w:val="center"/>
          </w:tcPr>
          <w:p w14:paraId="71389955"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6,9</w:t>
            </w:r>
          </w:p>
        </w:tc>
        <w:tc>
          <w:tcPr>
            <w:tcW w:w="990" w:type="dxa"/>
            <w:tcBorders>
              <w:top w:val="nil"/>
              <w:left w:val="nil"/>
              <w:bottom w:val="single" w:sz="8" w:space="0" w:color="auto"/>
              <w:right w:val="single" w:sz="8" w:space="0" w:color="auto"/>
            </w:tcBorders>
          </w:tcPr>
          <w:p w14:paraId="235F57ED"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5,9</w:t>
            </w:r>
          </w:p>
        </w:tc>
        <w:tc>
          <w:tcPr>
            <w:tcW w:w="990" w:type="dxa"/>
            <w:tcBorders>
              <w:top w:val="nil"/>
              <w:left w:val="nil"/>
              <w:bottom w:val="single" w:sz="8" w:space="0" w:color="auto"/>
              <w:right w:val="single" w:sz="8" w:space="0" w:color="auto"/>
            </w:tcBorders>
          </w:tcPr>
          <w:p w14:paraId="1BBCF74A"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4,5</w:t>
            </w:r>
          </w:p>
        </w:tc>
      </w:tr>
      <w:tr w:rsidR="005C6900" w:rsidRPr="00C531A2" w14:paraId="556213F5" w14:textId="77777777" w:rsidTr="00725D9F">
        <w:trPr>
          <w:trHeight w:val="215"/>
        </w:trPr>
        <w:tc>
          <w:tcPr>
            <w:tcW w:w="4500" w:type="dxa"/>
            <w:tcBorders>
              <w:top w:val="nil"/>
              <w:left w:val="nil"/>
              <w:bottom w:val="single" w:sz="8" w:space="0" w:color="auto"/>
              <w:right w:val="single" w:sz="8" w:space="0" w:color="auto"/>
            </w:tcBorders>
            <w:shd w:val="clear" w:color="000000" w:fill="F2F2F2"/>
            <w:noWrap/>
            <w:vAlign w:val="center"/>
            <w:hideMark/>
          </w:tcPr>
          <w:p w14:paraId="120017B8" w14:textId="77777777" w:rsidR="005C6900" w:rsidRPr="00C531A2" w:rsidRDefault="005C6900" w:rsidP="00725D9F">
            <w:pPr>
              <w:rPr>
                <w:rFonts w:ascii="Times New Roman" w:hAnsi="Times New Roman"/>
                <w:i/>
                <w:iCs/>
                <w:sz w:val="20"/>
              </w:rPr>
            </w:pPr>
            <w:r w:rsidRPr="00C531A2">
              <w:rPr>
                <w:rFonts w:ascii="Times New Roman" w:hAnsi="Times New Roman"/>
                <w:i/>
                <w:iCs/>
                <w:sz w:val="20"/>
              </w:rPr>
              <w:t>Извоз роба и услуга</w:t>
            </w:r>
          </w:p>
        </w:tc>
        <w:tc>
          <w:tcPr>
            <w:tcW w:w="900" w:type="dxa"/>
            <w:tcBorders>
              <w:top w:val="single" w:sz="8" w:space="0" w:color="auto"/>
              <w:left w:val="nil"/>
              <w:bottom w:val="single" w:sz="8" w:space="0" w:color="auto"/>
              <w:right w:val="single" w:sz="8" w:space="0" w:color="auto"/>
            </w:tcBorders>
            <w:shd w:val="clear" w:color="000000" w:fill="F2F2F2"/>
          </w:tcPr>
          <w:p w14:paraId="289AB3D4"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5,2</w:t>
            </w:r>
          </w:p>
        </w:tc>
        <w:tc>
          <w:tcPr>
            <w:tcW w:w="990" w:type="dxa"/>
            <w:tcBorders>
              <w:top w:val="nil"/>
              <w:left w:val="single" w:sz="8" w:space="0" w:color="auto"/>
              <w:bottom w:val="single" w:sz="8" w:space="0" w:color="auto"/>
              <w:right w:val="single" w:sz="8" w:space="0" w:color="auto"/>
            </w:tcBorders>
            <w:shd w:val="clear" w:color="000000" w:fill="F2F2F2"/>
            <w:noWrap/>
            <w:vAlign w:val="center"/>
          </w:tcPr>
          <w:p w14:paraId="51F19884"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4,3</w:t>
            </w:r>
          </w:p>
        </w:tc>
        <w:tc>
          <w:tcPr>
            <w:tcW w:w="990" w:type="dxa"/>
            <w:tcBorders>
              <w:top w:val="nil"/>
              <w:left w:val="nil"/>
              <w:bottom w:val="single" w:sz="8" w:space="0" w:color="auto"/>
              <w:right w:val="single" w:sz="8" w:space="0" w:color="auto"/>
            </w:tcBorders>
            <w:shd w:val="clear" w:color="000000" w:fill="F2F2F2"/>
            <w:noWrap/>
            <w:vAlign w:val="center"/>
          </w:tcPr>
          <w:p w14:paraId="3C74EB40"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4,7</w:t>
            </w:r>
          </w:p>
        </w:tc>
        <w:tc>
          <w:tcPr>
            <w:tcW w:w="990" w:type="dxa"/>
            <w:tcBorders>
              <w:top w:val="nil"/>
              <w:left w:val="nil"/>
              <w:bottom w:val="single" w:sz="8" w:space="0" w:color="auto"/>
              <w:right w:val="single" w:sz="8" w:space="0" w:color="auto"/>
            </w:tcBorders>
            <w:shd w:val="clear" w:color="000000" w:fill="F2F2F2"/>
          </w:tcPr>
          <w:p w14:paraId="6C71D448"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8,4</w:t>
            </w:r>
          </w:p>
        </w:tc>
        <w:tc>
          <w:tcPr>
            <w:tcW w:w="990" w:type="dxa"/>
            <w:tcBorders>
              <w:top w:val="nil"/>
              <w:left w:val="nil"/>
              <w:bottom w:val="single" w:sz="8" w:space="0" w:color="auto"/>
              <w:right w:val="single" w:sz="8" w:space="0" w:color="auto"/>
            </w:tcBorders>
            <w:shd w:val="clear" w:color="000000" w:fill="F2F2F2"/>
          </w:tcPr>
          <w:p w14:paraId="65E9CCC8"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5,6</w:t>
            </w:r>
          </w:p>
        </w:tc>
      </w:tr>
      <w:tr w:rsidR="005C6900" w:rsidRPr="00C531A2" w14:paraId="32F61644" w14:textId="77777777" w:rsidTr="00725D9F">
        <w:trPr>
          <w:trHeight w:val="215"/>
        </w:trPr>
        <w:tc>
          <w:tcPr>
            <w:tcW w:w="4500" w:type="dxa"/>
            <w:tcBorders>
              <w:top w:val="nil"/>
              <w:left w:val="nil"/>
              <w:bottom w:val="single" w:sz="8" w:space="0" w:color="auto"/>
              <w:right w:val="single" w:sz="8" w:space="0" w:color="auto"/>
            </w:tcBorders>
            <w:shd w:val="clear" w:color="000000" w:fill="FFFFFF"/>
            <w:noWrap/>
            <w:vAlign w:val="center"/>
            <w:hideMark/>
          </w:tcPr>
          <w:p w14:paraId="2EA48F26" w14:textId="77777777" w:rsidR="005C6900" w:rsidRPr="00C531A2" w:rsidRDefault="005C6900" w:rsidP="00725D9F">
            <w:pPr>
              <w:rPr>
                <w:rFonts w:ascii="Times New Roman" w:hAnsi="Times New Roman"/>
                <w:i/>
                <w:iCs/>
                <w:sz w:val="20"/>
              </w:rPr>
            </w:pPr>
            <w:r w:rsidRPr="00C531A2">
              <w:rPr>
                <w:rFonts w:ascii="Times New Roman" w:hAnsi="Times New Roman"/>
                <w:i/>
                <w:iCs/>
                <w:sz w:val="20"/>
              </w:rPr>
              <w:t>Увоз роба и услуга</w:t>
            </w:r>
          </w:p>
        </w:tc>
        <w:tc>
          <w:tcPr>
            <w:tcW w:w="900" w:type="dxa"/>
            <w:tcBorders>
              <w:top w:val="single" w:sz="8" w:space="0" w:color="auto"/>
              <w:left w:val="nil"/>
              <w:bottom w:val="single" w:sz="8" w:space="0" w:color="auto"/>
              <w:right w:val="single" w:sz="8" w:space="0" w:color="auto"/>
            </w:tcBorders>
          </w:tcPr>
          <w:p w14:paraId="7A1462EB"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8,0</w:t>
            </w:r>
          </w:p>
        </w:tc>
        <w:tc>
          <w:tcPr>
            <w:tcW w:w="990" w:type="dxa"/>
            <w:tcBorders>
              <w:top w:val="nil"/>
              <w:left w:val="single" w:sz="8" w:space="0" w:color="auto"/>
              <w:bottom w:val="single" w:sz="8" w:space="0" w:color="auto"/>
              <w:right w:val="single" w:sz="8" w:space="0" w:color="auto"/>
            </w:tcBorders>
            <w:noWrap/>
            <w:vAlign w:val="center"/>
          </w:tcPr>
          <w:p w14:paraId="7B23C176"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5,5</w:t>
            </w:r>
          </w:p>
        </w:tc>
        <w:tc>
          <w:tcPr>
            <w:tcW w:w="990" w:type="dxa"/>
            <w:tcBorders>
              <w:top w:val="nil"/>
              <w:left w:val="nil"/>
              <w:bottom w:val="single" w:sz="8" w:space="0" w:color="auto"/>
              <w:right w:val="single" w:sz="8" w:space="0" w:color="auto"/>
            </w:tcBorders>
            <w:noWrap/>
            <w:vAlign w:val="center"/>
          </w:tcPr>
          <w:p w14:paraId="25C1C1E2"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6,5</w:t>
            </w:r>
          </w:p>
        </w:tc>
        <w:tc>
          <w:tcPr>
            <w:tcW w:w="990" w:type="dxa"/>
            <w:tcBorders>
              <w:top w:val="nil"/>
              <w:left w:val="nil"/>
              <w:bottom w:val="single" w:sz="8" w:space="0" w:color="auto"/>
              <w:right w:val="single" w:sz="8" w:space="0" w:color="auto"/>
            </w:tcBorders>
          </w:tcPr>
          <w:p w14:paraId="1537B1E1"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6,0</w:t>
            </w:r>
          </w:p>
        </w:tc>
        <w:tc>
          <w:tcPr>
            <w:tcW w:w="990" w:type="dxa"/>
            <w:tcBorders>
              <w:top w:val="nil"/>
              <w:left w:val="nil"/>
              <w:bottom w:val="single" w:sz="8" w:space="0" w:color="auto"/>
              <w:right w:val="single" w:sz="8" w:space="0" w:color="auto"/>
            </w:tcBorders>
          </w:tcPr>
          <w:p w14:paraId="14AFAFC0"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5,5</w:t>
            </w:r>
          </w:p>
        </w:tc>
      </w:tr>
      <w:tr w:rsidR="005C6900" w:rsidRPr="00C531A2" w14:paraId="2DB23844" w14:textId="77777777" w:rsidTr="00725D9F">
        <w:trPr>
          <w:trHeight w:val="215"/>
        </w:trPr>
        <w:tc>
          <w:tcPr>
            <w:tcW w:w="4500" w:type="dxa"/>
            <w:tcBorders>
              <w:top w:val="nil"/>
              <w:left w:val="nil"/>
              <w:bottom w:val="single" w:sz="8" w:space="0" w:color="auto"/>
              <w:right w:val="nil"/>
            </w:tcBorders>
            <w:shd w:val="clear" w:color="000000" w:fill="FFFFFF"/>
            <w:noWrap/>
            <w:vAlign w:val="center"/>
            <w:hideMark/>
          </w:tcPr>
          <w:p w14:paraId="25C10D6A" w14:textId="77777777" w:rsidR="005C6900" w:rsidRPr="00C531A2" w:rsidRDefault="005C6900" w:rsidP="00725D9F">
            <w:pPr>
              <w:rPr>
                <w:rFonts w:ascii="Times New Roman" w:hAnsi="Times New Roman"/>
                <w:b/>
                <w:bCs/>
                <w:i/>
                <w:iCs/>
                <w:sz w:val="20"/>
              </w:rPr>
            </w:pPr>
            <w:r w:rsidRPr="00C531A2">
              <w:rPr>
                <w:rFonts w:ascii="Times New Roman" w:hAnsi="Times New Roman"/>
                <w:b/>
                <w:bCs/>
                <w:i/>
                <w:iCs/>
                <w:sz w:val="20"/>
              </w:rPr>
              <w:t>Допринос расту БДП, процентни поени</w:t>
            </w:r>
          </w:p>
        </w:tc>
        <w:tc>
          <w:tcPr>
            <w:tcW w:w="900" w:type="dxa"/>
            <w:tcBorders>
              <w:top w:val="nil"/>
              <w:left w:val="nil"/>
              <w:bottom w:val="single" w:sz="8" w:space="0" w:color="auto"/>
              <w:right w:val="nil"/>
            </w:tcBorders>
            <w:shd w:val="clear" w:color="000000" w:fill="FFFFFF"/>
          </w:tcPr>
          <w:p w14:paraId="7A2C65C2" w14:textId="77777777" w:rsidR="005C6900" w:rsidRPr="00C531A2" w:rsidRDefault="005C6900" w:rsidP="00725D9F">
            <w:pPr>
              <w:rPr>
                <w:rFonts w:ascii="Times New Roman" w:hAnsi="Times New Roman"/>
                <w:b/>
                <w:bCs/>
                <w:i/>
                <w:iCs/>
                <w:sz w:val="20"/>
              </w:rPr>
            </w:pPr>
          </w:p>
        </w:tc>
        <w:tc>
          <w:tcPr>
            <w:tcW w:w="990" w:type="dxa"/>
            <w:tcBorders>
              <w:top w:val="nil"/>
              <w:left w:val="nil"/>
              <w:bottom w:val="single" w:sz="8" w:space="0" w:color="auto"/>
              <w:right w:val="nil"/>
            </w:tcBorders>
            <w:shd w:val="clear" w:color="000000" w:fill="FFFFFF"/>
            <w:noWrap/>
            <w:vAlign w:val="center"/>
          </w:tcPr>
          <w:p w14:paraId="1448C3E8" w14:textId="77777777" w:rsidR="005C6900" w:rsidRPr="00C531A2" w:rsidRDefault="005C6900" w:rsidP="00725D9F">
            <w:pPr>
              <w:rPr>
                <w:rFonts w:ascii="Times New Roman" w:hAnsi="Times New Roman"/>
                <w:b/>
                <w:bCs/>
                <w:i/>
                <w:iCs/>
                <w:sz w:val="20"/>
              </w:rPr>
            </w:pPr>
          </w:p>
        </w:tc>
        <w:tc>
          <w:tcPr>
            <w:tcW w:w="990" w:type="dxa"/>
            <w:tcBorders>
              <w:top w:val="nil"/>
              <w:left w:val="nil"/>
              <w:bottom w:val="single" w:sz="8" w:space="0" w:color="auto"/>
              <w:right w:val="single" w:sz="8" w:space="0" w:color="7F7F7F"/>
            </w:tcBorders>
            <w:shd w:val="clear" w:color="000000" w:fill="FFFFFF"/>
            <w:noWrap/>
            <w:vAlign w:val="center"/>
          </w:tcPr>
          <w:p w14:paraId="46905BA5" w14:textId="77777777" w:rsidR="005C6900" w:rsidRPr="00C531A2" w:rsidRDefault="005C6900" w:rsidP="00725D9F">
            <w:pPr>
              <w:rPr>
                <w:rFonts w:ascii="Times New Roman" w:hAnsi="Times New Roman"/>
                <w:b/>
                <w:bCs/>
                <w:i/>
                <w:iCs/>
                <w:sz w:val="20"/>
              </w:rPr>
            </w:pPr>
          </w:p>
        </w:tc>
        <w:tc>
          <w:tcPr>
            <w:tcW w:w="990" w:type="dxa"/>
            <w:tcBorders>
              <w:top w:val="nil"/>
              <w:left w:val="nil"/>
              <w:bottom w:val="single" w:sz="8" w:space="0" w:color="auto"/>
              <w:right w:val="single" w:sz="8" w:space="0" w:color="7F7F7F"/>
            </w:tcBorders>
            <w:shd w:val="clear" w:color="000000" w:fill="FFFFFF"/>
          </w:tcPr>
          <w:p w14:paraId="2B18A3E8" w14:textId="77777777" w:rsidR="005C6900" w:rsidRPr="00C531A2" w:rsidRDefault="005C6900" w:rsidP="00725D9F">
            <w:pPr>
              <w:rPr>
                <w:rFonts w:ascii="Times New Roman" w:hAnsi="Times New Roman"/>
                <w:b/>
                <w:bCs/>
                <w:i/>
                <w:iCs/>
                <w:sz w:val="20"/>
              </w:rPr>
            </w:pPr>
          </w:p>
        </w:tc>
        <w:tc>
          <w:tcPr>
            <w:tcW w:w="990" w:type="dxa"/>
            <w:tcBorders>
              <w:top w:val="nil"/>
              <w:left w:val="nil"/>
              <w:bottom w:val="single" w:sz="8" w:space="0" w:color="auto"/>
              <w:right w:val="single" w:sz="8" w:space="0" w:color="7F7F7F"/>
            </w:tcBorders>
            <w:shd w:val="clear" w:color="000000" w:fill="FFFFFF"/>
          </w:tcPr>
          <w:p w14:paraId="6B54C263" w14:textId="77777777" w:rsidR="005C6900" w:rsidRPr="00C531A2" w:rsidRDefault="005C6900" w:rsidP="00725D9F">
            <w:pPr>
              <w:rPr>
                <w:rFonts w:ascii="Times New Roman" w:hAnsi="Times New Roman"/>
                <w:b/>
                <w:bCs/>
                <w:i/>
                <w:iCs/>
                <w:sz w:val="20"/>
              </w:rPr>
            </w:pPr>
          </w:p>
        </w:tc>
      </w:tr>
      <w:tr w:rsidR="005C6900" w:rsidRPr="00C531A2" w14:paraId="10458B77" w14:textId="77777777" w:rsidTr="00725D9F">
        <w:trPr>
          <w:trHeight w:val="215"/>
        </w:trPr>
        <w:tc>
          <w:tcPr>
            <w:tcW w:w="4500" w:type="dxa"/>
            <w:tcBorders>
              <w:top w:val="nil"/>
              <w:left w:val="nil"/>
              <w:bottom w:val="single" w:sz="8" w:space="0" w:color="auto"/>
              <w:right w:val="single" w:sz="8" w:space="0" w:color="auto"/>
            </w:tcBorders>
            <w:shd w:val="clear" w:color="000000" w:fill="FFFFFF"/>
            <w:noWrap/>
            <w:vAlign w:val="center"/>
            <w:hideMark/>
          </w:tcPr>
          <w:p w14:paraId="29255C8D" w14:textId="77777777" w:rsidR="005C6900" w:rsidRPr="00C531A2" w:rsidRDefault="005C6900" w:rsidP="00725D9F">
            <w:pPr>
              <w:rPr>
                <w:rFonts w:ascii="Times New Roman" w:hAnsi="Times New Roman"/>
                <w:i/>
                <w:iCs/>
                <w:sz w:val="20"/>
              </w:rPr>
            </w:pPr>
            <w:r w:rsidRPr="00C531A2">
              <w:rPr>
                <w:rFonts w:ascii="Times New Roman" w:hAnsi="Times New Roman"/>
                <w:i/>
                <w:iCs/>
                <w:sz w:val="20"/>
              </w:rPr>
              <w:t>Домаћа тражња</w:t>
            </w:r>
          </w:p>
        </w:tc>
        <w:tc>
          <w:tcPr>
            <w:tcW w:w="900" w:type="dxa"/>
            <w:tcBorders>
              <w:top w:val="single" w:sz="8" w:space="0" w:color="auto"/>
              <w:left w:val="nil"/>
              <w:bottom w:val="single" w:sz="8" w:space="0" w:color="auto"/>
              <w:right w:val="single" w:sz="8" w:space="0" w:color="auto"/>
            </w:tcBorders>
          </w:tcPr>
          <w:p w14:paraId="195C4A84"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6,0</w:t>
            </w:r>
          </w:p>
        </w:tc>
        <w:tc>
          <w:tcPr>
            <w:tcW w:w="990" w:type="dxa"/>
            <w:tcBorders>
              <w:top w:val="nil"/>
              <w:left w:val="single" w:sz="8" w:space="0" w:color="auto"/>
              <w:bottom w:val="single" w:sz="8" w:space="0" w:color="auto"/>
              <w:right w:val="single" w:sz="8" w:space="0" w:color="auto"/>
            </w:tcBorders>
            <w:noWrap/>
            <w:vAlign w:val="center"/>
          </w:tcPr>
          <w:p w14:paraId="04A373C3"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3,4</w:t>
            </w:r>
          </w:p>
        </w:tc>
        <w:tc>
          <w:tcPr>
            <w:tcW w:w="990" w:type="dxa"/>
            <w:tcBorders>
              <w:top w:val="nil"/>
              <w:left w:val="nil"/>
              <w:bottom w:val="single" w:sz="8" w:space="0" w:color="auto"/>
              <w:right w:val="single" w:sz="8" w:space="0" w:color="auto"/>
            </w:tcBorders>
            <w:noWrap/>
            <w:vAlign w:val="center"/>
          </w:tcPr>
          <w:p w14:paraId="0D9CB019"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4,6</w:t>
            </w:r>
          </w:p>
        </w:tc>
        <w:tc>
          <w:tcPr>
            <w:tcW w:w="990" w:type="dxa"/>
            <w:tcBorders>
              <w:top w:val="nil"/>
              <w:left w:val="nil"/>
              <w:bottom w:val="single" w:sz="8" w:space="0" w:color="auto"/>
              <w:right w:val="single" w:sz="8" w:space="0" w:color="auto"/>
            </w:tcBorders>
          </w:tcPr>
          <w:p w14:paraId="4F1C61A8"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4,1</w:t>
            </w:r>
          </w:p>
        </w:tc>
        <w:tc>
          <w:tcPr>
            <w:tcW w:w="990" w:type="dxa"/>
            <w:tcBorders>
              <w:top w:val="nil"/>
              <w:left w:val="nil"/>
              <w:bottom w:val="single" w:sz="8" w:space="0" w:color="auto"/>
              <w:right w:val="single" w:sz="8" w:space="0" w:color="auto"/>
            </w:tcBorders>
          </w:tcPr>
          <w:p w14:paraId="0EDB5B2D"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3,8</w:t>
            </w:r>
          </w:p>
        </w:tc>
      </w:tr>
      <w:tr w:rsidR="005C6900" w:rsidRPr="00C531A2" w14:paraId="7996C6CB" w14:textId="77777777" w:rsidTr="00725D9F">
        <w:trPr>
          <w:trHeight w:val="215"/>
        </w:trPr>
        <w:tc>
          <w:tcPr>
            <w:tcW w:w="4500" w:type="dxa"/>
            <w:tcBorders>
              <w:top w:val="nil"/>
              <w:left w:val="nil"/>
              <w:bottom w:val="single" w:sz="8" w:space="0" w:color="auto"/>
              <w:right w:val="single" w:sz="8" w:space="0" w:color="auto"/>
            </w:tcBorders>
            <w:shd w:val="clear" w:color="000000" w:fill="F2F2F2"/>
            <w:noWrap/>
            <w:vAlign w:val="center"/>
            <w:hideMark/>
          </w:tcPr>
          <w:p w14:paraId="57041DF5" w14:textId="77777777" w:rsidR="005C6900" w:rsidRPr="00C531A2" w:rsidRDefault="005C6900" w:rsidP="00725D9F">
            <w:pPr>
              <w:rPr>
                <w:rFonts w:ascii="Times New Roman" w:hAnsi="Times New Roman"/>
                <w:i/>
                <w:iCs/>
                <w:sz w:val="20"/>
              </w:rPr>
            </w:pPr>
            <w:r w:rsidRPr="00C531A2">
              <w:rPr>
                <w:rFonts w:ascii="Times New Roman" w:hAnsi="Times New Roman"/>
                <w:i/>
                <w:iCs/>
                <w:sz w:val="20"/>
              </w:rPr>
              <w:t>Лична потрошња</w:t>
            </w:r>
          </w:p>
        </w:tc>
        <w:tc>
          <w:tcPr>
            <w:tcW w:w="900" w:type="dxa"/>
            <w:tcBorders>
              <w:top w:val="single" w:sz="8" w:space="0" w:color="auto"/>
              <w:left w:val="nil"/>
              <w:bottom w:val="single" w:sz="8" w:space="0" w:color="auto"/>
              <w:right w:val="single" w:sz="8" w:space="0" w:color="auto"/>
            </w:tcBorders>
            <w:shd w:val="clear" w:color="000000" w:fill="F2F2F2"/>
          </w:tcPr>
          <w:p w14:paraId="53FE3604"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3,2</w:t>
            </w:r>
          </w:p>
        </w:tc>
        <w:tc>
          <w:tcPr>
            <w:tcW w:w="990" w:type="dxa"/>
            <w:tcBorders>
              <w:top w:val="nil"/>
              <w:left w:val="single" w:sz="8" w:space="0" w:color="auto"/>
              <w:bottom w:val="single" w:sz="8" w:space="0" w:color="auto"/>
              <w:right w:val="single" w:sz="8" w:space="0" w:color="auto"/>
            </w:tcBorders>
            <w:shd w:val="clear" w:color="000000" w:fill="F2F2F2"/>
            <w:noWrap/>
            <w:vAlign w:val="center"/>
          </w:tcPr>
          <w:p w14:paraId="5A6B1483"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1,8</w:t>
            </w:r>
          </w:p>
        </w:tc>
        <w:tc>
          <w:tcPr>
            <w:tcW w:w="990" w:type="dxa"/>
            <w:tcBorders>
              <w:top w:val="nil"/>
              <w:left w:val="nil"/>
              <w:bottom w:val="single" w:sz="8" w:space="0" w:color="auto"/>
              <w:right w:val="single" w:sz="8" w:space="0" w:color="auto"/>
            </w:tcBorders>
            <w:shd w:val="clear" w:color="000000" w:fill="F2F2F2"/>
            <w:noWrap/>
            <w:vAlign w:val="center"/>
          </w:tcPr>
          <w:p w14:paraId="58FED65B"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2,9</w:t>
            </w:r>
          </w:p>
        </w:tc>
        <w:tc>
          <w:tcPr>
            <w:tcW w:w="990" w:type="dxa"/>
            <w:tcBorders>
              <w:top w:val="nil"/>
              <w:left w:val="nil"/>
              <w:bottom w:val="single" w:sz="8" w:space="0" w:color="auto"/>
              <w:right w:val="single" w:sz="8" w:space="0" w:color="auto"/>
            </w:tcBorders>
            <w:shd w:val="clear" w:color="000000" w:fill="F2F2F2"/>
          </w:tcPr>
          <w:p w14:paraId="4372490F"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2,2</w:t>
            </w:r>
          </w:p>
        </w:tc>
        <w:tc>
          <w:tcPr>
            <w:tcW w:w="990" w:type="dxa"/>
            <w:tcBorders>
              <w:top w:val="nil"/>
              <w:left w:val="nil"/>
              <w:bottom w:val="single" w:sz="8" w:space="0" w:color="auto"/>
              <w:right w:val="single" w:sz="8" w:space="0" w:color="auto"/>
            </w:tcBorders>
            <w:shd w:val="clear" w:color="000000" w:fill="F2F2F2"/>
          </w:tcPr>
          <w:p w14:paraId="1269A2C9"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2,2</w:t>
            </w:r>
          </w:p>
        </w:tc>
      </w:tr>
      <w:tr w:rsidR="005C6900" w:rsidRPr="00C531A2" w14:paraId="1BEBDFBE" w14:textId="77777777" w:rsidTr="00725D9F">
        <w:trPr>
          <w:trHeight w:val="215"/>
        </w:trPr>
        <w:tc>
          <w:tcPr>
            <w:tcW w:w="4500" w:type="dxa"/>
            <w:tcBorders>
              <w:top w:val="nil"/>
              <w:left w:val="nil"/>
              <w:bottom w:val="single" w:sz="8" w:space="0" w:color="auto"/>
              <w:right w:val="single" w:sz="8" w:space="0" w:color="auto"/>
            </w:tcBorders>
            <w:noWrap/>
            <w:vAlign w:val="center"/>
            <w:hideMark/>
          </w:tcPr>
          <w:p w14:paraId="2855486B" w14:textId="77777777" w:rsidR="005C6900" w:rsidRPr="00C531A2" w:rsidRDefault="005C6900" w:rsidP="00725D9F">
            <w:pPr>
              <w:rPr>
                <w:rFonts w:ascii="Times New Roman" w:hAnsi="Times New Roman"/>
                <w:i/>
                <w:iCs/>
                <w:sz w:val="20"/>
              </w:rPr>
            </w:pPr>
            <w:r w:rsidRPr="00C531A2">
              <w:rPr>
                <w:rFonts w:ascii="Times New Roman" w:hAnsi="Times New Roman"/>
                <w:i/>
                <w:iCs/>
                <w:sz w:val="20"/>
              </w:rPr>
              <w:t>Државна потрошња</w:t>
            </w:r>
          </w:p>
        </w:tc>
        <w:tc>
          <w:tcPr>
            <w:tcW w:w="900" w:type="dxa"/>
            <w:tcBorders>
              <w:top w:val="single" w:sz="8" w:space="0" w:color="auto"/>
              <w:left w:val="nil"/>
              <w:bottom w:val="single" w:sz="8" w:space="0" w:color="auto"/>
              <w:right w:val="single" w:sz="8" w:space="0" w:color="auto"/>
            </w:tcBorders>
          </w:tcPr>
          <w:p w14:paraId="6AC7EF49"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0,7</w:t>
            </w:r>
          </w:p>
        </w:tc>
        <w:tc>
          <w:tcPr>
            <w:tcW w:w="990" w:type="dxa"/>
            <w:tcBorders>
              <w:top w:val="nil"/>
              <w:left w:val="single" w:sz="8" w:space="0" w:color="auto"/>
              <w:bottom w:val="single" w:sz="8" w:space="0" w:color="auto"/>
              <w:right w:val="single" w:sz="8" w:space="0" w:color="auto"/>
            </w:tcBorders>
            <w:noWrap/>
            <w:vAlign w:val="center"/>
          </w:tcPr>
          <w:p w14:paraId="1333A920"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0,5</w:t>
            </w:r>
          </w:p>
        </w:tc>
        <w:tc>
          <w:tcPr>
            <w:tcW w:w="990" w:type="dxa"/>
            <w:tcBorders>
              <w:top w:val="nil"/>
              <w:left w:val="nil"/>
              <w:bottom w:val="single" w:sz="8" w:space="0" w:color="auto"/>
              <w:right w:val="single" w:sz="8" w:space="0" w:color="auto"/>
            </w:tcBorders>
            <w:noWrap/>
            <w:vAlign w:val="center"/>
          </w:tcPr>
          <w:p w14:paraId="3FEBEFCA"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0,5</w:t>
            </w:r>
          </w:p>
        </w:tc>
        <w:tc>
          <w:tcPr>
            <w:tcW w:w="990" w:type="dxa"/>
            <w:tcBorders>
              <w:top w:val="nil"/>
              <w:left w:val="nil"/>
              <w:bottom w:val="single" w:sz="8" w:space="0" w:color="auto"/>
              <w:right w:val="single" w:sz="8" w:space="0" w:color="auto"/>
            </w:tcBorders>
          </w:tcPr>
          <w:p w14:paraId="595AF6F1"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0,3</w:t>
            </w:r>
          </w:p>
        </w:tc>
        <w:tc>
          <w:tcPr>
            <w:tcW w:w="990" w:type="dxa"/>
            <w:tcBorders>
              <w:top w:val="nil"/>
              <w:left w:val="nil"/>
              <w:bottom w:val="single" w:sz="8" w:space="0" w:color="auto"/>
              <w:right w:val="single" w:sz="8" w:space="0" w:color="auto"/>
            </w:tcBorders>
          </w:tcPr>
          <w:p w14:paraId="11C05E3C"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0,4</w:t>
            </w:r>
          </w:p>
        </w:tc>
      </w:tr>
      <w:tr w:rsidR="005C6900" w:rsidRPr="00C531A2" w14:paraId="66A2C49B" w14:textId="77777777" w:rsidTr="00725D9F">
        <w:trPr>
          <w:trHeight w:val="215"/>
        </w:trPr>
        <w:tc>
          <w:tcPr>
            <w:tcW w:w="4500" w:type="dxa"/>
            <w:tcBorders>
              <w:top w:val="nil"/>
              <w:left w:val="nil"/>
              <w:bottom w:val="single" w:sz="8" w:space="0" w:color="auto"/>
              <w:right w:val="single" w:sz="8" w:space="0" w:color="auto"/>
            </w:tcBorders>
            <w:shd w:val="clear" w:color="000000" w:fill="F2F2F2"/>
            <w:noWrap/>
            <w:vAlign w:val="center"/>
            <w:hideMark/>
          </w:tcPr>
          <w:p w14:paraId="42F33B7D" w14:textId="77777777" w:rsidR="005C6900" w:rsidRPr="00C531A2" w:rsidRDefault="005C6900" w:rsidP="00725D9F">
            <w:pPr>
              <w:rPr>
                <w:rFonts w:ascii="Times New Roman" w:hAnsi="Times New Roman"/>
                <w:i/>
                <w:iCs/>
                <w:sz w:val="20"/>
              </w:rPr>
            </w:pPr>
            <w:r w:rsidRPr="00C531A2">
              <w:rPr>
                <w:rFonts w:ascii="Times New Roman" w:hAnsi="Times New Roman"/>
                <w:i/>
                <w:iCs/>
                <w:sz w:val="20"/>
              </w:rPr>
              <w:t>Инвестиције у основна средства</w:t>
            </w:r>
          </w:p>
        </w:tc>
        <w:tc>
          <w:tcPr>
            <w:tcW w:w="900" w:type="dxa"/>
            <w:tcBorders>
              <w:top w:val="single" w:sz="8" w:space="0" w:color="auto"/>
              <w:left w:val="nil"/>
              <w:bottom w:val="single" w:sz="8" w:space="0" w:color="auto"/>
              <w:right w:val="single" w:sz="8" w:space="0" w:color="auto"/>
            </w:tcBorders>
            <w:shd w:val="clear" w:color="000000" w:fill="F2F2F2"/>
          </w:tcPr>
          <w:p w14:paraId="083DFE7C"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1,9</w:t>
            </w:r>
          </w:p>
        </w:tc>
        <w:tc>
          <w:tcPr>
            <w:tcW w:w="990" w:type="dxa"/>
            <w:tcBorders>
              <w:top w:val="nil"/>
              <w:left w:val="single" w:sz="8" w:space="0" w:color="auto"/>
              <w:bottom w:val="single" w:sz="8" w:space="0" w:color="auto"/>
              <w:right w:val="single" w:sz="8" w:space="0" w:color="auto"/>
            </w:tcBorders>
            <w:shd w:val="clear" w:color="000000" w:fill="F2F2F2"/>
            <w:noWrap/>
            <w:vAlign w:val="center"/>
          </w:tcPr>
          <w:p w14:paraId="4D5886E1"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0,4</w:t>
            </w:r>
          </w:p>
        </w:tc>
        <w:tc>
          <w:tcPr>
            <w:tcW w:w="990" w:type="dxa"/>
            <w:tcBorders>
              <w:top w:val="nil"/>
              <w:left w:val="nil"/>
              <w:bottom w:val="single" w:sz="8" w:space="0" w:color="auto"/>
              <w:right w:val="single" w:sz="8" w:space="0" w:color="auto"/>
            </w:tcBorders>
            <w:shd w:val="clear" w:color="000000" w:fill="F2F2F2"/>
            <w:noWrap/>
            <w:vAlign w:val="center"/>
          </w:tcPr>
          <w:p w14:paraId="583B498B"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1,7</w:t>
            </w:r>
          </w:p>
        </w:tc>
        <w:tc>
          <w:tcPr>
            <w:tcW w:w="990" w:type="dxa"/>
            <w:tcBorders>
              <w:top w:val="nil"/>
              <w:left w:val="nil"/>
              <w:bottom w:val="single" w:sz="8" w:space="0" w:color="auto"/>
              <w:right w:val="single" w:sz="8" w:space="0" w:color="auto"/>
            </w:tcBorders>
            <w:shd w:val="clear" w:color="000000" w:fill="F2F2F2"/>
          </w:tcPr>
          <w:p w14:paraId="7581313C"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1,5</w:t>
            </w:r>
          </w:p>
        </w:tc>
        <w:tc>
          <w:tcPr>
            <w:tcW w:w="990" w:type="dxa"/>
            <w:tcBorders>
              <w:top w:val="nil"/>
              <w:left w:val="nil"/>
              <w:bottom w:val="single" w:sz="8" w:space="0" w:color="auto"/>
              <w:right w:val="single" w:sz="8" w:space="0" w:color="auto"/>
            </w:tcBorders>
            <w:shd w:val="clear" w:color="000000" w:fill="F2F2F2"/>
          </w:tcPr>
          <w:p w14:paraId="784ABF88"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1,2</w:t>
            </w:r>
          </w:p>
        </w:tc>
      </w:tr>
      <w:tr w:rsidR="005C6900" w:rsidRPr="00C531A2" w14:paraId="450E123A" w14:textId="77777777" w:rsidTr="00725D9F">
        <w:trPr>
          <w:trHeight w:val="215"/>
        </w:trPr>
        <w:tc>
          <w:tcPr>
            <w:tcW w:w="4500" w:type="dxa"/>
            <w:tcBorders>
              <w:top w:val="nil"/>
              <w:left w:val="nil"/>
              <w:bottom w:val="single" w:sz="8" w:space="0" w:color="auto"/>
              <w:right w:val="single" w:sz="8" w:space="0" w:color="auto"/>
            </w:tcBorders>
            <w:shd w:val="clear" w:color="000000" w:fill="FFFFFF"/>
            <w:noWrap/>
            <w:vAlign w:val="center"/>
            <w:hideMark/>
          </w:tcPr>
          <w:p w14:paraId="0D5D666C" w14:textId="77777777" w:rsidR="005C6900" w:rsidRPr="00C531A2" w:rsidRDefault="005C6900" w:rsidP="00725D9F">
            <w:pPr>
              <w:rPr>
                <w:rFonts w:ascii="Times New Roman" w:hAnsi="Times New Roman"/>
                <w:i/>
                <w:iCs/>
                <w:sz w:val="20"/>
              </w:rPr>
            </w:pPr>
            <w:r w:rsidRPr="00C531A2">
              <w:rPr>
                <w:rFonts w:ascii="Times New Roman" w:hAnsi="Times New Roman"/>
                <w:i/>
                <w:iCs/>
                <w:sz w:val="20"/>
              </w:rPr>
              <w:t>Нето извоз</w:t>
            </w:r>
          </w:p>
        </w:tc>
        <w:tc>
          <w:tcPr>
            <w:tcW w:w="900" w:type="dxa"/>
            <w:tcBorders>
              <w:top w:val="single" w:sz="8" w:space="0" w:color="auto"/>
              <w:left w:val="nil"/>
              <w:bottom w:val="single" w:sz="8" w:space="0" w:color="auto"/>
              <w:right w:val="single" w:sz="8" w:space="0" w:color="auto"/>
            </w:tcBorders>
          </w:tcPr>
          <w:p w14:paraId="532EF73A"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-2,1</w:t>
            </w:r>
          </w:p>
        </w:tc>
        <w:tc>
          <w:tcPr>
            <w:tcW w:w="990" w:type="dxa"/>
            <w:tcBorders>
              <w:top w:val="nil"/>
              <w:left w:val="single" w:sz="8" w:space="0" w:color="auto"/>
              <w:bottom w:val="single" w:sz="8" w:space="0" w:color="auto"/>
              <w:right w:val="single" w:sz="8" w:space="0" w:color="auto"/>
            </w:tcBorders>
            <w:noWrap/>
            <w:vAlign w:val="center"/>
          </w:tcPr>
          <w:p w14:paraId="4BCF5C8A"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-1,1</w:t>
            </w:r>
          </w:p>
        </w:tc>
        <w:tc>
          <w:tcPr>
            <w:tcW w:w="990" w:type="dxa"/>
            <w:tcBorders>
              <w:top w:val="nil"/>
              <w:left w:val="nil"/>
              <w:bottom w:val="single" w:sz="8" w:space="0" w:color="auto"/>
              <w:right w:val="single" w:sz="8" w:space="0" w:color="auto"/>
            </w:tcBorders>
            <w:noWrap/>
            <w:vAlign w:val="center"/>
          </w:tcPr>
          <w:p w14:paraId="6D1DE642"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-1,6</w:t>
            </w:r>
          </w:p>
        </w:tc>
        <w:tc>
          <w:tcPr>
            <w:tcW w:w="990" w:type="dxa"/>
            <w:tcBorders>
              <w:top w:val="nil"/>
              <w:left w:val="nil"/>
              <w:bottom w:val="single" w:sz="8" w:space="0" w:color="auto"/>
              <w:right w:val="single" w:sz="8" w:space="0" w:color="auto"/>
            </w:tcBorders>
          </w:tcPr>
          <w:p w14:paraId="2F1760CC"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1,0</w:t>
            </w:r>
          </w:p>
        </w:tc>
        <w:tc>
          <w:tcPr>
            <w:tcW w:w="990" w:type="dxa"/>
            <w:tcBorders>
              <w:top w:val="nil"/>
              <w:left w:val="nil"/>
              <w:bottom w:val="single" w:sz="8" w:space="0" w:color="auto"/>
              <w:right w:val="single" w:sz="8" w:space="0" w:color="auto"/>
            </w:tcBorders>
          </w:tcPr>
          <w:p w14:paraId="2EE93E76"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-0,4</w:t>
            </w:r>
          </w:p>
        </w:tc>
      </w:tr>
      <w:tr w:rsidR="005C6900" w:rsidRPr="00C531A2" w14:paraId="7A01FCA3" w14:textId="77777777" w:rsidTr="00725D9F">
        <w:trPr>
          <w:trHeight w:val="215"/>
        </w:trPr>
        <w:tc>
          <w:tcPr>
            <w:tcW w:w="4500" w:type="dxa"/>
            <w:tcBorders>
              <w:top w:val="nil"/>
              <w:left w:val="nil"/>
              <w:bottom w:val="single" w:sz="8" w:space="0" w:color="auto"/>
              <w:right w:val="single" w:sz="8" w:space="0" w:color="auto"/>
            </w:tcBorders>
            <w:shd w:val="clear" w:color="000000" w:fill="F2F2F2"/>
            <w:noWrap/>
            <w:vAlign w:val="center"/>
            <w:hideMark/>
          </w:tcPr>
          <w:p w14:paraId="47DE2159" w14:textId="77777777" w:rsidR="005C6900" w:rsidRPr="00C531A2" w:rsidRDefault="005C6900" w:rsidP="00725D9F">
            <w:pPr>
              <w:rPr>
                <w:rFonts w:ascii="Times New Roman" w:hAnsi="Times New Roman"/>
                <w:i/>
                <w:iCs/>
                <w:sz w:val="20"/>
              </w:rPr>
            </w:pPr>
            <w:r w:rsidRPr="00C531A2">
              <w:rPr>
                <w:rFonts w:ascii="Times New Roman" w:hAnsi="Times New Roman"/>
                <w:i/>
                <w:iCs/>
                <w:sz w:val="20"/>
              </w:rPr>
              <w:t>Промене у залихама</w:t>
            </w:r>
          </w:p>
        </w:tc>
        <w:tc>
          <w:tcPr>
            <w:tcW w:w="900" w:type="dxa"/>
            <w:tcBorders>
              <w:top w:val="single" w:sz="8" w:space="0" w:color="auto"/>
              <w:left w:val="nil"/>
              <w:bottom w:val="single" w:sz="8" w:space="0" w:color="auto"/>
              <w:right w:val="single" w:sz="8" w:space="0" w:color="auto"/>
            </w:tcBorders>
            <w:shd w:val="clear" w:color="000000" w:fill="F2F2F2"/>
          </w:tcPr>
          <w:p w14:paraId="2FB22AD9"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0,2</w:t>
            </w:r>
          </w:p>
        </w:tc>
        <w:tc>
          <w:tcPr>
            <w:tcW w:w="990" w:type="dxa"/>
            <w:tcBorders>
              <w:top w:val="nil"/>
              <w:left w:val="single" w:sz="8" w:space="0" w:color="auto"/>
              <w:bottom w:val="single" w:sz="8" w:space="0" w:color="auto"/>
              <w:right w:val="single" w:sz="8" w:space="0" w:color="auto"/>
            </w:tcBorders>
            <w:shd w:val="clear" w:color="000000" w:fill="F2F2F2"/>
            <w:noWrap/>
            <w:vAlign w:val="center"/>
          </w:tcPr>
          <w:p w14:paraId="6122A6AA"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0,7</w:t>
            </w:r>
          </w:p>
        </w:tc>
        <w:tc>
          <w:tcPr>
            <w:tcW w:w="990" w:type="dxa"/>
            <w:tcBorders>
              <w:top w:val="nil"/>
              <w:left w:val="nil"/>
              <w:bottom w:val="single" w:sz="8" w:space="0" w:color="auto"/>
              <w:right w:val="single" w:sz="8" w:space="0" w:color="auto"/>
            </w:tcBorders>
            <w:shd w:val="clear" w:color="000000" w:fill="F2F2F2"/>
            <w:noWrap/>
            <w:vAlign w:val="center"/>
          </w:tcPr>
          <w:p w14:paraId="0960ADD0"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-0,5</w:t>
            </w:r>
          </w:p>
        </w:tc>
        <w:tc>
          <w:tcPr>
            <w:tcW w:w="990" w:type="dxa"/>
            <w:tcBorders>
              <w:top w:val="nil"/>
              <w:left w:val="nil"/>
              <w:bottom w:val="single" w:sz="8" w:space="0" w:color="auto"/>
              <w:right w:val="single" w:sz="8" w:space="0" w:color="auto"/>
            </w:tcBorders>
            <w:shd w:val="clear" w:color="000000" w:fill="F2F2F2"/>
          </w:tcPr>
          <w:p w14:paraId="5CF8C72C"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0,0</w:t>
            </w:r>
          </w:p>
        </w:tc>
        <w:tc>
          <w:tcPr>
            <w:tcW w:w="990" w:type="dxa"/>
            <w:tcBorders>
              <w:top w:val="nil"/>
              <w:left w:val="nil"/>
              <w:bottom w:val="single" w:sz="8" w:space="0" w:color="auto"/>
              <w:right w:val="single" w:sz="8" w:space="0" w:color="auto"/>
            </w:tcBorders>
            <w:shd w:val="clear" w:color="000000" w:fill="F2F2F2"/>
          </w:tcPr>
          <w:p w14:paraId="4EFDCF2E"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0,0</w:t>
            </w:r>
          </w:p>
        </w:tc>
      </w:tr>
      <w:tr w:rsidR="005C6900" w:rsidRPr="00C531A2" w14:paraId="46FFFF68" w14:textId="77777777" w:rsidTr="00725D9F">
        <w:trPr>
          <w:trHeight w:val="215"/>
        </w:trPr>
        <w:tc>
          <w:tcPr>
            <w:tcW w:w="4500" w:type="dxa"/>
            <w:tcBorders>
              <w:top w:val="nil"/>
              <w:left w:val="nil"/>
              <w:bottom w:val="single" w:sz="8" w:space="0" w:color="auto"/>
              <w:right w:val="nil"/>
            </w:tcBorders>
            <w:shd w:val="clear" w:color="000000" w:fill="FFFFFF"/>
            <w:noWrap/>
            <w:vAlign w:val="center"/>
            <w:hideMark/>
          </w:tcPr>
          <w:p w14:paraId="3945ECC1" w14:textId="77777777" w:rsidR="005C6900" w:rsidRPr="00C531A2" w:rsidRDefault="005C6900" w:rsidP="00725D9F">
            <w:pPr>
              <w:rPr>
                <w:rFonts w:ascii="Times New Roman" w:hAnsi="Times New Roman"/>
                <w:b/>
                <w:bCs/>
                <w:i/>
                <w:iCs/>
                <w:sz w:val="20"/>
              </w:rPr>
            </w:pPr>
            <w:r w:rsidRPr="00C531A2">
              <w:rPr>
                <w:rFonts w:ascii="Times New Roman" w:hAnsi="Times New Roman"/>
                <w:b/>
                <w:bCs/>
                <w:i/>
                <w:iCs/>
                <w:sz w:val="20"/>
              </w:rPr>
              <w:t>Кретање цена, %</w:t>
            </w:r>
          </w:p>
        </w:tc>
        <w:tc>
          <w:tcPr>
            <w:tcW w:w="900" w:type="dxa"/>
            <w:tcBorders>
              <w:top w:val="nil"/>
              <w:left w:val="nil"/>
              <w:bottom w:val="single" w:sz="8" w:space="0" w:color="auto"/>
              <w:right w:val="nil"/>
            </w:tcBorders>
            <w:shd w:val="clear" w:color="000000" w:fill="FFFFFF"/>
          </w:tcPr>
          <w:p w14:paraId="4A98858C" w14:textId="77777777" w:rsidR="005C6900" w:rsidRPr="00C531A2" w:rsidRDefault="005C6900" w:rsidP="00725D9F">
            <w:pPr>
              <w:rPr>
                <w:rFonts w:ascii="Times New Roman" w:hAnsi="Times New Roman"/>
                <w:b/>
                <w:bCs/>
                <w:i/>
                <w:iCs/>
                <w:sz w:val="20"/>
              </w:rPr>
            </w:pPr>
          </w:p>
        </w:tc>
        <w:tc>
          <w:tcPr>
            <w:tcW w:w="990" w:type="dxa"/>
            <w:tcBorders>
              <w:top w:val="nil"/>
              <w:left w:val="nil"/>
              <w:bottom w:val="single" w:sz="8" w:space="0" w:color="auto"/>
              <w:right w:val="nil"/>
            </w:tcBorders>
            <w:shd w:val="clear" w:color="000000" w:fill="FFFFFF"/>
            <w:noWrap/>
            <w:vAlign w:val="center"/>
          </w:tcPr>
          <w:p w14:paraId="5848391B" w14:textId="77777777" w:rsidR="005C6900" w:rsidRPr="00C531A2" w:rsidRDefault="005C6900" w:rsidP="00725D9F">
            <w:pPr>
              <w:rPr>
                <w:rFonts w:ascii="Times New Roman" w:hAnsi="Times New Roman"/>
                <w:b/>
                <w:bCs/>
                <w:i/>
                <w:iCs/>
                <w:sz w:val="20"/>
              </w:rPr>
            </w:pPr>
          </w:p>
        </w:tc>
        <w:tc>
          <w:tcPr>
            <w:tcW w:w="990" w:type="dxa"/>
            <w:tcBorders>
              <w:top w:val="nil"/>
              <w:left w:val="nil"/>
              <w:bottom w:val="single" w:sz="8" w:space="0" w:color="auto"/>
              <w:right w:val="single" w:sz="8" w:space="0" w:color="7F7F7F"/>
            </w:tcBorders>
            <w:shd w:val="clear" w:color="000000" w:fill="FFFFFF"/>
            <w:noWrap/>
            <w:vAlign w:val="center"/>
          </w:tcPr>
          <w:p w14:paraId="65C39434" w14:textId="77777777" w:rsidR="005C6900" w:rsidRPr="00C531A2" w:rsidRDefault="005C6900" w:rsidP="00725D9F">
            <w:pPr>
              <w:rPr>
                <w:rFonts w:ascii="Times New Roman" w:hAnsi="Times New Roman"/>
                <w:b/>
                <w:bCs/>
                <w:i/>
                <w:iCs/>
                <w:sz w:val="20"/>
              </w:rPr>
            </w:pPr>
          </w:p>
        </w:tc>
        <w:tc>
          <w:tcPr>
            <w:tcW w:w="990" w:type="dxa"/>
            <w:tcBorders>
              <w:top w:val="nil"/>
              <w:left w:val="nil"/>
              <w:bottom w:val="single" w:sz="8" w:space="0" w:color="auto"/>
              <w:right w:val="single" w:sz="8" w:space="0" w:color="7F7F7F"/>
            </w:tcBorders>
            <w:shd w:val="clear" w:color="000000" w:fill="FFFFFF"/>
          </w:tcPr>
          <w:p w14:paraId="1B196F1A" w14:textId="77777777" w:rsidR="005C6900" w:rsidRPr="00C531A2" w:rsidRDefault="005C6900" w:rsidP="00725D9F">
            <w:pPr>
              <w:rPr>
                <w:rFonts w:ascii="Times New Roman" w:hAnsi="Times New Roman"/>
                <w:b/>
                <w:bCs/>
                <w:i/>
                <w:iCs/>
                <w:sz w:val="20"/>
              </w:rPr>
            </w:pPr>
          </w:p>
        </w:tc>
        <w:tc>
          <w:tcPr>
            <w:tcW w:w="990" w:type="dxa"/>
            <w:tcBorders>
              <w:top w:val="nil"/>
              <w:left w:val="nil"/>
              <w:bottom w:val="single" w:sz="8" w:space="0" w:color="auto"/>
              <w:right w:val="single" w:sz="8" w:space="0" w:color="7F7F7F"/>
            </w:tcBorders>
            <w:shd w:val="clear" w:color="000000" w:fill="FFFFFF"/>
          </w:tcPr>
          <w:p w14:paraId="39C7F49D" w14:textId="77777777" w:rsidR="005C6900" w:rsidRPr="00C531A2" w:rsidRDefault="005C6900" w:rsidP="00725D9F">
            <w:pPr>
              <w:rPr>
                <w:rFonts w:ascii="Times New Roman" w:hAnsi="Times New Roman"/>
                <w:b/>
                <w:bCs/>
                <w:i/>
                <w:iCs/>
                <w:sz w:val="20"/>
              </w:rPr>
            </w:pPr>
          </w:p>
        </w:tc>
      </w:tr>
      <w:tr w:rsidR="005C6900" w:rsidRPr="00C531A2" w14:paraId="16F96466" w14:textId="77777777" w:rsidTr="00725D9F">
        <w:trPr>
          <w:trHeight w:val="215"/>
        </w:trPr>
        <w:tc>
          <w:tcPr>
            <w:tcW w:w="4500" w:type="dxa"/>
            <w:tcBorders>
              <w:top w:val="nil"/>
              <w:left w:val="nil"/>
              <w:bottom w:val="single" w:sz="8" w:space="0" w:color="auto"/>
              <w:right w:val="single" w:sz="8" w:space="0" w:color="auto"/>
            </w:tcBorders>
            <w:shd w:val="clear" w:color="000000" w:fill="F2F2F2"/>
            <w:noWrap/>
            <w:vAlign w:val="center"/>
            <w:hideMark/>
          </w:tcPr>
          <w:p w14:paraId="65F6007C" w14:textId="77777777" w:rsidR="005C6900" w:rsidRPr="00C531A2" w:rsidRDefault="005C6900" w:rsidP="00725D9F">
            <w:pPr>
              <w:rPr>
                <w:rFonts w:ascii="Times New Roman" w:hAnsi="Times New Roman"/>
                <w:i/>
                <w:iCs/>
                <w:sz w:val="20"/>
              </w:rPr>
            </w:pPr>
            <w:r w:rsidRPr="00C531A2">
              <w:rPr>
                <w:rFonts w:ascii="Times New Roman" w:hAnsi="Times New Roman"/>
                <w:i/>
                <w:iCs/>
                <w:sz w:val="20"/>
              </w:rPr>
              <w:t>Потрошачке цене (годишњи просек)</w:t>
            </w:r>
          </w:p>
        </w:tc>
        <w:tc>
          <w:tcPr>
            <w:tcW w:w="900" w:type="dxa"/>
            <w:tcBorders>
              <w:top w:val="single" w:sz="8" w:space="0" w:color="auto"/>
              <w:left w:val="nil"/>
              <w:bottom w:val="single" w:sz="8" w:space="0" w:color="auto"/>
              <w:right w:val="single" w:sz="8" w:space="0" w:color="auto"/>
            </w:tcBorders>
            <w:shd w:val="clear" w:color="000000" w:fill="F2F2F2"/>
          </w:tcPr>
          <w:p w14:paraId="297D8EBB"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4,6</w:t>
            </w:r>
          </w:p>
        </w:tc>
        <w:tc>
          <w:tcPr>
            <w:tcW w:w="990" w:type="dxa"/>
            <w:tcBorders>
              <w:top w:val="nil"/>
              <w:left w:val="single" w:sz="8" w:space="0" w:color="auto"/>
              <w:bottom w:val="single" w:sz="8" w:space="0" w:color="auto"/>
              <w:right w:val="single" w:sz="8" w:space="0" w:color="auto"/>
            </w:tcBorders>
            <w:shd w:val="clear" w:color="000000" w:fill="F2F2F2"/>
            <w:noWrap/>
            <w:vAlign w:val="center"/>
          </w:tcPr>
          <w:p w14:paraId="50D9752C"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3,9</w:t>
            </w:r>
          </w:p>
        </w:tc>
        <w:tc>
          <w:tcPr>
            <w:tcW w:w="990" w:type="dxa"/>
            <w:tcBorders>
              <w:top w:val="nil"/>
              <w:left w:val="nil"/>
              <w:bottom w:val="single" w:sz="8" w:space="0" w:color="auto"/>
              <w:right w:val="single" w:sz="8" w:space="0" w:color="auto"/>
            </w:tcBorders>
            <w:shd w:val="clear" w:color="000000" w:fill="F2F2F2"/>
            <w:noWrap/>
            <w:vAlign w:val="center"/>
          </w:tcPr>
          <w:p w14:paraId="4170FFA3"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3,7</w:t>
            </w:r>
          </w:p>
        </w:tc>
        <w:tc>
          <w:tcPr>
            <w:tcW w:w="990" w:type="dxa"/>
            <w:tcBorders>
              <w:top w:val="nil"/>
              <w:left w:val="nil"/>
              <w:bottom w:val="single" w:sz="8" w:space="0" w:color="auto"/>
              <w:right w:val="single" w:sz="8" w:space="0" w:color="auto"/>
            </w:tcBorders>
            <w:shd w:val="clear" w:color="000000" w:fill="F2F2F2"/>
          </w:tcPr>
          <w:p w14:paraId="270BE436"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3,5</w:t>
            </w:r>
          </w:p>
        </w:tc>
        <w:tc>
          <w:tcPr>
            <w:tcW w:w="990" w:type="dxa"/>
            <w:tcBorders>
              <w:top w:val="nil"/>
              <w:left w:val="nil"/>
              <w:bottom w:val="single" w:sz="8" w:space="0" w:color="auto"/>
              <w:right w:val="single" w:sz="8" w:space="0" w:color="auto"/>
            </w:tcBorders>
            <w:shd w:val="clear" w:color="000000" w:fill="F2F2F2"/>
          </w:tcPr>
          <w:p w14:paraId="0E3EB6D9"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3,0</w:t>
            </w:r>
          </w:p>
        </w:tc>
      </w:tr>
      <w:tr w:rsidR="005C6900" w:rsidRPr="00C531A2" w14:paraId="22AD57AC" w14:textId="77777777" w:rsidTr="00725D9F">
        <w:trPr>
          <w:trHeight w:val="215"/>
        </w:trPr>
        <w:tc>
          <w:tcPr>
            <w:tcW w:w="4500" w:type="dxa"/>
            <w:tcBorders>
              <w:top w:val="nil"/>
              <w:left w:val="nil"/>
              <w:bottom w:val="single" w:sz="8" w:space="0" w:color="auto"/>
              <w:right w:val="single" w:sz="8" w:space="0" w:color="auto"/>
            </w:tcBorders>
            <w:shd w:val="clear" w:color="000000" w:fill="FFFFFF"/>
            <w:noWrap/>
            <w:vAlign w:val="center"/>
            <w:hideMark/>
          </w:tcPr>
          <w:p w14:paraId="788D4E0E" w14:textId="77777777" w:rsidR="005C6900" w:rsidRPr="00C531A2" w:rsidRDefault="005C6900" w:rsidP="00725D9F">
            <w:pPr>
              <w:rPr>
                <w:rFonts w:ascii="Times New Roman" w:hAnsi="Times New Roman"/>
                <w:i/>
                <w:iCs/>
                <w:sz w:val="20"/>
              </w:rPr>
            </w:pPr>
            <w:r w:rsidRPr="00C531A2">
              <w:rPr>
                <w:rFonts w:ascii="Times New Roman" w:hAnsi="Times New Roman"/>
                <w:i/>
                <w:iCs/>
                <w:sz w:val="20"/>
              </w:rPr>
              <w:t>Дефлатор БДП</w:t>
            </w:r>
          </w:p>
        </w:tc>
        <w:tc>
          <w:tcPr>
            <w:tcW w:w="900" w:type="dxa"/>
            <w:tcBorders>
              <w:top w:val="single" w:sz="8" w:space="0" w:color="auto"/>
              <w:left w:val="nil"/>
              <w:bottom w:val="single" w:sz="8" w:space="0" w:color="auto"/>
              <w:right w:val="single" w:sz="8" w:space="0" w:color="auto"/>
            </w:tcBorders>
          </w:tcPr>
          <w:p w14:paraId="5FF86758"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6,3</w:t>
            </w:r>
          </w:p>
        </w:tc>
        <w:tc>
          <w:tcPr>
            <w:tcW w:w="990" w:type="dxa"/>
            <w:tcBorders>
              <w:top w:val="nil"/>
              <w:left w:val="single" w:sz="8" w:space="0" w:color="auto"/>
              <w:bottom w:val="single" w:sz="8" w:space="0" w:color="auto"/>
              <w:right w:val="single" w:sz="8" w:space="0" w:color="auto"/>
            </w:tcBorders>
            <w:noWrap/>
            <w:vAlign w:val="center"/>
          </w:tcPr>
          <w:p w14:paraId="57A18956"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4,1</w:t>
            </w:r>
          </w:p>
        </w:tc>
        <w:tc>
          <w:tcPr>
            <w:tcW w:w="990" w:type="dxa"/>
            <w:tcBorders>
              <w:top w:val="nil"/>
              <w:left w:val="nil"/>
              <w:bottom w:val="single" w:sz="8" w:space="0" w:color="auto"/>
              <w:right w:val="single" w:sz="8" w:space="0" w:color="auto"/>
            </w:tcBorders>
            <w:noWrap/>
            <w:vAlign w:val="center"/>
          </w:tcPr>
          <w:p w14:paraId="6B1E976F"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3,7</w:t>
            </w:r>
          </w:p>
        </w:tc>
        <w:tc>
          <w:tcPr>
            <w:tcW w:w="990" w:type="dxa"/>
            <w:tcBorders>
              <w:top w:val="nil"/>
              <w:left w:val="nil"/>
              <w:bottom w:val="single" w:sz="8" w:space="0" w:color="auto"/>
              <w:right w:val="single" w:sz="8" w:space="0" w:color="auto"/>
            </w:tcBorders>
          </w:tcPr>
          <w:p w14:paraId="0FA46C72"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3,4</w:t>
            </w:r>
          </w:p>
        </w:tc>
        <w:tc>
          <w:tcPr>
            <w:tcW w:w="990" w:type="dxa"/>
            <w:tcBorders>
              <w:top w:val="nil"/>
              <w:left w:val="nil"/>
              <w:bottom w:val="single" w:sz="8" w:space="0" w:color="auto"/>
              <w:right w:val="single" w:sz="8" w:space="0" w:color="auto"/>
            </w:tcBorders>
          </w:tcPr>
          <w:p w14:paraId="31E11347"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2,9</w:t>
            </w:r>
          </w:p>
        </w:tc>
      </w:tr>
      <w:tr w:rsidR="005C6900" w:rsidRPr="00C531A2" w14:paraId="3D9F9100" w14:textId="77777777" w:rsidTr="00725D9F">
        <w:trPr>
          <w:trHeight w:val="215"/>
        </w:trPr>
        <w:tc>
          <w:tcPr>
            <w:tcW w:w="4500" w:type="dxa"/>
            <w:tcBorders>
              <w:top w:val="nil"/>
              <w:left w:val="nil"/>
              <w:bottom w:val="single" w:sz="8" w:space="0" w:color="auto"/>
              <w:right w:val="nil"/>
            </w:tcBorders>
            <w:shd w:val="clear" w:color="000000" w:fill="FFFFFF"/>
            <w:noWrap/>
            <w:vAlign w:val="center"/>
            <w:hideMark/>
          </w:tcPr>
          <w:p w14:paraId="6F0922E5" w14:textId="77777777" w:rsidR="005C6900" w:rsidRPr="00C531A2" w:rsidRDefault="005C6900" w:rsidP="00725D9F">
            <w:pPr>
              <w:rPr>
                <w:rFonts w:ascii="Times New Roman" w:hAnsi="Times New Roman"/>
                <w:b/>
                <w:bCs/>
                <w:i/>
                <w:iCs/>
                <w:sz w:val="20"/>
              </w:rPr>
            </w:pPr>
            <w:r w:rsidRPr="00C531A2">
              <w:rPr>
                <w:rFonts w:ascii="Times New Roman" w:hAnsi="Times New Roman"/>
                <w:b/>
                <w:bCs/>
                <w:i/>
                <w:iCs/>
                <w:sz w:val="20"/>
              </w:rPr>
              <w:t>Кретања у спољном сектору (% БДП)</w:t>
            </w:r>
          </w:p>
        </w:tc>
        <w:tc>
          <w:tcPr>
            <w:tcW w:w="900" w:type="dxa"/>
            <w:tcBorders>
              <w:top w:val="nil"/>
              <w:left w:val="nil"/>
              <w:bottom w:val="single" w:sz="8" w:space="0" w:color="auto"/>
              <w:right w:val="nil"/>
            </w:tcBorders>
            <w:shd w:val="clear" w:color="000000" w:fill="FFFFFF"/>
          </w:tcPr>
          <w:p w14:paraId="4C8C9AFC" w14:textId="77777777" w:rsidR="005C6900" w:rsidRPr="00C531A2" w:rsidRDefault="005C6900" w:rsidP="00725D9F">
            <w:pPr>
              <w:rPr>
                <w:rFonts w:ascii="Times New Roman" w:hAnsi="Times New Roman"/>
                <w:b/>
                <w:bCs/>
                <w:i/>
                <w:iCs/>
                <w:sz w:val="20"/>
              </w:rPr>
            </w:pPr>
          </w:p>
        </w:tc>
        <w:tc>
          <w:tcPr>
            <w:tcW w:w="990" w:type="dxa"/>
            <w:tcBorders>
              <w:top w:val="nil"/>
              <w:left w:val="nil"/>
              <w:bottom w:val="single" w:sz="8" w:space="0" w:color="auto"/>
              <w:right w:val="nil"/>
            </w:tcBorders>
            <w:shd w:val="clear" w:color="000000" w:fill="FFFFFF"/>
            <w:noWrap/>
            <w:vAlign w:val="center"/>
          </w:tcPr>
          <w:p w14:paraId="49228FAF" w14:textId="77777777" w:rsidR="005C6900" w:rsidRPr="00C531A2" w:rsidRDefault="005C6900" w:rsidP="00725D9F">
            <w:pPr>
              <w:rPr>
                <w:rFonts w:ascii="Times New Roman" w:hAnsi="Times New Roman"/>
                <w:b/>
                <w:bCs/>
                <w:i/>
                <w:iCs/>
                <w:sz w:val="20"/>
              </w:rPr>
            </w:pPr>
          </w:p>
        </w:tc>
        <w:tc>
          <w:tcPr>
            <w:tcW w:w="990" w:type="dxa"/>
            <w:tcBorders>
              <w:top w:val="nil"/>
              <w:left w:val="nil"/>
              <w:bottom w:val="single" w:sz="8" w:space="0" w:color="auto"/>
              <w:right w:val="single" w:sz="8" w:space="0" w:color="7F7F7F"/>
            </w:tcBorders>
            <w:shd w:val="clear" w:color="000000" w:fill="FFFFFF"/>
            <w:noWrap/>
            <w:vAlign w:val="center"/>
          </w:tcPr>
          <w:p w14:paraId="4DEF1A1E" w14:textId="77777777" w:rsidR="005C6900" w:rsidRPr="00C531A2" w:rsidRDefault="005C6900" w:rsidP="00725D9F">
            <w:pPr>
              <w:rPr>
                <w:rFonts w:ascii="Times New Roman" w:hAnsi="Times New Roman"/>
                <w:b/>
                <w:bCs/>
                <w:i/>
                <w:iCs/>
                <w:sz w:val="20"/>
              </w:rPr>
            </w:pPr>
          </w:p>
        </w:tc>
        <w:tc>
          <w:tcPr>
            <w:tcW w:w="990" w:type="dxa"/>
            <w:tcBorders>
              <w:top w:val="nil"/>
              <w:left w:val="nil"/>
              <w:bottom w:val="single" w:sz="8" w:space="0" w:color="auto"/>
              <w:right w:val="single" w:sz="8" w:space="0" w:color="7F7F7F"/>
            </w:tcBorders>
            <w:shd w:val="clear" w:color="000000" w:fill="FFFFFF"/>
          </w:tcPr>
          <w:p w14:paraId="68C9E02A" w14:textId="77777777" w:rsidR="005C6900" w:rsidRPr="00C531A2" w:rsidRDefault="005C6900" w:rsidP="00725D9F">
            <w:pPr>
              <w:rPr>
                <w:rFonts w:ascii="Times New Roman" w:hAnsi="Times New Roman"/>
                <w:b/>
                <w:bCs/>
                <w:i/>
                <w:iCs/>
                <w:sz w:val="20"/>
              </w:rPr>
            </w:pPr>
          </w:p>
        </w:tc>
        <w:tc>
          <w:tcPr>
            <w:tcW w:w="990" w:type="dxa"/>
            <w:tcBorders>
              <w:top w:val="nil"/>
              <w:left w:val="nil"/>
              <w:bottom w:val="single" w:sz="8" w:space="0" w:color="auto"/>
              <w:right w:val="single" w:sz="8" w:space="0" w:color="7F7F7F"/>
            </w:tcBorders>
            <w:shd w:val="clear" w:color="000000" w:fill="FFFFFF"/>
          </w:tcPr>
          <w:p w14:paraId="23A9A159" w14:textId="77777777" w:rsidR="005C6900" w:rsidRPr="00C531A2" w:rsidRDefault="005C6900" w:rsidP="00725D9F">
            <w:pPr>
              <w:rPr>
                <w:rFonts w:ascii="Times New Roman" w:hAnsi="Times New Roman"/>
                <w:b/>
                <w:bCs/>
                <w:i/>
                <w:iCs/>
                <w:sz w:val="20"/>
              </w:rPr>
            </w:pPr>
          </w:p>
        </w:tc>
      </w:tr>
      <w:tr w:rsidR="005C6900" w:rsidRPr="00C531A2" w14:paraId="1173FAEE" w14:textId="77777777" w:rsidTr="00725D9F">
        <w:trPr>
          <w:trHeight w:val="215"/>
        </w:trPr>
        <w:tc>
          <w:tcPr>
            <w:tcW w:w="4500" w:type="dxa"/>
            <w:tcBorders>
              <w:top w:val="nil"/>
              <w:left w:val="nil"/>
              <w:bottom w:val="single" w:sz="8" w:space="0" w:color="auto"/>
              <w:right w:val="single" w:sz="8" w:space="0" w:color="auto"/>
            </w:tcBorders>
            <w:shd w:val="clear" w:color="000000" w:fill="F2F2F2"/>
            <w:noWrap/>
            <w:vAlign w:val="center"/>
            <w:hideMark/>
          </w:tcPr>
          <w:p w14:paraId="2D8A7349" w14:textId="77777777" w:rsidR="005C6900" w:rsidRPr="00C531A2" w:rsidRDefault="005C6900" w:rsidP="00725D9F">
            <w:pPr>
              <w:rPr>
                <w:rFonts w:ascii="Times New Roman" w:hAnsi="Times New Roman"/>
                <w:i/>
                <w:iCs/>
                <w:sz w:val="20"/>
              </w:rPr>
            </w:pPr>
            <w:r w:rsidRPr="00C531A2">
              <w:rPr>
                <w:rFonts w:ascii="Times New Roman" w:hAnsi="Times New Roman"/>
                <w:i/>
                <w:iCs/>
                <w:sz w:val="20"/>
              </w:rPr>
              <w:t xml:space="preserve">Салдо текућег рачуна </w:t>
            </w:r>
          </w:p>
        </w:tc>
        <w:tc>
          <w:tcPr>
            <w:tcW w:w="900" w:type="dxa"/>
            <w:tcBorders>
              <w:top w:val="single" w:sz="8" w:space="0" w:color="auto"/>
              <w:left w:val="nil"/>
              <w:bottom w:val="single" w:sz="8" w:space="0" w:color="auto"/>
              <w:right w:val="single" w:sz="8" w:space="0" w:color="auto"/>
            </w:tcBorders>
            <w:shd w:val="clear" w:color="000000" w:fill="F2F2F2"/>
          </w:tcPr>
          <w:p w14:paraId="33757988"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-4,5</w:t>
            </w:r>
          </w:p>
        </w:tc>
        <w:tc>
          <w:tcPr>
            <w:tcW w:w="990" w:type="dxa"/>
            <w:tcBorders>
              <w:top w:val="nil"/>
              <w:left w:val="single" w:sz="8" w:space="0" w:color="auto"/>
              <w:bottom w:val="single" w:sz="8" w:space="0" w:color="auto"/>
              <w:right w:val="single" w:sz="8" w:space="0" w:color="auto"/>
            </w:tcBorders>
            <w:shd w:val="clear" w:color="000000" w:fill="F2F2F2"/>
            <w:noWrap/>
            <w:vAlign w:val="center"/>
          </w:tcPr>
          <w:p w14:paraId="3CC43138"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-5,3</w:t>
            </w:r>
          </w:p>
        </w:tc>
        <w:tc>
          <w:tcPr>
            <w:tcW w:w="990" w:type="dxa"/>
            <w:tcBorders>
              <w:top w:val="nil"/>
              <w:left w:val="nil"/>
              <w:bottom w:val="single" w:sz="8" w:space="0" w:color="auto"/>
              <w:right w:val="single" w:sz="8" w:space="0" w:color="auto"/>
            </w:tcBorders>
            <w:shd w:val="clear" w:color="000000" w:fill="F2F2F2"/>
            <w:noWrap/>
            <w:vAlign w:val="center"/>
          </w:tcPr>
          <w:p w14:paraId="4DA110E0"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-6,0</w:t>
            </w:r>
          </w:p>
        </w:tc>
        <w:tc>
          <w:tcPr>
            <w:tcW w:w="990" w:type="dxa"/>
            <w:tcBorders>
              <w:top w:val="nil"/>
              <w:left w:val="nil"/>
              <w:bottom w:val="single" w:sz="8" w:space="0" w:color="auto"/>
              <w:right w:val="single" w:sz="8" w:space="0" w:color="auto"/>
            </w:tcBorders>
            <w:shd w:val="clear" w:color="000000" w:fill="F2F2F2"/>
          </w:tcPr>
          <w:p w14:paraId="371151EB"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-4,9</w:t>
            </w:r>
          </w:p>
        </w:tc>
        <w:tc>
          <w:tcPr>
            <w:tcW w:w="990" w:type="dxa"/>
            <w:tcBorders>
              <w:top w:val="nil"/>
              <w:left w:val="nil"/>
              <w:bottom w:val="single" w:sz="8" w:space="0" w:color="auto"/>
              <w:right w:val="single" w:sz="8" w:space="0" w:color="auto"/>
            </w:tcBorders>
            <w:shd w:val="clear" w:color="000000" w:fill="F2F2F2"/>
          </w:tcPr>
          <w:p w14:paraId="2E807778"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-5,1</w:t>
            </w:r>
          </w:p>
        </w:tc>
      </w:tr>
      <w:tr w:rsidR="005C6900" w:rsidRPr="00C531A2" w14:paraId="7174EABA" w14:textId="77777777" w:rsidTr="00725D9F">
        <w:trPr>
          <w:trHeight w:val="215"/>
        </w:trPr>
        <w:tc>
          <w:tcPr>
            <w:tcW w:w="4500" w:type="dxa"/>
            <w:tcBorders>
              <w:top w:val="nil"/>
              <w:left w:val="nil"/>
              <w:bottom w:val="single" w:sz="8" w:space="0" w:color="auto"/>
              <w:right w:val="nil"/>
            </w:tcBorders>
            <w:shd w:val="clear" w:color="000000" w:fill="FFFFFF"/>
            <w:noWrap/>
            <w:vAlign w:val="center"/>
            <w:hideMark/>
          </w:tcPr>
          <w:p w14:paraId="296E491D" w14:textId="77777777" w:rsidR="005C6900" w:rsidRPr="00C531A2" w:rsidRDefault="005C6900" w:rsidP="00725D9F">
            <w:pPr>
              <w:rPr>
                <w:rFonts w:ascii="Times New Roman" w:hAnsi="Times New Roman"/>
                <w:b/>
                <w:bCs/>
                <w:i/>
                <w:iCs/>
                <w:sz w:val="20"/>
              </w:rPr>
            </w:pPr>
            <w:r w:rsidRPr="00C531A2">
              <w:rPr>
                <w:rFonts w:ascii="Times New Roman" w:hAnsi="Times New Roman"/>
                <w:b/>
                <w:bCs/>
                <w:i/>
                <w:iCs/>
                <w:sz w:val="20"/>
              </w:rPr>
              <w:t>Јавне финансије (% БДП)</w:t>
            </w:r>
          </w:p>
        </w:tc>
        <w:tc>
          <w:tcPr>
            <w:tcW w:w="900" w:type="dxa"/>
            <w:tcBorders>
              <w:top w:val="nil"/>
              <w:left w:val="nil"/>
              <w:bottom w:val="single" w:sz="8" w:space="0" w:color="auto"/>
              <w:right w:val="nil"/>
            </w:tcBorders>
            <w:shd w:val="clear" w:color="000000" w:fill="FFFFFF"/>
          </w:tcPr>
          <w:p w14:paraId="06F7B069" w14:textId="77777777" w:rsidR="005C6900" w:rsidRPr="00C531A2" w:rsidRDefault="005C6900" w:rsidP="00725D9F">
            <w:pPr>
              <w:rPr>
                <w:rFonts w:ascii="Times New Roman" w:hAnsi="Times New Roman"/>
                <w:b/>
                <w:bCs/>
                <w:i/>
                <w:iCs/>
                <w:sz w:val="20"/>
              </w:rPr>
            </w:pPr>
          </w:p>
        </w:tc>
        <w:tc>
          <w:tcPr>
            <w:tcW w:w="990" w:type="dxa"/>
            <w:tcBorders>
              <w:top w:val="nil"/>
              <w:left w:val="nil"/>
              <w:bottom w:val="single" w:sz="8" w:space="0" w:color="auto"/>
              <w:right w:val="nil"/>
            </w:tcBorders>
            <w:shd w:val="clear" w:color="000000" w:fill="FFFFFF"/>
            <w:noWrap/>
            <w:vAlign w:val="center"/>
          </w:tcPr>
          <w:p w14:paraId="67375B92" w14:textId="77777777" w:rsidR="005C6900" w:rsidRPr="00C531A2" w:rsidRDefault="005C6900" w:rsidP="00725D9F">
            <w:pPr>
              <w:rPr>
                <w:rFonts w:ascii="Times New Roman" w:hAnsi="Times New Roman"/>
                <w:b/>
                <w:bCs/>
                <w:i/>
                <w:iCs/>
                <w:sz w:val="20"/>
              </w:rPr>
            </w:pPr>
          </w:p>
        </w:tc>
        <w:tc>
          <w:tcPr>
            <w:tcW w:w="990" w:type="dxa"/>
            <w:tcBorders>
              <w:top w:val="nil"/>
              <w:left w:val="nil"/>
              <w:bottom w:val="single" w:sz="8" w:space="0" w:color="auto"/>
              <w:right w:val="single" w:sz="8" w:space="0" w:color="auto"/>
            </w:tcBorders>
            <w:shd w:val="clear" w:color="000000" w:fill="FFFFFF"/>
            <w:noWrap/>
            <w:vAlign w:val="center"/>
          </w:tcPr>
          <w:p w14:paraId="51C0EF6B" w14:textId="77777777" w:rsidR="005C6900" w:rsidRPr="00C531A2" w:rsidRDefault="005C6900" w:rsidP="00725D9F">
            <w:pPr>
              <w:rPr>
                <w:rFonts w:ascii="Times New Roman" w:hAnsi="Times New Roman"/>
                <w:b/>
                <w:bCs/>
                <w:i/>
                <w:iCs/>
                <w:sz w:val="20"/>
              </w:rPr>
            </w:pPr>
          </w:p>
        </w:tc>
        <w:tc>
          <w:tcPr>
            <w:tcW w:w="990" w:type="dxa"/>
            <w:tcBorders>
              <w:top w:val="nil"/>
              <w:left w:val="nil"/>
              <w:bottom w:val="single" w:sz="8" w:space="0" w:color="auto"/>
              <w:right w:val="single" w:sz="8" w:space="0" w:color="auto"/>
            </w:tcBorders>
            <w:shd w:val="clear" w:color="000000" w:fill="FFFFFF"/>
          </w:tcPr>
          <w:p w14:paraId="71ADAD9D" w14:textId="77777777" w:rsidR="005C6900" w:rsidRPr="00C531A2" w:rsidRDefault="005C6900" w:rsidP="00725D9F">
            <w:pPr>
              <w:rPr>
                <w:rFonts w:ascii="Times New Roman" w:hAnsi="Times New Roman"/>
                <w:b/>
                <w:bCs/>
                <w:i/>
                <w:iCs/>
                <w:sz w:val="20"/>
              </w:rPr>
            </w:pPr>
          </w:p>
        </w:tc>
        <w:tc>
          <w:tcPr>
            <w:tcW w:w="990" w:type="dxa"/>
            <w:tcBorders>
              <w:top w:val="nil"/>
              <w:left w:val="nil"/>
              <w:bottom w:val="single" w:sz="8" w:space="0" w:color="auto"/>
              <w:right w:val="single" w:sz="8" w:space="0" w:color="auto"/>
            </w:tcBorders>
            <w:shd w:val="clear" w:color="000000" w:fill="FFFFFF"/>
          </w:tcPr>
          <w:p w14:paraId="2EEA66C2" w14:textId="77777777" w:rsidR="005C6900" w:rsidRPr="00C531A2" w:rsidRDefault="005C6900" w:rsidP="00725D9F">
            <w:pPr>
              <w:rPr>
                <w:rFonts w:ascii="Times New Roman" w:hAnsi="Times New Roman"/>
                <w:b/>
                <w:bCs/>
                <w:i/>
                <w:iCs/>
                <w:sz w:val="20"/>
              </w:rPr>
            </w:pPr>
          </w:p>
        </w:tc>
      </w:tr>
      <w:tr w:rsidR="005C6900" w:rsidRPr="00C531A2" w14:paraId="7757BADB" w14:textId="77777777" w:rsidTr="00725D9F">
        <w:trPr>
          <w:trHeight w:val="215"/>
        </w:trPr>
        <w:tc>
          <w:tcPr>
            <w:tcW w:w="4500" w:type="dxa"/>
            <w:tcBorders>
              <w:top w:val="nil"/>
              <w:left w:val="nil"/>
              <w:bottom w:val="single" w:sz="8" w:space="0" w:color="auto"/>
              <w:right w:val="single" w:sz="8" w:space="0" w:color="auto"/>
            </w:tcBorders>
            <w:shd w:val="clear" w:color="000000" w:fill="F2F2F2"/>
            <w:noWrap/>
            <w:vAlign w:val="center"/>
            <w:hideMark/>
          </w:tcPr>
          <w:p w14:paraId="2D5DE200" w14:textId="77777777" w:rsidR="005C6900" w:rsidRPr="00C531A2" w:rsidRDefault="005C6900" w:rsidP="00725D9F">
            <w:pPr>
              <w:rPr>
                <w:rFonts w:ascii="Times New Roman" w:hAnsi="Times New Roman"/>
                <w:i/>
                <w:iCs/>
                <w:sz w:val="20"/>
              </w:rPr>
            </w:pPr>
            <w:r w:rsidRPr="00C531A2">
              <w:rPr>
                <w:rFonts w:ascii="Times New Roman" w:hAnsi="Times New Roman"/>
                <w:i/>
                <w:iCs/>
                <w:sz w:val="20"/>
              </w:rPr>
              <w:t>Фискални резултат сектора државе</w:t>
            </w:r>
          </w:p>
        </w:tc>
        <w:tc>
          <w:tcPr>
            <w:tcW w:w="900" w:type="dxa"/>
            <w:tcBorders>
              <w:top w:val="single" w:sz="8" w:space="0" w:color="auto"/>
              <w:left w:val="nil"/>
              <w:bottom w:val="single" w:sz="8" w:space="0" w:color="auto"/>
              <w:right w:val="single" w:sz="8" w:space="0" w:color="auto"/>
            </w:tcBorders>
            <w:shd w:val="clear" w:color="000000" w:fill="F2F2F2"/>
          </w:tcPr>
          <w:p w14:paraId="05B3DA5E"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-2,0</w:t>
            </w:r>
          </w:p>
        </w:tc>
        <w:tc>
          <w:tcPr>
            <w:tcW w:w="990" w:type="dxa"/>
            <w:tcBorders>
              <w:top w:val="nil"/>
              <w:left w:val="single" w:sz="8" w:space="0" w:color="auto"/>
              <w:bottom w:val="single" w:sz="8" w:space="0" w:color="auto"/>
              <w:right w:val="single" w:sz="8" w:space="0" w:color="auto"/>
            </w:tcBorders>
            <w:shd w:val="clear" w:color="000000" w:fill="F2F2F2"/>
            <w:noWrap/>
            <w:vAlign w:val="center"/>
          </w:tcPr>
          <w:p w14:paraId="5FCCFCBF"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-3,0</w:t>
            </w:r>
          </w:p>
        </w:tc>
        <w:tc>
          <w:tcPr>
            <w:tcW w:w="990" w:type="dxa"/>
            <w:tcBorders>
              <w:top w:val="nil"/>
              <w:left w:val="nil"/>
              <w:bottom w:val="single" w:sz="8" w:space="0" w:color="auto"/>
              <w:right w:val="single" w:sz="8" w:space="0" w:color="auto"/>
            </w:tcBorders>
            <w:shd w:val="clear" w:color="000000" w:fill="F2F2F2"/>
            <w:noWrap/>
            <w:vAlign w:val="center"/>
          </w:tcPr>
          <w:p w14:paraId="560918DB"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-3,0</w:t>
            </w:r>
          </w:p>
        </w:tc>
        <w:tc>
          <w:tcPr>
            <w:tcW w:w="990" w:type="dxa"/>
            <w:tcBorders>
              <w:top w:val="nil"/>
              <w:left w:val="nil"/>
              <w:bottom w:val="single" w:sz="8" w:space="0" w:color="auto"/>
              <w:right w:val="single" w:sz="8" w:space="0" w:color="auto"/>
            </w:tcBorders>
            <w:shd w:val="clear" w:color="000000" w:fill="F2F2F2"/>
          </w:tcPr>
          <w:p w14:paraId="360B71DC"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-3,0</w:t>
            </w:r>
          </w:p>
        </w:tc>
        <w:tc>
          <w:tcPr>
            <w:tcW w:w="990" w:type="dxa"/>
            <w:tcBorders>
              <w:top w:val="nil"/>
              <w:left w:val="nil"/>
              <w:bottom w:val="single" w:sz="8" w:space="0" w:color="auto"/>
              <w:right w:val="single" w:sz="8" w:space="0" w:color="auto"/>
            </w:tcBorders>
            <w:shd w:val="clear" w:color="000000" w:fill="F2F2F2"/>
          </w:tcPr>
          <w:p w14:paraId="701BD8C4"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-2,5</w:t>
            </w:r>
          </w:p>
        </w:tc>
      </w:tr>
      <w:tr w:rsidR="005C6900" w:rsidRPr="00C531A2" w14:paraId="2A7A2FD2" w14:textId="77777777" w:rsidTr="00725D9F">
        <w:trPr>
          <w:trHeight w:val="215"/>
        </w:trPr>
        <w:tc>
          <w:tcPr>
            <w:tcW w:w="4500" w:type="dxa"/>
            <w:tcBorders>
              <w:top w:val="nil"/>
              <w:left w:val="nil"/>
              <w:bottom w:val="single" w:sz="8" w:space="0" w:color="auto"/>
              <w:right w:val="single" w:sz="8" w:space="0" w:color="auto"/>
            </w:tcBorders>
            <w:shd w:val="clear" w:color="000000" w:fill="FFFFFF"/>
            <w:noWrap/>
            <w:vAlign w:val="center"/>
            <w:hideMark/>
          </w:tcPr>
          <w:p w14:paraId="7BA853DF" w14:textId="77777777" w:rsidR="005C6900" w:rsidRPr="00C531A2" w:rsidRDefault="005C6900" w:rsidP="00725D9F">
            <w:pPr>
              <w:rPr>
                <w:rFonts w:ascii="Times New Roman" w:hAnsi="Times New Roman"/>
                <w:i/>
                <w:iCs/>
                <w:sz w:val="20"/>
              </w:rPr>
            </w:pPr>
            <w:r w:rsidRPr="00C531A2">
              <w:rPr>
                <w:rFonts w:ascii="Times New Roman" w:hAnsi="Times New Roman"/>
                <w:i/>
                <w:iCs/>
                <w:sz w:val="20"/>
              </w:rPr>
              <w:t xml:space="preserve">Јавни дуг сектора државе </w:t>
            </w:r>
          </w:p>
        </w:tc>
        <w:tc>
          <w:tcPr>
            <w:tcW w:w="900" w:type="dxa"/>
            <w:tcBorders>
              <w:top w:val="single" w:sz="8" w:space="0" w:color="auto"/>
              <w:left w:val="nil"/>
              <w:bottom w:val="single" w:sz="8" w:space="0" w:color="auto"/>
              <w:right w:val="single" w:sz="8" w:space="0" w:color="auto"/>
            </w:tcBorders>
          </w:tcPr>
          <w:p w14:paraId="03A69D02"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46,9</w:t>
            </w:r>
          </w:p>
        </w:tc>
        <w:tc>
          <w:tcPr>
            <w:tcW w:w="990" w:type="dxa"/>
            <w:tcBorders>
              <w:top w:val="nil"/>
              <w:left w:val="single" w:sz="8" w:space="0" w:color="auto"/>
              <w:bottom w:val="single" w:sz="8" w:space="0" w:color="auto"/>
              <w:right w:val="single" w:sz="8" w:space="0" w:color="auto"/>
            </w:tcBorders>
            <w:noWrap/>
            <w:vAlign w:val="center"/>
          </w:tcPr>
          <w:p w14:paraId="29E2071B"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45,0</w:t>
            </w:r>
          </w:p>
        </w:tc>
        <w:tc>
          <w:tcPr>
            <w:tcW w:w="990" w:type="dxa"/>
            <w:tcBorders>
              <w:top w:val="nil"/>
              <w:left w:val="nil"/>
              <w:bottom w:val="single" w:sz="8" w:space="0" w:color="auto"/>
              <w:right w:val="single" w:sz="8" w:space="0" w:color="auto"/>
            </w:tcBorders>
            <w:noWrap/>
            <w:vAlign w:val="center"/>
          </w:tcPr>
          <w:p w14:paraId="5F37652F"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44,5</w:t>
            </w:r>
          </w:p>
        </w:tc>
        <w:tc>
          <w:tcPr>
            <w:tcW w:w="990" w:type="dxa"/>
            <w:tcBorders>
              <w:top w:val="nil"/>
              <w:left w:val="nil"/>
              <w:bottom w:val="single" w:sz="8" w:space="0" w:color="auto"/>
              <w:right w:val="single" w:sz="8" w:space="0" w:color="auto"/>
            </w:tcBorders>
          </w:tcPr>
          <w:p w14:paraId="6B3195C3"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44,3</w:t>
            </w:r>
          </w:p>
        </w:tc>
        <w:tc>
          <w:tcPr>
            <w:tcW w:w="990" w:type="dxa"/>
            <w:tcBorders>
              <w:top w:val="nil"/>
              <w:left w:val="nil"/>
              <w:bottom w:val="single" w:sz="8" w:space="0" w:color="auto"/>
              <w:right w:val="single" w:sz="8" w:space="0" w:color="auto"/>
            </w:tcBorders>
          </w:tcPr>
          <w:p w14:paraId="684B43F0" w14:textId="77777777" w:rsidR="005C6900" w:rsidRPr="00C531A2" w:rsidRDefault="005C6900" w:rsidP="00725D9F">
            <w:pPr>
              <w:jc w:val="right"/>
              <w:rPr>
                <w:rFonts w:ascii="Times New Roman" w:hAnsi="Times New Roman"/>
                <w:sz w:val="20"/>
              </w:rPr>
            </w:pPr>
            <w:r w:rsidRPr="00C531A2">
              <w:rPr>
                <w:rFonts w:ascii="Times New Roman" w:hAnsi="Times New Roman"/>
                <w:sz w:val="20"/>
              </w:rPr>
              <w:t>44,1</w:t>
            </w:r>
          </w:p>
        </w:tc>
      </w:tr>
    </w:tbl>
    <w:p w14:paraId="2C8958C4" w14:textId="77777777" w:rsidR="005C6900" w:rsidRPr="00C531A2" w:rsidRDefault="005C6900" w:rsidP="005C6900">
      <w:pPr>
        <w:tabs>
          <w:tab w:val="left" w:pos="720"/>
        </w:tabs>
        <w:spacing w:after="200" w:line="276" w:lineRule="auto"/>
        <w:jc w:val="center"/>
        <w:rPr>
          <w:rFonts w:ascii="Times New Roman" w:eastAsia="Calibri" w:hAnsi="Times New Roman"/>
          <w:bCs/>
          <w:color w:val="FF0000"/>
        </w:rPr>
      </w:pPr>
    </w:p>
    <w:p w14:paraId="195FBED8" w14:textId="094E9EF0" w:rsidR="0090740B" w:rsidRPr="00C531A2" w:rsidRDefault="006E0E3C" w:rsidP="0090740B">
      <w:pPr>
        <w:tabs>
          <w:tab w:val="left" w:pos="720"/>
          <w:tab w:val="left" w:pos="1440"/>
        </w:tabs>
        <w:spacing w:before="120" w:after="120"/>
        <w:rPr>
          <w:rFonts w:ascii="Times New Roman" w:hAnsi="Times New Roman"/>
        </w:rPr>
      </w:pPr>
      <w:r w:rsidRPr="00C531A2">
        <w:rPr>
          <w:rFonts w:ascii="Times New Roman" w:hAnsi="Times New Roman"/>
          <w:b/>
          <w:bCs/>
          <w:szCs w:val="24"/>
        </w:rPr>
        <w:tab/>
      </w:r>
      <w:r w:rsidR="0090740B" w:rsidRPr="00C531A2">
        <w:rPr>
          <w:rFonts w:ascii="Times New Roman" w:hAnsi="Times New Roman"/>
          <w:b/>
          <w:bCs/>
          <w:szCs w:val="24"/>
        </w:rPr>
        <w:t>3. Образложење прихода и примања буџета</w:t>
      </w:r>
    </w:p>
    <w:p w14:paraId="092926A2" w14:textId="77777777" w:rsidR="0090740B" w:rsidRPr="00C531A2" w:rsidRDefault="0090740B" w:rsidP="0090740B">
      <w:pPr>
        <w:tabs>
          <w:tab w:val="left" w:pos="720"/>
          <w:tab w:val="left" w:pos="1440"/>
        </w:tabs>
        <w:outlineLvl w:val="0"/>
        <w:rPr>
          <w:rFonts w:ascii="Times New Roman" w:hAnsi="Times New Roman"/>
          <w:b/>
          <w:bCs/>
        </w:rPr>
      </w:pPr>
    </w:p>
    <w:p w14:paraId="0ABBD73E" w14:textId="77777777" w:rsidR="0090740B" w:rsidRPr="00C531A2" w:rsidRDefault="0090740B" w:rsidP="0090740B">
      <w:pPr>
        <w:tabs>
          <w:tab w:val="left" w:pos="720"/>
        </w:tabs>
        <w:spacing w:after="120"/>
        <w:ind w:firstLine="709"/>
        <w:rPr>
          <w:rFonts w:ascii="Times New Roman" w:hAnsi="Times New Roman"/>
          <w:szCs w:val="24"/>
        </w:rPr>
      </w:pPr>
      <w:r w:rsidRPr="00C531A2">
        <w:rPr>
          <w:rFonts w:ascii="Times New Roman" w:hAnsi="Times New Roman"/>
          <w:szCs w:val="24"/>
        </w:rPr>
        <w:t>Приходи и примања буџета за 2026. годину утврђена су у следећим износима:</w:t>
      </w:r>
    </w:p>
    <w:p w14:paraId="633D1673" w14:textId="77777777" w:rsidR="0090740B" w:rsidRPr="00C531A2" w:rsidRDefault="0090740B" w:rsidP="0090740B">
      <w:pPr>
        <w:tabs>
          <w:tab w:val="left" w:pos="720"/>
          <w:tab w:val="left" w:pos="1440"/>
        </w:tabs>
        <w:rPr>
          <w:rFonts w:ascii="Times New Roman" w:hAnsi="Times New Roman"/>
        </w:rPr>
      </w:pPr>
      <w:r w:rsidRPr="00C531A2">
        <w:rPr>
          <w:rFonts w:ascii="Times New Roman" w:hAnsi="Times New Roman"/>
          <w:b/>
        </w:rPr>
        <w:t xml:space="preserve">Приходи и примања буџета Републике Србије за </w:t>
      </w:r>
      <w:r w:rsidRPr="00C531A2">
        <w:rPr>
          <w:rFonts w:ascii="Times New Roman" w:hAnsi="Times New Roman"/>
          <w:b/>
          <w:color w:val="000000" w:themeColor="text1"/>
        </w:rPr>
        <w:t xml:space="preserve">2026. </w:t>
      </w:r>
      <w:r w:rsidRPr="00C531A2">
        <w:rPr>
          <w:rFonts w:ascii="Times New Roman" w:hAnsi="Times New Roman"/>
          <w:b/>
        </w:rPr>
        <w:t>годину</w:t>
      </w:r>
      <w:r w:rsidRPr="00C531A2">
        <w:rPr>
          <w:rFonts w:ascii="Times New Roman" w:hAnsi="Times New Roman"/>
        </w:rPr>
        <w:t xml:space="preserve"> </w:t>
      </w:r>
      <w:r w:rsidRPr="00C531A2">
        <w:rPr>
          <w:rFonts w:ascii="Times New Roman" w:hAnsi="Times New Roman"/>
        </w:rPr>
        <w:fldChar w:fldCharType="begin"/>
      </w:r>
      <w:r w:rsidRPr="00C531A2">
        <w:rPr>
          <w:rFonts w:ascii="Times New Roman" w:hAnsi="Times New Roman"/>
        </w:rPr>
        <w:instrText xml:space="preserve"> LINK Excel.Sheet.12 "C:\\Users\\vladimir.malbasic\\Dropbox\\Makro sektor\\2. F  I  S  K  A  L\\Budzeti obrazlozenja i excel fajlovi\\1. budžet 2023\\Budzet 2023 prihodi tabele.xlsx" "Табела 1!R3C2:R35C4" \a \f 4 \h \* MERGEFORMAT </w:instrText>
      </w:r>
      <w:r w:rsidRPr="00C531A2">
        <w:rPr>
          <w:rFonts w:ascii="Times New Roman" w:hAnsi="Times New Roman"/>
        </w:rPr>
        <w:fldChar w:fldCharType="separate"/>
      </w:r>
    </w:p>
    <w:tbl>
      <w:tblPr>
        <w:tblW w:w="8952" w:type="dxa"/>
        <w:tblLook w:val="04A0" w:firstRow="1" w:lastRow="0" w:firstColumn="1" w:lastColumn="0" w:noHBand="0" w:noVBand="1"/>
      </w:tblPr>
      <w:tblGrid>
        <w:gridCol w:w="5135"/>
        <w:gridCol w:w="1731"/>
        <w:gridCol w:w="2201"/>
      </w:tblGrid>
      <w:tr w:rsidR="0090740B" w:rsidRPr="00C531A2" w14:paraId="78E81D26" w14:textId="77777777" w:rsidTr="00725D9F">
        <w:trPr>
          <w:trHeight w:val="20"/>
        </w:trPr>
        <w:tc>
          <w:tcPr>
            <w:tcW w:w="5135" w:type="dxa"/>
            <w:tcBorders>
              <w:top w:val="single" w:sz="4" w:space="0" w:color="auto"/>
              <w:left w:val="single" w:sz="4" w:space="0" w:color="auto"/>
              <w:bottom w:val="single" w:sz="4" w:space="0" w:color="auto"/>
              <w:right w:val="single" w:sz="4" w:space="0" w:color="auto"/>
            </w:tcBorders>
            <w:noWrap/>
            <w:hideMark/>
          </w:tcPr>
          <w:p w14:paraId="39932B12" w14:textId="77777777" w:rsidR="0090740B" w:rsidRPr="00C531A2" w:rsidRDefault="0090740B" w:rsidP="00725D9F">
            <w:pPr>
              <w:tabs>
                <w:tab w:val="left" w:pos="1440"/>
              </w:tabs>
              <w:rPr>
                <w:rFonts w:ascii="Times New Roman" w:hAnsi="Times New Roman"/>
                <w:color w:val="000000"/>
                <w:sz w:val="20"/>
              </w:rPr>
            </w:pPr>
            <w:r w:rsidRPr="00C531A2">
              <w:rPr>
                <w:b/>
              </w:rPr>
              <w:t> </w:t>
            </w:r>
          </w:p>
        </w:tc>
        <w:tc>
          <w:tcPr>
            <w:tcW w:w="1616" w:type="dxa"/>
            <w:tcBorders>
              <w:top w:val="single" w:sz="4" w:space="0" w:color="auto"/>
              <w:left w:val="nil"/>
              <w:bottom w:val="single" w:sz="4" w:space="0" w:color="auto"/>
              <w:right w:val="single" w:sz="4" w:space="0" w:color="auto"/>
            </w:tcBorders>
            <w:vAlign w:val="bottom"/>
            <w:hideMark/>
          </w:tcPr>
          <w:p w14:paraId="5DE81D97" w14:textId="77777777" w:rsidR="0090740B" w:rsidRPr="00C531A2" w:rsidRDefault="0090740B" w:rsidP="00725D9F">
            <w:pPr>
              <w:tabs>
                <w:tab w:val="left" w:pos="1440"/>
              </w:tabs>
              <w:jc w:val="center"/>
            </w:pPr>
            <w:r w:rsidRPr="00C531A2">
              <w:t>Економска класификација</w:t>
            </w:r>
          </w:p>
        </w:tc>
        <w:tc>
          <w:tcPr>
            <w:tcW w:w="2201" w:type="dxa"/>
            <w:tcBorders>
              <w:top w:val="single" w:sz="4" w:space="0" w:color="auto"/>
              <w:left w:val="nil"/>
              <w:bottom w:val="single" w:sz="4" w:space="0" w:color="auto"/>
              <w:right w:val="single" w:sz="4" w:space="0" w:color="auto"/>
            </w:tcBorders>
            <w:noWrap/>
            <w:vAlign w:val="bottom"/>
            <w:hideMark/>
          </w:tcPr>
          <w:p w14:paraId="2CC411B5" w14:textId="77777777" w:rsidR="0090740B" w:rsidRPr="00C531A2" w:rsidRDefault="0090740B" w:rsidP="00725D9F">
            <w:pPr>
              <w:tabs>
                <w:tab w:val="left" w:pos="1440"/>
              </w:tabs>
              <w:jc w:val="center"/>
            </w:pPr>
            <w:r w:rsidRPr="00C531A2">
              <w:t xml:space="preserve"> </w:t>
            </w:r>
          </w:p>
        </w:tc>
      </w:tr>
      <w:tr w:rsidR="0090740B" w:rsidRPr="00C531A2" w14:paraId="593BD82B" w14:textId="77777777" w:rsidTr="00725D9F">
        <w:trPr>
          <w:trHeight w:val="20"/>
        </w:trPr>
        <w:tc>
          <w:tcPr>
            <w:tcW w:w="5135" w:type="dxa"/>
            <w:tcBorders>
              <w:top w:val="nil"/>
              <w:left w:val="single" w:sz="4" w:space="0" w:color="auto"/>
              <w:bottom w:val="single" w:sz="4" w:space="0" w:color="auto"/>
              <w:right w:val="single" w:sz="4" w:space="0" w:color="auto"/>
            </w:tcBorders>
            <w:noWrap/>
            <w:vAlign w:val="bottom"/>
            <w:hideMark/>
          </w:tcPr>
          <w:p w14:paraId="7BB3372F" w14:textId="77777777" w:rsidR="0090740B" w:rsidRPr="00C531A2" w:rsidRDefault="0090740B" w:rsidP="00725D9F">
            <w:pPr>
              <w:tabs>
                <w:tab w:val="left" w:pos="1440"/>
              </w:tabs>
              <w:rPr>
                <w:b/>
                <w:sz w:val="20"/>
              </w:rPr>
            </w:pPr>
            <w:r w:rsidRPr="00C531A2">
              <w:rPr>
                <w:b/>
                <w:sz w:val="20"/>
              </w:rPr>
              <w:t>УКУПНИ ПРИХОДИ И ПРИМАЊА</w:t>
            </w:r>
          </w:p>
        </w:tc>
        <w:tc>
          <w:tcPr>
            <w:tcW w:w="1616" w:type="dxa"/>
            <w:tcBorders>
              <w:top w:val="nil"/>
              <w:left w:val="nil"/>
              <w:bottom w:val="single" w:sz="4" w:space="0" w:color="auto"/>
              <w:right w:val="single" w:sz="4" w:space="0" w:color="auto"/>
            </w:tcBorders>
            <w:noWrap/>
            <w:hideMark/>
          </w:tcPr>
          <w:p w14:paraId="2558F3FF" w14:textId="77777777" w:rsidR="0090740B" w:rsidRPr="00C531A2" w:rsidRDefault="0090740B" w:rsidP="00725D9F">
            <w:pPr>
              <w:tabs>
                <w:tab w:val="left" w:pos="1440"/>
              </w:tabs>
              <w:rPr>
                <w:rFonts w:ascii="Times New Roman" w:hAnsi="Times New Roman"/>
                <w:b/>
                <w:bCs/>
                <w:color w:val="000000"/>
                <w:sz w:val="20"/>
              </w:rPr>
            </w:pPr>
            <w:r w:rsidRPr="00C531A2">
              <w:rPr>
                <w:sz w:val="20"/>
              </w:rPr>
              <w:t> </w:t>
            </w:r>
          </w:p>
        </w:tc>
        <w:tc>
          <w:tcPr>
            <w:tcW w:w="2201" w:type="dxa"/>
            <w:tcBorders>
              <w:top w:val="nil"/>
              <w:left w:val="nil"/>
              <w:bottom w:val="single" w:sz="4" w:space="0" w:color="auto"/>
              <w:right w:val="single" w:sz="4" w:space="0" w:color="auto"/>
            </w:tcBorders>
            <w:noWrap/>
            <w:vAlign w:val="bottom"/>
            <w:hideMark/>
          </w:tcPr>
          <w:p w14:paraId="60954318" w14:textId="77777777" w:rsidR="0090740B" w:rsidRPr="00C531A2" w:rsidRDefault="0090740B" w:rsidP="00725D9F">
            <w:pPr>
              <w:jc w:val="right"/>
              <w:rPr>
                <w:rFonts w:ascii="Times New Roman" w:hAnsi="Times New Roman"/>
                <w:b/>
                <w:bCs/>
                <w:sz w:val="20"/>
              </w:rPr>
            </w:pPr>
            <w:r w:rsidRPr="00C531A2">
              <w:rPr>
                <w:rFonts w:ascii="Times New Roman" w:hAnsi="Times New Roman"/>
                <w:b/>
                <w:bCs/>
                <w:sz w:val="20"/>
              </w:rPr>
              <w:t>2.414.700.000.000</w:t>
            </w:r>
          </w:p>
        </w:tc>
      </w:tr>
      <w:tr w:rsidR="0090740B" w:rsidRPr="00C531A2" w14:paraId="76207265" w14:textId="77777777" w:rsidTr="00725D9F">
        <w:trPr>
          <w:trHeight w:val="20"/>
        </w:trPr>
        <w:tc>
          <w:tcPr>
            <w:tcW w:w="5135" w:type="dxa"/>
            <w:tcBorders>
              <w:top w:val="nil"/>
              <w:left w:val="single" w:sz="4" w:space="0" w:color="auto"/>
              <w:bottom w:val="single" w:sz="4" w:space="0" w:color="auto"/>
              <w:right w:val="single" w:sz="4" w:space="0" w:color="auto"/>
            </w:tcBorders>
            <w:noWrap/>
            <w:vAlign w:val="bottom"/>
            <w:hideMark/>
          </w:tcPr>
          <w:p w14:paraId="67E0CB67" w14:textId="77777777" w:rsidR="0090740B" w:rsidRPr="00C531A2" w:rsidRDefault="0090740B" w:rsidP="00725D9F">
            <w:pPr>
              <w:tabs>
                <w:tab w:val="left" w:pos="1440"/>
              </w:tabs>
              <w:rPr>
                <w:b/>
                <w:sz w:val="20"/>
              </w:rPr>
            </w:pPr>
            <w:r w:rsidRPr="00C531A2">
              <w:rPr>
                <w:b/>
                <w:sz w:val="20"/>
              </w:rPr>
              <w:t>1. Порески приходи</w:t>
            </w:r>
          </w:p>
        </w:tc>
        <w:tc>
          <w:tcPr>
            <w:tcW w:w="1616" w:type="dxa"/>
            <w:tcBorders>
              <w:top w:val="nil"/>
              <w:left w:val="nil"/>
              <w:bottom w:val="single" w:sz="4" w:space="0" w:color="auto"/>
              <w:right w:val="single" w:sz="4" w:space="0" w:color="auto"/>
            </w:tcBorders>
            <w:noWrap/>
            <w:hideMark/>
          </w:tcPr>
          <w:p w14:paraId="35E809D5" w14:textId="77777777" w:rsidR="0090740B" w:rsidRPr="00C531A2" w:rsidRDefault="0090740B" w:rsidP="00725D9F">
            <w:pPr>
              <w:tabs>
                <w:tab w:val="left" w:pos="1440"/>
              </w:tabs>
              <w:rPr>
                <w:b/>
                <w:sz w:val="20"/>
              </w:rPr>
            </w:pPr>
            <w:r w:rsidRPr="00C531A2">
              <w:rPr>
                <w:b/>
                <w:sz w:val="20"/>
              </w:rPr>
              <w:t>71</w:t>
            </w:r>
          </w:p>
        </w:tc>
        <w:tc>
          <w:tcPr>
            <w:tcW w:w="2201" w:type="dxa"/>
            <w:tcBorders>
              <w:top w:val="nil"/>
              <w:left w:val="nil"/>
              <w:bottom w:val="single" w:sz="4" w:space="0" w:color="auto"/>
              <w:right w:val="single" w:sz="4" w:space="0" w:color="auto"/>
            </w:tcBorders>
            <w:noWrap/>
            <w:vAlign w:val="bottom"/>
            <w:hideMark/>
          </w:tcPr>
          <w:p w14:paraId="21CDFAEF" w14:textId="77777777" w:rsidR="0090740B" w:rsidRPr="00C531A2" w:rsidRDefault="0090740B" w:rsidP="00725D9F">
            <w:pPr>
              <w:jc w:val="right"/>
              <w:rPr>
                <w:rFonts w:ascii="Times New Roman" w:hAnsi="Times New Roman"/>
                <w:b/>
                <w:bCs/>
                <w:color w:val="000000"/>
                <w:sz w:val="20"/>
              </w:rPr>
            </w:pPr>
            <w:r w:rsidRPr="00C531A2">
              <w:rPr>
                <w:rFonts w:ascii="Times New Roman" w:hAnsi="Times New Roman"/>
                <w:b/>
                <w:bCs/>
                <w:color w:val="000000"/>
                <w:sz w:val="20"/>
              </w:rPr>
              <w:t>2.080.000.000.000</w:t>
            </w:r>
          </w:p>
        </w:tc>
      </w:tr>
      <w:tr w:rsidR="0090740B" w:rsidRPr="00C531A2" w14:paraId="5F75A3D3" w14:textId="77777777" w:rsidTr="00725D9F">
        <w:trPr>
          <w:trHeight w:val="20"/>
        </w:trPr>
        <w:tc>
          <w:tcPr>
            <w:tcW w:w="5135" w:type="dxa"/>
            <w:tcBorders>
              <w:top w:val="nil"/>
              <w:left w:val="single" w:sz="4" w:space="0" w:color="auto"/>
              <w:bottom w:val="single" w:sz="4" w:space="0" w:color="auto"/>
              <w:right w:val="single" w:sz="4" w:space="0" w:color="auto"/>
            </w:tcBorders>
            <w:noWrap/>
            <w:vAlign w:val="bottom"/>
            <w:hideMark/>
          </w:tcPr>
          <w:p w14:paraId="55D18925" w14:textId="77777777" w:rsidR="0090740B" w:rsidRPr="00C531A2" w:rsidRDefault="0090740B" w:rsidP="00725D9F">
            <w:pPr>
              <w:tabs>
                <w:tab w:val="left" w:pos="1440"/>
              </w:tabs>
              <w:rPr>
                <w:sz w:val="20"/>
              </w:rPr>
            </w:pPr>
            <w:r w:rsidRPr="00C531A2">
              <w:rPr>
                <w:sz w:val="20"/>
              </w:rPr>
              <w:t xml:space="preserve"> 1.1. Порез на доходак грађана</w:t>
            </w:r>
          </w:p>
        </w:tc>
        <w:tc>
          <w:tcPr>
            <w:tcW w:w="1616" w:type="dxa"/>
            <w:tcBorders>
              <w:top w:val="nil"/>
              <w:left w:val="nil"/>
              <w:bottom w:val="single" w:sz="4" w:space="0" w:color="auto"/>
              <w:right w:val="single" w:sz="4" w:space="0" w:color="auto"/>
            </w:tcBorders>
            <w:noWrap/>
            <w:vAlign w:val="bottom"/>
            <w:hideMark/>
          </w:tcPr>
          <w:p w14:paraId="62874567" w14:textId="77777777" w:rsidR="0090740B" w:rsidRPr="00C531A2" w:rsidRDefault="0090740B" w:rsidP="00725D9F">
            <w:pPr>
              <w:tabs>
                <w:tab w:val="left" w:pos="1440"/>
              </w:tabs>
              <w:rPr>
                <w:sz w:val="20"/>
              </w:rPr>
            </w:pPr>
            <w:r w:rsidRPr="00C531A2">
              <w:rPr>
                <w:sz w:val="20"/>
              </w:rPr>
              <w:t>7111</w:t>
            </w:r>
          </w:p>
        </w:tc>
        <w:tc>
          <w:tcPr>
            <w:tcW w:w="2201" w:type="dxa"/>
            <w:tcBorders>
              <w:top w:val="nil"/>
              <w:left w:val="nil"/>
              <w:bottom w:val="single" w:sz="4" w:space="0" w:color="auto"/>
              <w:right w:val="single" w:sz="4" w:space="0" w:color="auto"/>
            </w:tcBorders>
            <w:noWrap/>
            <w:vAlign w:val="bottom"/>
            <w:hideMark/>
          </w:tcPr>
          <w:p w14:paraId="7A7E6F02" w14:textId="77777777" w:rsidR="0090740B" w:rsidRPr="00C531A2" w:rsidRDefault="0090740B" w:rsidP="00725D9F">
            <w:pPr>
              <w:jc w:val="right"/>
              <w:rPr>
                <w:rFonts w:ascii="Times New Roman" w:hAnsi="Times New Roman"/>
                <w:color w:val="000000"/>
                <w:sz w:val="20"/>
              </w:rPr>
            </w:pPr>
            <w:r w:rsidRPr="00C531A2">
              <w:rPr>
                <w:rFonts w:ascii="Times New Roman" w:hAnsi="Times New Roman"/>
                <w:color w:val="000000"/>
                <w:sz w:val="20"/>
              </w:rPr>
              <w:t>150.500.000.000</w:t>
            </w:r>
          </w:p>
        </w:tc>
      </w:tr>
      <w:tr w:rsidR="0090740B" w:rsidRPr="00C531A2" w14:paraId="036CB179" w14:textId="77777777" w:rsidTr="00725D9F">
        <w:trPr>
          <w:trHeight w:val="20"/>
        </w:trPr>
        <w:tc>
          <w:tcPr>
            <w:tcW w:w="5135" w:type="dxa"/>
            <w:tcBorders>
              <w:top w:val="nil"/>
              <w:left w:val="single" w:sz="4" w:space="0" w:color="auto"/>
              <w:bottom w:val="single" w:sz="4" w:space="0" w:color="auto"/>
              <w:right w:val="single" w:sz="4" w:space="0" w:color="auto"/>
            </w:tcBorders>
            <w:noWrap/>
            <w:vAlign w:val="bottom"/>
            <w:hideMark/>
          </w:tcPr>
          <w:p w14:paraId="3F1AB87C" w14:textId="77777777" w:rsidR="0090740B" w:rsidRPr="00C531A2" w:rsidRDefault="0090740B" w:rsidP="00725D9F">
            <w:pPr>
              <w:tabs>
                <w:tab w:val="left" w:pos="1440"/>
              </w:tabs>
              <w:rPr>
                <w:sz w:val="20"/>
              </w:rPr>
            </w:pPr>
            <w:r w:rsidRPr="00C531A2">
              <w:rPr>
                <w:sz w:val="20"/>
              </w:rPr>
              <w:t xml:space="preserve"> 1.2. Порез на добит правних лица</w:t>
            </w:r>
          </w:p>
        </w:tc>
        <w:tc>
          <w:tcPr>
            <w:tcW w:w="1616" w:type="dxa"/>
            <w:tcBorders>
              <w:top w:val="nil"/>
              <w:left w:val="nil"/>
              <w:bottom w:val="single" w:sz="4" w:space="0" w:color="auto"/>
              <w:right w:val="single" w:sz="4" w:space="0" w:color="auto"/>
            </w:tcBorders>
            <w:noWrap/>
            <w:vAlign w:val="bottom"/>
            <w:hideMark/>
          </w:tcPr>
          <w:p w14:paraId="7F2436EC" w14:textId="77777777" w:rsidR="0090740B" w:rsidRPr="00C531A2" w:rsidRDefault="0090740B" w:rsidP="00725D9F">
            <w:pPr>
              <w:tabs>
                <w:tab w:val="left" w:pos="1440"/>
              </w:tabs>
              <w:rPr>
                <w:sz w:val="20"/>
              </w:rPr>
            </w:pPr>
            <w:r w:rsidRPr="00C531A2">
              <w:rPr>
                <w:sz w:val="20"/>
              </w:rPr>
              <w:t>7112</w:t>
            </w:r>
          </w:p>
        </w:tc>
        <w:tc>
          <w:tcPr>
            <w:tcW w:w="2201" w:type="dxa"/>
            <w:tcBorders>
              <w:top w:val="nil"/>
              <w:left w:val="nil"/>
              <w:bottom w:val="single" w:sz="4" w:space="0" w:color="auto"/>
              <w:right w:val="single" w:sz="4" w:space="0" w:color="auto"/>
            </w:tcBorders>
            <w:noWrap/>
            <w:vAlign w:val="bottom"/>
            <w:hideMark/>
          </w:tcPr>
          <w:p w14:paraId="2B5BFFAF" w14:textId="77777777" w:rsidR="0090740B" w:rsidRPr="00C531A2" w:rsidRDefault="0090740B" w:rsidP="00725D9F">
            <w:pPr>
              <w:jc w:val="right"/>
              <w:rPr>
                <w:rFonts w:ascii="Times New Roman" w:hAnsi="Times New Roman"/>
                <w:color w:val="000000"/>
                <w:sz w:val="20"/>
              </w:rPr>
            </w:pPr>
            <w:r w:rsidRPr="00C531A2">
              <w:rPr>
                <w:rFonts w:ascii="Times New Roman" w:hAnsi="Times New Roman"/>
                <w:color w:val="000000"/>
                <w:sz w:val="20"/>
              </w:rPr>
              <w:t>275.000.000.000</w:t>
            </w:r>
          </w:p>
        </w:tc>
      </w:tr>
      <w:tr w:rsidR="0090740B" w:rsidRPr="00C531A2" w14:paraId="66453AC0" w14:textId="77777777" w:rsidTr="00725D9F">
        <w:trPr>
          <w:trHeight w:val="20"/>
        </w:trPr>
        <w:tc>
          <w:tcPr>
            <w:tcW w:w="5135" w:type="dxa"/>
            <w:tcBorders>
              <w:top w:val="nil"/>
              <w:left w:val="single" w:sz="4" w:space="0" w:color="auto"/>
              <w:bottom w:val="single" w:sz="4" w:space="0" w:color="auto"/>
              <w:right w:val="single" w:sz="4" w:space="0" w:color="auto"/>
            </w:tcBorders>
            <w:noWrap/>
            <w:vAlign w:val="bottom"/>
            <w:hideMark/>
          </w:tcPr>
          <w:p w14:paraId="7BE11AB6" w14:textId="77777777" w:rsidR="0090740B" w:rsidRPr="00C531A2" w:rsidRDefault="0090740B" w:rsidP="00725D9F">
            <w:pPr>
              <w:tabs>
                <w:tab w:val="left" w:pos="1440"/>
              </w:tabs>
              <w:rPr>
                <w:sz w:val="20"/>
              </w:rPr>
            </w:pPr>
            <w:r w:rsidRPr="00C531A2">
              <w:rPr>
                <w:sz w:val="20"/>
              </w:rPr>
              <w:t xml:space="preserve"> 1.3. Порез на додату вредност</w:t>
            </w:r>
          </w:p>
        </w:tc>
        <w:tc>
          <w:tcPr>
            <w:tcW w:w="1616" w:type="dxa"/>
            <w:tcBorders>
              <w:top w:val="nil"/>
              <w:left w:val="nil"/>
              <w:bottom w:val="single" w:sz="4" w:space="0" w:color="auto"/>
              <w:right w:val="single" w:sz="4" w:space="0" w:color="auto"/>
            </w:tcBorders>
            <w:noWrap/>
            <w:vAlign w:val="bottom"/>
            <w:hideMark/>
          </w:tcPr>
          <w:p w14:paraId="05CABB52" w14:textId="77777777" w:rsidR="0090740B" w:rsidRPr="00C531A2" w:rsidRDefault="0090740B" w:rsidP="00725D9F">
            <w:pPr>
              <w:tabs>
                <w:tab w:val="left" w:pos="1440"/>
              </w:tabs>
              <w:rPr>
                <w:sz w:val="20"/>
              </w:rPr>
            </w:pPr>
            <w:r w:rsidRPr="00C531A2">
              <w:rPr>
                <w:sz w:val="20"/>
              </w:rPr>
              <w:t>7141</w:t>
            </w:r>
          </w:p>
        </w:tc>
        <w:tc>
          <w:tcPr>
            <w:tcW w:w="2201" w:type="dxa"/>
            <w:tcBorders>
              <w:top w:val="nil"/>
              <w:left w:val="nil"/>
              <w:bottom w:val="single" w:sz="4" w:space="0" w:color="auto"/>
              <w:right w:val="single" w:sz="4" w:space="0" w:color="auto"/>
            </w:tcBorders>
            <w:noWrap/>
            <w:vAlign w:val="bottom"/>
            <w:hideMark/>
          </w:tcPr>
          <w:p w14:paraId="4D80EE5D" w14:textId="77777777" w:rsidR="0090740B" w:rsidRPr="00C531A2" w:rsidRDefault="0090740B" w:rsidP="00725D9F">
            <w:pPr>
              <w:jc w:val="right"/>
              <w:rPr>
                <w:rFonts w:ascii="Times New Roman" w:hAnsi="Times New Roman"/>
                <w:color w:val="000000"/>
                <w:sz w:val="20"/>
              </w:rPr>
            </w:pPr>
            <w:r w:rsidRPr="00C531A2">
              <w:rPr>
                <w:rFonts w:ascii="Times New Roman" w:hAnsi="Times New Roman"/>
                <w:color w:val="000000"/>
                <w:sz w:val="20"/>
              </w:rPr>
              <w:t>1.084.000.000.000</w:t>
            </w:r>
          </w:p>
        </w:tc>
      </w:tr>
      <w:tr w:rsidR="0090740B" w:rsidRPr="00C531A2" w14:paraId="109FF157" w14:textId="77777777" w:rsidTr="00725D9F">
        <w:trPr>
          <w:trHeight w:val="20"/>
        </w:trPr>
        <w:tc>
          <w:tcPr>
            <w:tcW w:w="5135" w:type="dxa"/>
            <w:tcBorders>
              <w:top w:val="nil"/>
              <w:left w:val="single" w:sz="4" w:space="0" w:color="auto"/>
              <w:bottom w:val="single" w:sz="4" w:space="0" w:color="auto"/>
              <w:right w:val="single" w:sz="4" w:space="0" w:color="auto"/>
            </w:tcBorders>
            <w:noWrap/>
            <w:vAlign w:val="bottom"/>
            <w:hideMark/>
          </w:tcPr>
          <w:p w14:paraId="08EBD735" w14:textId="77777777" w:rsidR="0090740B" w:rsidRPr="00C531A2" w:rsidRDefault="0090740B" w:rsidP="00725D9F">
            <w:pPr>
              <w:tabs>
                <w:tab w:val="left" w:pos="1440"/>
              </w:tabs>
              <w:rPr>
                <w:sz w:val="20"/>
              </w:rPr>
            </w:pPr>
            <w:r w:rsidRPr="00C531A2">
              <w:rPr>
                <w:sz w:val="20"/>
              </w:rPr>
              <w:t xml:space="preserve"> 1.4. Акцизе</w:t>
            </w:r>
          </w:p>
        </w:tc>
        <w:tc>
          <w:tcPr>
            <w:tcW w:w="1616" w:type="dxa"/>
            <w:tcBorders>
              <w:top w:val="nil"/>
              <w:left w:val="nil"/>
              <w:bottom w:val="single" w:sz="4" w:space="0" w:color="auto"/>
              <w:right w:val="single" w:sz="4" w:space="0" w:color="auto"/>
            </w:tcBorders>
            <w:noWrap/>
            <w:vAlign w:val="bottom"/>
            <w:hideMark/>
          </w:tcPr>
          <w:p w14:paraId="5AABBE9B" w14:textId="77777777" w:rsidR="0090740B" w:rsidRPr="00C531A2" w:rsidRDefault="0090740B" w:rsidP="00725D9F">
            <w:pPr>
              <w:tabs>
                <w:tab w:val="left" w:pos="1440"/>
              </w:tabs>
              <w:rPr>
                <w:sz w:val="20"/>
              </w:rPr>
            </w:pPr>
            <w:r w:rsidRPr="00C531A2">
              <w:rPr>
                <w:sz w:val="20"/>
              </w:rPr>
              <w:t>717</w:t>
            </w:r>
          </w:p>
        </w:tc>
        <w:tc>
          <w:tcPr>
            <w:tcW w:w="2201" w:type="dxa"/>
            <w:tcBorders>
              <w:top w:val="nil"/>
              <w:left w:val="nil"/>
              <w:bottom w:val="single" w:sz="4" w:space="0" w:color="auto"/>
              <w:right w:val="single" w:sz="4" w:space="0" w:color="auto"/>
            </w:tcBorders>
            <w:noWrap/>
            <w:vAlign w:val="bottom"/>
            <w:hideMark/>
          </w:tcPr>
          <w:p w14:paraId="09BC1C8D" w14:textId="77777777" w:rsidR="0090740B" w:rsidRPr="00C531A2" w:rsidRDefault="0090740B" w:rsidP="00725D9F">
            <w:pPr>
              <w:jc w:val="right"/>
              <w:rPr>
                <w:rFonts w:ascii="Times New Roman" w:hAnsi="Times New Roman"/>
                <w:color w:val="000000"/>
                <w:sz w:val="20"/>
              </w:rPr>
            </w:pPr>
            <w:r w:rsidRPr="00C531A2">
              <w:rPr>
                <w:rFonts w:ascii="Times New Roman" w:hAnsi="Times New Roman"/>
                <w:color w:val="000000"/>
                <w:sz w:val="20"/>
              </w:rPr>
              <w:t>453.300.000.000</w:t>
            </w:r>
          </w:p>
        </w:tc>
      </w:tr>
      <w:tr w:rsidR="0090740B" w:rsidRPr="00C531A2" w14:paraId="7C506F30" w14:textId="77777777" w:rsidTr="00725D9F">
        <w:trPr>
          <w:trHeight w:val="20"/>
        </w:trPr>
        <w:tc>
          <w:tcPr>
            <w:tcW w:w="5135" w:type="dxa"/>
            <w:tcBorders>
              <w:top w:val="nil"/>
              <w:left w:val="single" w:sz="4" w:space="0" w:color="auto"/>
              <w:bottom w:val="single" w:sz="4" w:space="0" w:color="auto"/>
              <w:right w:val="single" w:sz="4" w:space="0" w:color="auto"/>
            </w:tcBorders>
            <w:noWrap/>
            <w:vAlign w:val="bottom"/>
            <w:hideMark/>
          </w:tcPr>
          <w:p w14:paraId="62FA5F36" w14:textId="77777777" w:rsidR="0090740B" w:rsidRPr="00C531A2" w:rsidRDefault="0090740B" w:rsidP="00725D9F">
            <w:pPr>
              <w:tabs>
                <w:tab w:val="left" w:pos="1440"/>
              </w:tabs>
              <w:rPr>
                <w:i/>
                <w:sz w:val="20"/>
              </w:rPr>
            </w:pPr>
            <w:r w:rsidRPr="00C531A2">
              <w:rPr>
                <w:i/>
                <w:sz w:val="20"/>
              </w:rPr>
              <w:t xml:space="preserve">     - Акцизе на деривате нафте</w:t>
            </w:r>
          </w:p>
        </w:tc>
        <w:tc>
          <w:tcPr>
            <w:tcW w:w="1616" w:type="dxa"/>
            <w:tcBorders>
              <w:top w:val="nil"/>
              <w:left w:val="nil"/>
              <w:bottom w:val="single" w:sz="4" w:space="0" w:color="auto"/>
              <w:right w:val="single" w:sz="4" w:space="0" w:color="auto"/>
            </w:tcBorders>
            <w:noWrap/>
            <w:vAlign w:val="bottom"/>
            <w:hideMark/>
          </w:tcPr>
          <w:p w14:paraId="3A2374D5" w14:textId="77777777" w:rsidR="0090740B" w:rsidRPr="00C531A2" w:rsidRDefault="0090740B" w:rsidP="00725D9F">
            <w:pPr>
              <w:tabs>
                <w:tab w:val="left" w:pos="1440"/>
              </w:tabs>
              <w:rPr>
                <w:rFonts w:ascii="Times New Roman" w:hAnsi="Times New Roman"/>
                <w:i/>
                <w:iCs/>
                <w:color w:val="000000"/>
                <w:sz w:val="20"/>
              </w:rPr>
            </w:pPr>
            <w:r w:rsidRPr="00C531A2">
              <w:rPr>
                <w:sz w:val="20"/>
              </w:rPr>
              <w:t> </w:t>
            </w:r>
          </w:p>
        </w:tc>
        <w:tc>
          <w:tcPr>
            <w:tcW w:w="2201" w:type="dxa"/>
            <w:tcBorders>
              <w:top w:val="nil"/>
              <w:left w:val="nil"/>
              <w:bottom w:val="single" w:sz="4" w:space="0" w:color="auto"/>
              <w:right w:val="single" w:sz="4" w:space="0" w:color="auto"/>
            </w:tcBorders>
            <w:noWrap/>
            <w:vAlign w:val="bottom"/>
            <w:hideMark/>
          </w:tcPr>
          <w:p w14:paraId="7D45DD87" w14:textId="77777777" w:rsidR="0090740B" w:rsidRPr="00C531A2" w:rsidRDefault="0090740B" w:rsidP="00725D9F">
            <w:pPr>
              <w:jc w:val="right"/>
              <w:rPr>
                <w:rFonts w:ascii="Times New Roman" w:hAnsi="Times New Roman"/>
                <w:color w:val="000000"/>
                <w:sz w:val="20"/>
              </w:rPr>
            </w:pPr>
            <w:r w:rsidRPr="00C531A2">
              <w:rPr>
                <w:rFonts w:ascii="Times New Roman" w:hAnsi="Times New Roman"/>
                <w:color w:val="000000"/>
                <w:sz w:val="20"/>
              </w:rPr>
              <w:t>244.000.000.000</w:t>
            </w:r>
          </w:p>
        </w:tc>
      </w:tr>
      <w:tr w:rsidR="0090740B" w:rsidRPr="00C531A2" w14:paraId="40F842BD" w14:textId="77777777" w:rsidTr="00725D9F">
        <w:trPr>
          <w:trHeight w:val="20"/>
        </w:trPr>
        <w:tc>
          <w:tcPr>
            <w:tcW w:w="5135" w:type="dxa"/>
            <w:tcBorders>
              <w:top w:val="nil"/>
              <w:left w:val="single" w:sz="4" w:space="0" w:color="auto"/>
              <w:bottom w:val="single" w:sz="4" w:space="0" w:color="auto"/>
              <w:right w:val="single" w:sz="4" w:space="0" w:color="auto"/>
            </w:tcBorders>
            <w:noWrap/>
            <w:vAlign w:val="bottom"/>
            <w:hideMark/>
          </w:tcPr>
          <w:p w14:paraId="34C67B0D" w14:textId="77777777" w:rsidR="0090740B" w:rsidRPr="00C531A2" w:rsidRDefault="0090740B" w:rsidP="00725D9F">
            <w:pPr>
              <w:tabs>
                <w:tab w:val="left" w:pos="1440"/>
              </w:tabs>
              <w:rPr>
                <w:i/>
                <w:sz w:val="20"/>
              </w:rPr>
            </w:pPr>
            <w:r w:rsidRPr="00C531A2">
              <w:rPr>
                <w:i/>
                <w:sz w:val="20"/>
              </w:rPr>
              <w:t xml:space="preserve">     - Акцизе на дуванске прерађевине</w:t>
            </w:r>
          </w:p>
        </w:tc>
        <w:tc>
          <w:tcPr>
            <w:tcW w:w="1616" w:type="dxa"/>
            <w:tcBorders>
              <w:top w:val="nil"/>
              <w:left w:val="nil"/>
              <w:bottom w:val="single" w:sz="4" w:space="0" w:color="auto"/>
              <w:right w:val="single" w:sz="4" w:space="0" w:color="auto"/>
            </w:tcBorders>
            <w:noWrap/>
            <w:vAlign w:val="bottom"/>
            <w:hideMark/>
          </w:tcPr>
          <w:p w14:paraId="3D6B69E1" w14:textId="77777777" w:rsidR="0090740B" w:rsidRPr="00C531A2" w:rsidRDefault="0090740B" w:rsidP="00725D9F">
            <w:pPr>
              <w:tabs>
                <w:tab w:val="left" w:pos="1440"/>
              </w:tabs>
              <w:rPr>
                <w:rFonts w:ascii="Times New Roman" w:hAnsi="Times New Roman"/>
                <w:i/>
                <w:iCs/>
                <w:color w:val="000000"/>
                <w:sz w:val="20"/>
              </w:rPr>
            </w:pPr>
            <w:r w:rsidRPr="00C531A2">
              <w:rPr>
                <w:sz w:val="20"/>
              </w:rPr>
              <w:t> </w:t>
            </w:r>
          </w:p>
        </w:tc>
        <w:tc>
          <w:tcPr>
            <w:tcW w:w="2201" w:type="dxa"/>
            <w:tcBorders>
              <w:top w:val="nil"/>
              <w:left w:val="nil"/>
              <w:bottom w:val="single" w:sz="4" w:space="0" w:color="auto"/>
              <w:right w:val="single" w:sz="4" w:space="0" w:color="auto"/>
            </w:tcBorders>
            <w:noWrap/>
            <w:vAlign w:val="bottom"/>
            <w:hideMark/>
          </w:tcPr>
          <w:p w14:paraId="5CC9B381" w14:textId="77777777" w:rsidR="0090740B" w:rsidRPr="00C531A2" w:rsidRDefault="0090740B" w:rsidP="00725D9F">
            <w:pPr>
              <w:jc w:val="right"/>
              <w:rPr>
                <w:rFonts w:ascii="Times New Roman" w:hAnsi="Times New Roman"/>
                <w:color w:val="000000"/>
                <w:sz w:val="20"/>
              </w:rPr>
            </w:pPr>
            <w:r w:rsidRPr="00C531A2">
              <w:rPr>
                <w:rFonts w:ascii="Times New Roman" w:hAnsi="Times New Roman"/>
                <w:color w:val="000000"/>
                <w:sz w:val="20"/>
              </w:rPr>
              <w:t>154.000.000.000</w:t>
            </w:r>
          </w:p>
        </w:tc>
      </w:tr>
      <w:tr w:rsidR="0090740B" w:rsidRPr="00C531A2" w14:paraId="7A65F4DA" w14:textId="77777777" w:rsidTr="00725D9F">
        <w:trPr>
          <w:trHeight w:val="20"/>
        </w:trPr>
        <w:tc>
          <w:tcPr>
            <w:tcW w:w="5135" w:type="dxa"/>
            <w:tcBorders>
              <w:top w:val="nil"/>
              <w:left w:val="single" w:sz="4" w:space="0" w:color="auto"/>
              <w:bottom w:val="single" w:sz="4" w:space="0" w:color="auto"/>
              <w:right w:val="single" w:sz="4" w:space="0" w:color="auto"/>
            </w:tcBorders>
            <w:noWrap/>
            <w:vAlign w:val="bottom"/>
            <w:hideMark/>
          </w:tcPr>
          <w:p w14:paraId="0F253590" w14:textId="77777777" w:rsidR="0090740B" w:rsidRPr="00C531A2" w:rsidRDefault="0090740B" w:rsidP="00725D9F">
            <w:pPr>
              <w:tabs>
                <w:tab w:val="left" w:pos="1440"/>
              </w:tabs>
              <w:rPr>
                <w:i/>
                <w:sz w:val="20"/>
              </w:rPr>
            </w:pPr>
            <w:r w:rsidRPr="00C531A2">
              <w:rPr>
                <w:i/>
                <w:sz w:val="20"/>
              </w:rPr>
              <w:t xml:space="preserve">     - Остале акцизе</w:t>
            </w:r>
          </w:p>
        </w:tc>
        <w:tc>
          <w:tcPr>
            <w:tcW w:w="1616" w:type="dxa"/>
            <w:tcBorders>
              <w:top w:val="nil"/>
              <w:left w:val="nil"/>
              <w:bottom w:val="single" w:sz="4" w:space="0" w:color="auto"/>
              <w:right w:val="single" w:sz="4" w:space="0" w:color="auto"/>
            </w:tcBorders>
            <w:noWrap/>
            <w:vAlign w:val="bottom"/>
            <w:hideMark/>
          </w:tcPr>
          <w:p w14:paraId="2184942E" w14:textId="77777777" w:rsidR="0090740B" w:rsidRPr="00C531A2" w:rsidRDefault="0090740B" w:rsidP="00725D9F">
            <w:pPr>
              <w:tabs>
                <w:tab w:val="left" w:pos="1440"/>
              </w:tabs>
              <w:rPr>
                <w:rFonts w:ascii="Times New Roman" w:hAnsi="Times New Roman"/>
                <w:i/>
                <w:iCs/>
                <w:color w:val="000000"/>
                <w:sz w:val="20"/>
              </w:rPr>
            </w:pPr>
            <w:r w:rsidRPr="00C531A2">
              <w:rPr>
                <w:sz w:val="20"/>
              </w:rPr>
              <w:t> </w:t>
            </w:r>
          </w:p>
        </w:tc>
        <w:tc>
          <w:tcPr>
            <w:tcW w:w="2201" w:type="dxa"/>
            <w:tcBorders>
              <w:top w:val="nil"/>
              <w:left w:val="nil"/>
              <w:bottom w:val="single" w:sz="4" w:space="0" w:color="auto"/>
              <w:right w:val="single" w:sz="4" w:space="0" w:color="auto"/>
            </w:tcBorders>
            <w:noWrap/>
            <w:vAlign w:val="bottom"/>
            <w:hideMark/>
          </w:tcPr>
          <w:p w14:paraId="76356B65" w14:textId="77777777" w:rsidR="0090740B" w:rsidRPr="00C531A2" w:rsidRDefault="0090740B" w:rsidP="00725D9F">
            <w:pPr>
              <w:jc w:val="right"/>
              <w:rPr>
                <w:rFonts w:ascii="Times New Roman" w:hAnsi="Times New Roman"/>
                <w:color w:val="000000"/>
                <w:sz w:val="20"/>
              </w:rPr>
            </w:pPr>
            <w:r w:rsidRPr="00C531A2">
              <w:rPr>
                <w:rFonts w:ascii="Times New Roman" w:hAnsi="Times New Roman"/>
                <w:color w:val="000000"/>
                <w:sz w:val="20"/>
              </w:rPr>
              <w:t>55.300.000.000</w:t>
            </w:r>
          </w:p>
        </w:tc>
      </w:tr>
      <w:tr w:rsidR="0090740B" w:rsidRPr="00C531A2" w14:paraId="2FBF558B" w14:textId="77777777" w:rsidTr="00725D9F">
        <w:trPr>
          <w:trHeight w:val="20"/>
        </w:trPr>
        <w:tc>
          <w:tcPr>
            <w:tcW w:w="5135" w:type="dxa"/>
            <w:tcBorders>
              <w:top w:val="nil"/>
              <w:left w:val="single" w:sz="4" w:space="0" w:color="auto"/>
              <w:bottom w:val="single" w:sz="4" w:space="0" w:color="auto"/>
              <w:right w:val="single" w:sz="4" w:space="0" w:color="auto"/>
            </w:tcBorders>
            <w:noWrap/>
            <w:vAlign w:val="bottom"/>
            <w:hideMark/>
          </w:tcPr>
          <w:p w14:paraId="346F5671" w14:textId="77777777" w:rsidR="0090740B" w:rsidRPr="00C531A2" w:rsidRDefault="0090740B" w:rsidP="00725D9F">
            <w:pPr>
              <w:tabs>
                <w:tab w:val="left" w:pos="1440"/>
              </w:tabs>
              <w:rPr>
                <w:sz w:val="20"/>
              </w:rPr>
            </w:pPr>
            <w:r w:rsidRPr="00C531A2">
              <w:rPr>
                <w:sz w:val="20"/>
              </w:rPr>
              <w:t>1.5. Царине</w:t>
            </w:r>
          </w:p>
        </w:tc>
        <w:tc>
          <w:tcPr>
            <w:tcW w:w="1616" w:type="dxa"/>
            <w:tcBorders>
              <w:top w:val="nil"/>
              <w:left w:val="nil"/>
              <w:bottom w:val="single" w:sz="4" w:space="0" w:color="auto"/>
              <w:right w:val="single" w:sz="4" w:space="0" w:color="auto"/>
            </w:tcBorders>
            <w:noWrap/>
            <w:vAlign w:val="bottom"/>
            <w:hideMark/>
          </w:tcPr>
          <w:p w14:paraId="2E5401A5" w14:textId="77777777" w:rsidR="0090740B" w:rsidRPr="00C531A2" w:rsidRDefault="0090740B" w:rsidP="00725D9F">
            <w:pPr>
              <w:tabs>
                <w:tab w:val="left" w:pos="1440"/>
              </w:tabs>
              <w:rPr>
                <w:sz w:val="20"/>
              </w:rPr>
            </w:pPr>
            <w:r w:rsidRPr="00C531A2">
              <w:rPr>
                <w:sz w:val="20"/>
              </w:rPr>
              <w:t>715</w:t>
            </w:r>
          </w:p>
        </w:tc>
        <w:tc>
          <w:tcPr>
            <w:tcW w:w="2201" w:type="dxa"/>
            <w:tcBorders>
              <w:top w:val="nil"/>
              <w:left w:val="nil"/>
              <w:bottom w:val="single" w:sz="4" w:space="0" w:color="auto"/>
              <w:right w:val="single" w:sz="4" w:space="0" w:color="auto"/>
            </w:tcBorders>
            <w:noWrap/>
            <w:vAlign w:val="bottom"/>
            <w:hideMark/>
          </w:tcPr>
          <w:p w14:paraId="67CFF38D" w14:textId="77777777" w:rsidR="0090740B" w:rsidRPr="00C531A2" w:rsidRDefault="0090740B" w:rsidP="00725D9F">
            <w:pPr>
              <w:jc w:val="right"/>
              <w:rPr>
                <w:rFonts w:ascii="Times New Roman" w:hAnsi="Times New Roman"/>
                <w:color w:val="000000"/>
                <w:sz w:val="20"/>
              </w:rPr>
            </w:pPr>
            <w:r w:rsidRPr="00C531A2">
              <w:rPr>
                <w:rFonts w:ascii="Times New Roman" w:hAnsi="Times New Roman"/>
                <w:color w:val="000000"/>
                <w:sz w:val="20"/>
              </w:rPr>
              <w:t>99.900.000.000</w:t>
            </w:r>
          </w:p>
        </w:tc>
      </w:tr>
      <w:tr w:rsidR="0090740B" w:rsidRPr="00C531A2" w14:paraId="146869B4" w14:textId="77777777" w:rsidTr="00725D9F">
        <w:trPr>
          <w:trHeight w:val="20"/>
        </w:trPr>
        <w:tc>
          <w:tcPr>
            <w:tcW w:w="5135" w:type="dxa"/>
            <w:tcBorders>
              <w:top w:val="nil"/>
              <w:left w:val="single" w:sz="4" w:space="0" w:color="auto"/>
              <w:bottom w:val="single" w:sz="4" w:space="0" w:color="auto"/>
              <w:right w:val="single" w:sz="4" w:space="0" w:color="auto"/>
            </w:tcBorders>
            <w:noWrap/>
            <w:vAlign w:val="bottom"/>
            <w:hideMark/>
          </w:tcPr>
          <w:p w14:paraId="5A418FDC" w14:textId="77777777" w:rsidR="0090740B" w:rsidRPr="00C531A2" w:rsidRDefault="0090740B" w:rsidP="00725D9F">
            <w:pPr>
              <w:tabs>
                <w:tab w:val="left" w:pos="1440"/>
              </w:tabs>
              <w:rPr>
                <w:sz w:val="20"/>
              </w:rPr>
            </w:pPr>
            <w:r w:rsidRPr="00C531A2">
              <w:rPr>
                <w:sz w:val="20"/>
              </w:rPr>
              <w:t>1.6. Остали порески приходи</w:t>
            </w:r>
          </w:p>
        </w:tc>
        <w:tc>
          <w:tcPr>
            <w:tcW w:w="1616" w:type="dxa"/>
            <w:tcBorders>
              <w:top w:val="nil"/>
              <w:left w:val="nil"/>
              <w:bottom w:val="single" w:sz="4" w:space="0" w:color="auto"/>
              <w:right w:val="single" w:sz="4" w:space="0" w:color="auto"/>
            </w:tcBorders>
            <w:noWrap/>
            <w:vAlign w:val="bottom"/>
            <w:hideMark/>
          </w:tcPr>
          <w:p w14:paraId="2038C703" w14:textId="77777777" w:rsidR="0090740B" w:rsidRPr="00C531A2" w:rsidRDefault="0090740B" w:rsidP="00725D9F">
            <w:pPr>
              <w:tabs>
                <w:tab w:val="left" w:pos="1440"/>
              </w:tabs>
              <w:rPr>
                <w:sz w:val="20"/>
              </w:rPr>
            </w:pPr>
            <w:r w:rsidRPr="00C531A2">
              <w:rPr>
                <w:sz w:val="20"/>
              </w:rPr>
              <w:t>7145</w:t>
            </w:r>
          </w:p>
        </w:tc>
        <w:tc>
          <w:tcPr>
            <w:tcW w:w="2201" w:type="dxa"/>
            <w:tcBorders>
              <w:top w:val="nil"/>
              <w:left w:val="nil"/>
              <w:bottom w:val="single" w:sz="4" w:space="0" w:color="auto"/>
              <w:right w:val="single" w:sz="4" w:space="0" w:color="auto"/>
            </w:tcBorders>
            <w:noWrap/>
            <w:vAlign w:val="bottom"/>
            <w:hideMark/>
          </w:tcPr>
          <w:p w14:paraId="3D377AA2" w14:textId="77777777" w:rsidR="0090740B" w:rsidRPr="00C531A2" w:rsidRDefault="0090740B" w:rsidP="00725D9F">
            <w:pPr>
              <w:jc w:val="right"/>
              <w:rPr>
                <w:rFonts w:ascii="Times New Roman" w:hAnsi="Times New Roman"/>
                <w:color w:val="000000"/>
                <w:sz w:val="20"/>
              </w:rPr>
            </w:pPr>
            <w:r w:rsidRPr="00C531A2">
              <w:rPr>
                <w:rFonts w:ascii="Times New Roman" w:hAnsi="Times New Roman"/>
                <w:color w:val="000000"/>
                <w:sz w:val="20"/>
              </w:rPr>
              <w:t>17.300.000.000</w:t>
            </w:r>
          </w:p>
        </w:tc>
      </w:tr>
      <w:tr w:rsidR="0090740B" w:rsidRPr="00C531A2" w14:paraId="7AFA33EB" w14:textId="77777777" w:rsidTr="00725D9F">
        <w:trPr>
          <w:trHeight w:val="20"/>
        </w:trPr>
        <w:tc>
          <w:tcPr>
            <w:tcW w:w="5135" w:type="dxa"/>
            <w:tcBorders>
              <w:top w:val="nil"/>
              <w:left w:val="single" w:sz="4" w:space="0" w:color="auto"/>
              <w:bottom w:val="single" w:sz="4" w:space="0" w:color="auto"/>
              <w:right w:val="single" w:sz="4" w:space="0" w:color="auto"/>
            </w:tcBorders>
            <w:noWrap/>
            <w:vAlign w:val="bottom"/>
            <w:hideMark/>
          </w:tcPr>
          <w:p w14:paraId="04ABD17F" w14:textId="77777777" w:rsidR="0090740B" w:rsidRPr="00C531A2" w:rsidRDefault="0090740B" w:rsidP="00725D9F">
            <w:pPr>
              <w:tabs>
                <w:tab w:val="left" w:pos="1440"/>
              </w:tabs>
              <w:rPr>
                <w:b/>
                <w:sz w:val="20"/>
              </w:rPr>
            </w:pPr>
            <w:r w:rsidRPr="00C531A2">
              <w:rPr>
                <w:b/>
                <w:sz w:val="20"/>
              </w:rPr>
              <w:t>2. Непорески приходи</w:t>
            </w:r>
          </w:p>
        </w:tc>
        <w:tc>
          <w:tcPr>
            <w:tcW w:w="1616" w:type="dxa"/>
            <w:tcBorders>
              <w:top w:val="nil"/>
              <w:left w:val="nil"/>
              <w:bottom w:val="single" w:sz="4" w:space="0" w:color="auto"/>
              <w:right w:val="single" w:sz="4" w:space="0" w:color="auto"/>
            </w:tcBorders>
            <w:noWrap/>
            <w:vAlign w:val="bottom"/>
            <w:hideMark/>
          </w:tcPr>
          <w:p w14:paraId="4E90A3F7" w14:textId="77777777" w:rsidR="0090740B" w:rsidRPr="00C531A2" w:rsidRDefault="0090740B" w:rsidP="00725D9F">
            <w:pPr>
              <w:tabs>
                <w:tab w:val="left" w:pos="1440"/>
              </w:tabs>
              <w:rPr>
                <w:b/>
                <w:sz w:val="20"/>
              </w:rPr>
            </w:pPr>
          </w:p>
        </w:tc>
        <w:tc>
          <w:tcPr>
            <w:tcW w:w="2201" w:type="dxa"/>
            <w:tcBorders>
              <w:top w:val="nil"/>
              <w:left w:val="nil"/>
              <w:bottom w:val="single" w:sz="4" w:space="0" w:color="auto"/>
              <w:right w:val="single" w:sz="4" w:space="0" w:color="auto"/>
            </w:tcBorders>
            <w:noWrap/>
            <w:vAlign w:val="bottom"/>
            <w:hideMark/>
          </w:tcPr>
          <w:p w14:paraId="1DEF28BA" w14:textId="77777777" w:rsidR="0090740B" w:rsidRPr="00C531A2" w:rsidRDefault="0090740B" w:rsidP="00725D9F">
            <w:pPr>
              <w:jc w:val="right"/>
              <w:rPr>
                <w:rFonts w:ascii="Times New Roman" w:hAnsi="Times New Roman"/>
                <w:b/>
                <w:bCs/>
                <w:sz w:val="20"/>
              </w:rPr>
            </w:pPr>
            <w:r w:rsidRPr="00C531A2">
              <w:rPr>
                <w:rFonts w:ascii="Times New Roman" w:hAnsi="Times New Roman"/>
                <w:b/>
                <w:bCs/>
                <w:sz w:val="20"/>
              </w:rPr>
              <w:t>303.296.055.000</w:t>
            </w:r>
          </w:p>
        </w:tc>
      </w:tr>
      <w:tr w:rsidR="0090740B" w:rsidRPr="00C531A2" w14:paraId="240D39BB" w14:textId="77777777" w:rsidTr="00725D9F">
        <w:trPr>
          <w:trHeight w:val="20"/>
        </w:trPr>
        <w:tc>
          <w:tcPr>
            <w:tcW w:w="5135" w:type="dxa"/>
            <w:tcBorders>
              <w:top w:val="nil"/>
              <w:left w:val="single" w:sz="4" w:space="0" w:color="auto"/>
              <w:bottom w:val="single" w:sz="4" w:space="0" w:color="auto"/>
              <w:right w:val="single" w:sz="4" w:space="0" w:color="auto"/>
            </w:tcBorders>
            <w:noWrap/>
            <w:vAlign w:val="bottom"/>
            <w:hideMark/>
          </w:tcPr>
          <w:p w14:paraId="6BA6C218" w14:textId="77777777" w:rsidR="0090740B" w:rsidRPr="00C531A2" w:rsidRDefault="0090740B" w:rsidP="00725D9F">
            <w:pPr>
              <w:tabs>
                <w:tab w:val="left" w:pos="1440"/>
              </w:tabs>
              <w:rPr>
                <w:sz w:val="20"/>
              </w:rPr>
            </w:pPr>
            <w:r w:rsidRPr="00C531A2">
              <w:rPr>
                <w:sz w:val="20"/>
              </w:rPr>
              <w:t xml:space="preserve">   Редовни непорески приходи</w:t>
            </w:r>
          </w:p>
        </w:tc>
        <w:tc>
          <w:tcPr>
            <w:tcW w:w="1616" w:type="dxa"/>
            <w:tcBorders>
              <w:top w:val="nil"/>
              <w:left w:val="nil"/>
              <w:bottom w:val="single" w:sz="4" w:space="0" w:color="auto"/>
              <w:right w:val="single" w:sz="4" w:space="0" w:color="auto"/>
            </w:tcBorders>
            <w:noWrap/>
            <w:vAlign w:val="bottom"/>
            <w:hideMark/>
          </w:tcPr>
          <w:p w14:paraId="7770F925" w14:textId="77777777" w:rsidR="0090740B" w:rsidRPr="00C531A2" w:rsidRDefault="0090740B" w:rsidP="00725D9F">
            <w:pPr>
              <w:tabs>
                <w:tab w:val="left" w:pos="1440"/>
              </w:tabs>
              <w:rPr>
                <w:rFonts w:ascii="Times New Roman" w:hAnsi="Times New Roman"/>
                <w:color w:val="000000"/>
                <w:sz w:val="20"/>
              </w:rPr>
            </w:pPr>
            <w:r w:rsidRPr="00C531A2">
              <w:rPr>
                <w:sz w:val="20"/>
              </w:rPr>
              <w:t> </w:t>
            </w:r>
          </w:p>
        </w:tc>
        <w:tc>
          <w:tcPr>
            <w:tcW w:w="2201" w:type="dxa"/>
            <w:tcBorders>
              <w:top w:val="nil"/>
              <w:left w:val="nil"/>
              <w:bottom w:val="single" w:sz="4" w:space="0" w:color="auto"/>
              <w:right w:val="single" w:sz="4" w:space="0" w:color="auto"/>
            </w:tcBorders>
            <w:noWrap/>
            <w:vAlign w:val="bottom"/>
            <w:hideMark/>
          </w:tcPr>
          <w:p w14:paraId="4412E5F8" w14:textId="77777777" w:rsidR="0090740B" w:rsidRPr="00C531A2" w:rsidRDefault="0090740B" w:rsidP="00725D9F">
            <w:pPr>
              <w:jc w:val="right"/>
              <w:rPr>
                <w:rFonts w:ascii="Times New Roman" w:hAnsi="Times New Roman"/>
                <w:sz w:val="20"/>
              </w:rPr>
            </w:pPr>
            <w:r w:rsidRPr="00C531A2">
              <w:rPr>
                <w:rFonts w:ascii="Times New Roman" w:hAnsi="Times New Roman"/>
                <w:sz w:val="20"/>
              </w:rPr>
              <w:t>277.796.055.000</w:t>
            </w:r>
          </w:p>
        </w:tc>
      </w:tr>
      <w:tr w:rsidR="0090740B" w:rsidRPr="00C531A2" w14:paraId="04FE8670" w14:textId="77777777" w:rsidTr="00725D9F">
        <w:trPr>
          <w:trHeight w:val="20"/>
        </w:trPr>
        <w:tc>
          <w:tcPr>
            <w:tcW w:w="5135" w:type="dxa"/>
            <w:tcBorders>
              <w:top w:val="nil"/>
              <w:left w:val="single" w:sz="4" w:space="0" w:color="auto"/>
              <w:bottom w:val="nil"/>
              <w:right w:val="single" w:sz="4" w:space="0" w:color="auto"/>
            </w:tcBorders>
            <w:noWrap/>
            <w:vAlign w:val="bottom"/>
            <w:hideMark/>
          </w:tcPr>
          <w:p w14:paraId="2A6C7E39" w14:textId="77777777" w:rsidR="0090740B" w:rsidRPr="00C531A2" w:rsidRDefault="0090740B" w:rsidP="00725D9F">
            <w:pPr>
              <w:tabs>
                <w:tab w:val="left" w:pos="1440"/>
              </w:tabs>
              <w:rPr>
                <w:i/>
                <w:sz w:val="20"/>
              </w:rPr>
            </w:pPr>
            <w:r w:rsidRPr="00C531A2">
              <w:rPr>
                <w:i/>
                <w:sz w:val="20"/>
              </w:rPr>
              <w:t>- Приходи од имовине</w:t>
            </w:r>
          </w:p>
        </w:tc>
        <w:tc>
          <w:tcPr>
            <w:tcW w:w="1616" w:type="dxa"/>
            <w:tcBorders>
              <w:top w:val="nil"/>
              <w:left w:val="nil"/>
              <w:bottom w:val="nil"/>
              <w:right w:val="nil"/>
            </w:tcBorders>
            <w:noWrap/>
            <w:vAlign w:val="bottom"/>
            <w:hideMark/>
          </w:tcPr>
          <w:p w14:paraId="1F330888" w14:textId="77777777" w:rsidR="0090740B" w:rsidRPr="00C531A2" w:rsidRDefault="0090740B" w:rsidP="00725D9F">
            <w:pPr>
              <w:tabs>
                <w:tab w:val="left" w:pos="1440"/>
              </w:tabs>
              <w:rPr>
                <w:sz w:val="20"/>
              </w:rPr>
            </w:pPr>
            <w:r w:rsidRPr="00C531A2">
              <w:rPr>
                <w:sz w:val="20"/>
              </w:rPr>
              <w:t>741</w:t>
            </w:r>
          </w:p>
        </w:tc>
        <w:tc>
          <w:tcPr>
            <w:tcW w:w="2201" w:type="dxa"/>
            <w:tcBorders>
              <w:top w:val="nil"/>
              <w:left w:val="single" w:sz="4" w:space="0" w:color="auto"/>
              <w:bottom w:val="single" w:sz="4" w:space="0" w:color="auto"/>
              <w:right w:val="single" w:sz="4" w:space="0" w:color="auto"/>
            </w:tcBorders>
            <w:noWrap/>
            <w:vAlign w:val="bottom"/>
            <w:hideMark/>
          </w:tcPr>
          <w:p w14:paraId="03DB0940" w14:textId="77777777" w:rsidR="0090740B" w:rsidRPr="00C531A2" w:rsidRDefault="0090740B" w:rsidP="00725D9F">
            <w:pPr>
              <w:jc w:val="right"/>
              <w:rPr>
                <w:rFonts w:ascii="Times New Roman" w:hAnsi="Times New Roman"/>
                <w:sz w:val="20"/>
              </w:rPr>
            </w:pPr>
            <w:r w:rsidRPr="00C531A2">
              <w:rPr>
                <w:rFonts w:ascii="Times New Roman" w:hAnsi="Times New Roman"/>
                <w:sz w:val="20"/>
              </w:rPr>
              <w:t>64.300.000.000</w:t>
            </w:r>
          </w:p>
        </w:tc>
      </w:tr>
      <w:tr w:rsidR="0090740B" w:rsidRPr="00C531A2" w14:paraId="2E5329CC" w14:textId="77777777" w:rsidTr="00725D9F">
        <w:trPr>
          <w:trHeight w:val="20"/>
        </w:trPr>
        <w:tc>
          <w:tcPr>
            <w:tcW w:w="5135" w:type="dxa"/>
            <w:tcBorders>
              <w:top w:val="single" w:sz="4" w:space="0" w:color="auto"/>
              <w:left w:val="single" w:sz="4" w:space="0" w:color="auto"/>
              <w:bottom w:val="single" w:sz="4" w:space="0" w:color="auto"/>
              <w:right w:val="single" w:sz="4" w:space="0" w:color="auto"/>
            </w:tcBorders>
            <w:noWrap/>
            <w:vAlign w:val="bottom"/>
            <w:hideMark/>
          </w:tcPr>
          <w:p w14:paraId="33783448" w14:textId="77777777" w:rsidR="0090740B" w:rsidRPr="00C531A2" w:rsidRDefault="0090740B" w:rsidP="00725D9F">
            <w:pPr>
              <w:tabs>
                <w:tab w:val="left" w:pos="1440"/>
              </w:tabs>
              <w:rPr>
                <w:i/>
                <w:sz w:val="20"/>
              </w:rPr>
            </w:pPr>
            <w:r w:rsidRPr="00C531A2">
              <w:rPr>
                <w:i/>
                <w:sz w:val="20"/>
              </w:rPr>
              <w:t>- Таксе</w:t>
            </w:r>
          </w:p>
        </w:tc>
        <w:tc>
          <w:tcPr>
            <w:tcW w:w="1616" w:type="dxa"/>
            <w:tcBorders>
              <w:top w:val="single" w:sz="4" w:space="0" w:color="auto"/>
              <w:left w:val="nil"/>
              <w:bottom w:val="single" w:sz="4" w:space="0" w:color="auto"/>
              <w:right w:val="single" w:sz="4" w:space="0" w:color="auto"/>
            </w:tcBorders>
            <w:noWrap/>
            <w:vAlign w:val="bottom"/>
            <w:hideMark/>
          </w:tcPr>
          <w:p w14:paraId="257A6D79" w14:textId="77777777" w:rsidR="0090740B" w:rsidRPr="00C531A2" w:rsidRDefault="0090740B" w:rsidP="00725D9F">
            <w:pPr>
              <w:tabs>
                <w:tab w:val="left" w:pos="1440"/>
              </w:tabs>
              <w:rPr>
                <w:sz w:val="20"/>
              </w:rPr>
            </w:pPr>
            <w:r w:rsidRPr="00C531A2">
              <w:rPr>
                <w:sz w:val="20"/>
              </w:rPr>
              <w:t>742</w:t>
            </w:r>
          </w:p>
        </w:tc>
        <w:tc>
          <w:tcPr>
            <w:tcW w:w="2201" w:type="dxa"/>
            <w:tcBorders>
              <w:top w:val="nil"/>
              <w:left w:val="nil"/>
              <w:bottom w:val="single" w:sz="4" w:space="0" w:color="auto"/>
              <w:right w:val="single" w:sz="4" w:space="0" w:color="auto"/>
            </w:tcBorders>
            <w:noWrap/>
            <w:vAlign w:val="bottom"/>
            <w:hideMark/>
          </w:tcPr>
          <w:p w14:paraId="64C68117" w14:textId="77777777" w:rsidR="0090740B" w:rsidRPr="00C531A2" w:rsidRDefault="0090740B" w:rsidP="00725D9F">
            <w:pPr>
              <w:jc w:val="right"/>
              <w:rPr>
                <w:rFonts w:ascii="Times New Roman" w:hAnsi="Times New Roman"/>
                <w:sz w:val="20"/>
              </w:rPr>
            </w:pPr>
            <w:r w:rsidRPr="00C531A2">
              <w:rPr>
                <w:rFonts w:ascii="Times New Roman" w:hAnsi="Times New Roman"/>
                <w:sz w:val="20"/>
              </w:rPr>
              <w:t>25.300.000.000</w:t>
            </w:r>
          </w:p>
        </w:tc>
      </w:tr>
      <w:tr w:rsidR="0090740B" w:rsidRPr="00C531A2" w14:paraId="0C12C979" w14:textId="77777777" w:rsidTr="00725D9F">
        <w:trPr>
          <w:trHeight w:val="20"/>
        </w:trPr>
        <w:tc>
          <w:tcPr>
            <w:tcW w:w="5135" w:type="dxa"/>
            <w:tcBorders>
              <w:top w:val="nil"/>
              <w:left w:val="single" w:sz="4" w:space="0" w:color="auto"/>
              <w:bottom w:val="single" w:sz="4" w:space="0" w:color="auto"/>
              <w:right w:val="single" w:sz="4" w:space="0" w:color="auto"/>
            </w:tcBorders>
            <w:noWrap/>
            <w:vAlign w:val="bottom"/>
            <w:hideMark/>
          </w:tcPr>
          <w:p w14:paraId="477733CD" w14:textId="77777777" w:rsidR="0090740B" w:rsidRPr="00C531A2" w:rsidRDefault="0090740B" w:rsidP="00725D9F">
            <w:pPr>
              <w:tabs>
                <w:tab w:val="left" w:pos="1440"/>
              </w:tabs>
              <w:rPr>
                <w:i/>
                <w:sz w:val="20"/>
              </w:rPr>
            </w:pPr>
            <w:r w:rsidRPr="00C531A2">
              <w:rPr>
                <w:i/>
                <w:sz w:val="20"/>
              </w:rPr>
              <w:t>- Приходи од продаје добара и услуга</w:t>
            </w:r>
          </w:p>
        </w:tc>
        <w:tc>
          <w:tcPr>
            <w:tcW w:w="1616" w:type="dxa"/>
            <w:tcBorders>
              <w:top w:val="nil"/>
              <w:left w:val="nil"/>
              <w:bottom w:val="single" w:sz="4" w:space="0" w:color="auto"/>
              <w:right w:val="single" w:sz="4" w:space="0" w:color="auto"/>
            </w:tcBorders>
            <w:noWrap/>
            <w:vAlign w:val="bottom"/>
            <w:hideMark/>
          </w:tcPr>
          <w:p w14:paraId="430B1E42" w14:textId="77777777" w:rsidR="0090740B" w:rsidRPr="00C531A2" w:rsidRDefault="0090740B" w:rsidP="00725D9F">
            <w:pPr>
              <w:tabs>
                <w:tab w:val="left" w:pos="1440"/>
              </w:tabs>
              <w:rPr>
                <w:sz w:val="20"/>
              </w:rPr>
            </w:pPr>
            <w:r w:rsidRPr="00C531A2">
              <w:rPr>
                <w:sz w:val="20"/>
              </w:rPr>
              <w:t>742</w:t>
            </w:r>
          </w:p>
        </w:tc>
        <w:tc>
          <w:tcPr>
            <w:tcW w:w="2201" w:type="dxa"/>
            <w:tcBorders>
              <w:top w:val="nil"/>
              <w:left w:val="nil"/>
              <w:bottom w:val="single" w:sz="4" w:space="0" w:color="auto"/>
              <w:right w:val="single" w:sz="4" w:space="0" w:color="auto"/>
            </w:tcBorders>
            <w:noWrap/>
            <w:vAlign w:val="bottom"/>
            <w:hideMark/>
          </w:tcPr>
          <w:p w14:paraId="1C949B34" w14:textId="77777777" w:rsidR="0090740B" w:rsidRPr="00C531A2" w:rsidRDefault="0090740B" w:rsidP="00725D9F">
            <w:pPr>
              <w:jc w:val="right"/>
              <w:rPr>
                <w:rFonts w:ascii="Times New Roman" w:hAnsi="Times New Roman"/>
                <w:sz w:val="20"/>
              </w:rPr>
            </w:pPr>
            <w:r w:rsidRPr="00C531A2">
              <w:rPr>
                <w:rFonts w:ascii="Times New Roman" w:hAnsi="Times New Roman"/>
                <w:sz w:val="20"/>
              </w:rPr>
              <w:t>88.000.000.000</w:t>
            </w:r>
          </w:p>
        </w:tc>
      </w:tr>
      <w:tr w:rsidR="0090740B" w:rsidRPr="00C531A2" w14:paraId="5E630B40" w14:textId="77777777" w:rsidTr="00725D9F">
        <w:trPr>
          <w:trHeight w:val="20"/>
        </w:trPr>
        <w:tc>
          <w:tcPr>
            <w:tcW w:w="5135" w:type="dxa"/>
            <w:tcBorders>
              <w:top w:val="nil"/>
              <w:left w:val="single" w:sz="4" w:space="0" w:color="auto"/>
              <w:bottom w:val="single" w:sz="4" w:space="0" w:color="auto"/>
              <w:right w:val="single" w:sz="4" w:space="0" w:color="auto"/>
            </w:tcBorders>
            <w:noWrap/>
            <w:vAlign w:val="bottom"/>
            <w:hideMark/>
          </w:tcPr>
          <w:p w14:paraId="47C7E78C" w14:textId="77777777" w:rsidR="0090740B" w:rsidRPr="00C531A2" w:rsidRDefault="0090740B" w:rsidP="00725D9F">
            <w:pPr>
              <w:tabs>
                <w:tab w:val="left" w:pos="1440"/>
              </w:tabs>
              <w:rPr>
                <w:i/>
                <w:sz w:val="20"/>
              </w:rPr>
            </w:pPr>
            <w:r w:rsidRPr="00C531A2">
              <w:rPr>
                <w:i/>
                <w:sz w:val="20"/>
              </w:rPr>
              <w:t>- Новчане казне</w:t>
            </w:r>
          </w:p>
        </w:tc>
        <w:tc>
          <w:tcPr>
            <w:tcW w:w="1616" w:type="dxa"/>
            <w:tcBorders>
              <w:top w:val="nil"/>
              <w:left w:val="nil"/>
              <w:bottom w:val="single" w:sz="4" w:space="0" w:color="auto"/>
              <w:right w:val="single" w:sz="4" w:space="0" w:color="auto"/>
            </w:tcBorders>
            <w:noWrap/>
            <w:vAlign w:val="bottom"/>
            <w:hideMark/>
          </w:tcPr>
          <w:p w14:paraId="5B0AAF5D" w14:textId="77777777" w:rsidR="0090740B" w:rsidRPr="00C531A2" w:rsidRDefault="0090740B" w:rsidP="00725D9F">
            <w:pPr>
              <w:tabs>
                <w:tab w:val="left" w:pos="1440"/>
              </w:tabs>
              <w:rPr>
                <w:sz w:val="20"/>
              </w:rPr>
            </w:pPr>
            <w:r w:rsidRPr="00C531A2">
              <w:rPr>
                <w:sz w:val="20"/>
              </w:rPr>
              <w:t>743</w:t>
            </w:r>
          </w:p>
        </w:tc>
        <w:tc>
          <w:tcPr>
            <w:tcW w:w="2201" w:type="dxa"/>
            <w:tcBorders>
              <w:top w:val="nil"/>
              <w:left w:val="nil"/>
              <w:bottom w:val="single" w:sz="4" w:space="0" w:color="auto"/>
              <w:right w:val="single" w:sz="4" w:space="0" w:color="auto"/>
            </w:tcBorders>
            <w:noWrap/>
            <w:vAlign w:val="bottom"/>
            <w:hideMark/>
          </w:tcPr>
          <w:p w14:paraId="43F663E4" w14:textId="77777777" w:rsidR="0090740B" w:rsidRPr="00C531A2" w:rsidRDefault="0090740B" w:rsidP="00725D9F">
            <w:pPr>
              <w:jc w:val="right"/>
              <w:rPr>
                <w:rFonts w:ascii="Times New Roman" w:hAnsi="Times New Roman"/>
                <w:sz w:val="20"/>
              </w:rPr>
            </w:pPr>
            <w:r w:rsidRPr="00C531A2">
              <w:rPr>
                <w:rFonts w:ascii="Times New Roman" w:hAnsi="Times New Roman"/>
                <w:sz w:val="20"/>
              </w:rPr>
              <w:t>14.600.000.000</w:t>
            </w:r>
          </w:p>
        </w:tc>
      </w:tr>
      <w:tr w:rsidR="0090740B" w:rsidRPr="00C531A2" w14:paraId="37F48F0E" w14:textId="77777777" w:rsidTr="00725D9F">
        <w:trPr>
          <w:trHeight w:val="20"/>
        </w:trPr>
        <w:tc>
          <w:tcPr>
            <w:tcW w:w="5135" w:type="dxa"/>
            <w:tcBorders>
              <w:top w:val="nil"/>
              <w:left w:val="single" w:sz="4" w:space="0" w:color="auto"/>
              <w:bottom w:val="single" w:sz="4" w:space="0" w:color="auto"/>
              <w:right w:val="single" w:sz="4" w:space="0" w:color="auto"/>
            </w:tcBorders>
            <w:noWrap/>
            <w:vAlign w:val="bottom"/>
            <w:hideMark/>
          </w:tcPr>
          <w:p w14:paraId="18B385E5" w14:textId="77777777" w:rsidR="0090740B" w:rsidRPr="00C531A2" w:rsidRDefault="0090740B" w:rsidP="00725D9F">
            <w:pPr>
              <w:tabs>
                <w:tab w:val="left" w:pos="1440"/>
              </w:tabs>
              <w:rPr>
                <w:i/>
                <w:sz w:val="20"/>
              </w:rPr>
            </w:pPr>
            <w:r w:rsidRPr="00C531A2">
              <w:rPr>
                <w:i/>
                <w:sz w:val="20"/>
              </w:rPr>
              <w:t>- Остали редовни непорески приходи</w:t>
            </w:r>
          </w:p>
        </w:tc>
        <w:tc>
          <w:tcPr>
            <w:tcW w:w="1616" w:type="dxa"/>
            <w:tcBorders>
              <w:top w:val="nil"/>
              <w:left w:val="nil"/>
              <w:bottom w:val="single" w:sz="4" w:space="0" w:color="auto"/>
              <w:right w:val="single" w:sz="4" w:space="0" w:color="auto"/>
            </w:tcBorders>
            <w:noWrap/>
            <w:vAlign w:val="bottom"/>
            <w:hideMark/>
          </w:tcPr>
          <w:p w14:paraId="3A246E65" w14:textId="77777777" w:rsidR="0090740B" w:rsidRPr="00C531A2" w:rsidRDefault="0090740B" w:rsidP="00725D9F">
            <w:pPr>
              <w:tabs>
                <w:tab w:val="left" w:pos="1440"/>
              </w:tabs>
              <w:rPr>
                <w:sz w:val="20"/>
              </w:rPr>
            </w:pPr>
            <w:r w:rsidRPr="00C531A2">
              <w:rPr>
                <w:sz w:val="20"/>
              </w:rPr>
              <w:t>714, 733, 745</w:t>
            </w:r>
          </w:p>
        </w:tc>
        <w:tc>
          <w:tcPr>
            <w:tcW w:w="2201" w:type="dxa"/>
            <w:tcBorders>
              <w:top w:val="nil"/>
              <w:left w:val="nil"/>
              <w:bottom w:val="single" w:sz="4" w:space="0" w:color="auto"/>
              <w:right w:val="single" w:sz="4" w:space="0" w:color="auto"/>
            </w:tcBorders>
            <w:noWrap/>
            <w:vAlign w:val="bottom"/>
            <w:hideMark/>
          </w:tcPr>
          <w:p w14:paraId="22ABE81E" w14:textId="77777777" w:rsidR="0090740B" w:rsidRPr="00C531A2" w:rsidRDefault="0090740B" w:rsidP="00725D9F">
            <w:pPr>
              <w:jc w:val="right"/>
              <w:rPr>
                <w:rFonts w:ascii="Times New Roman" w:hAnsi="Times New Roman"/>
                <w:sz w:val="20"/>
              </w:rPr>
            </w:pPr>
            <w:r w:rsidRPr="00C531A2">
              <w:rPr>
                <w:rFonts w:ascii="Times New Roman" w:hAnsi="Times New Roman"/>
                <w:sz w:val="20"/>
              </w:rPr>
              <w:t>73.896.055.000</w:t>
            </w:r>
          </w:p>
        </w:tc>
      </w:tr>
      <w:tr w:rsidR="0090740B" w:rsidRPr="00C531A2" w14:paraId="4D9108EA" w14:textId="77777777" w:rsidTr="00725D9F">
        <w:trPr>
          <w:trHeight w:val="20"/>
        </w:trPr>
        <w:tc>
          <w:tcPr>
            <w:tcW w:w="5135" w:type="dxa"/>
            <w:tcBorders>
              <w:top w:val="nil"/>
              <w:left w:val="single" w:sz="4" w:space="0" w:color="auto"/>
              <w:bottom w:val="single" w:sz="4" w:space="0" w:color="auto"/>
              <w:right w:val="single" w:sz="4" w:space="0" w:color="auto"/>
            </w:tcBorders>
            <w:noWrap/>
            <w:vAlign w:val="bottom"/>
            <w:hideMark/>
          </w:tcPr>
          <w:p w14:paraId="3C20E2DA" w14:textId="77777777" w:rsidR="0090740B" w:rsidRPr="00C531A2" w:rsidRDefault="0090740B" w:rsidP="00725D9F">
            <w:pPr>
              <w:tabs>
                <w:tab w:val="left" w:pos="1440"/>
              </w:tabs>
              <w:rPr>
                <w:i/>
                <w:sz w:val="20"/>
              </w:rPr>
            </w:pPr>
            <w:r w:rsidRPr="00C531A2">
              <w:rPr>
                <w:i/>
                <w:sz w:val="20"/>
              </w:rPr>
              <w:t>- Примања од продаје нефинансијске имовине</w:t>
            </w:r>
          </w:p>
        </w:tc>
        <w:tc>
          <w:tcPr>
            <w:tcW w:w="1616" w:type="dxa"/>
            <w:tcBorders>
              <w:top w:val="nil"/>
              <w:left w:val="nil"/>
              <w:bottom w:val="single" w:sz="4" w:space="0" w:color="auto"/>
              <w:right w:val="single" w:sz="4" w:space="0" w:color="auto"/>
            </w:tcBorders>
            <w:noWrap/>
            <w:vAlign w:val="bottom"/>
            <w:hideMark/>
          </w:tcPr>
          <w:p w14:paraId="54ABAC12" w14:textId="77777777" w:rsidR="0090740B" w:rsidRPr="00C531A2" w:rsidRDefault="0090740B" w:rsidP="00725D9F">
            <w:pPr>
              <w:tabs>
                <w:tab w:val="left" w:pos="1440"/>
              </w:tabs>
              <w:rPr>
                <w:sz w:val="20"/>
              </w:rPr>
            </w:pPr>
            <w:r w:rsidRPr="00C531A2">
              <w:rPr>
                <w:sz w:val="20"/>
              </w:rPr>
              <w:t>8</w:t>
            </w:r>
          </w:p>
        </w:tc>
        <w:tc>
          <w:tcPr>
            <w:tcW w:w="2201" w:type="dxa"/>
            <w:tcBorders>
              <w:top w:val="nil"/>
              <w:left w:val="nil"/>
              <w:bottom w:val="single" w:sz="4" w:space="0" w:color="auto"/>
              <w:right w:val="single" w:sz="4" w:space="0" w:color="auto"/>
            </w:tcBorders>
            <w:noWrap/>
            <w:vAlign w:val="bottom"/>
            <w:hideMark/>
          </w:tcPr>
          <w:p w14:paraId="58F51770" w14:textId="77777777" w:rsidR="0090740B" w:rsidRPr="00C531A2" w:rsidRDefault="0090740B" w:rsidP="00725D9F">
            <w:pPr>
              <w:jc w:val="right"/>
              <w:rPr>
                <w:rFonts w:ascii="Times New Roman" w:hAnsi="Times New Roman"/>
                <w:sz w:val="20"/>
              </w:rPr>
            </w:pPr>
            <w:r w:rsidRPr="00C531A2">
              <w:rPr>
                <w:rFonts w:ascii="Times New Roman" w:hAnsi="Times New Roman"/>
                <w:sz w:val="20"/>
              </w:rPr>
              <w:t>11.700.000.000</w:t>
            </w:r>
          </w:p>
        </w:tc>
      </w:tr>
      <w:tr w:rsidR="0090740B" w:rsidRPr="00C531A2" w14:paraId="55947B00" w14:textId="77777777" w:rsidTr="00725D9F">
        <w:trPr>
          <w:trHeight w:val="20"/>
        </w:trPr>
        <w:tc>
          <w:tcPr>
            <w:tcW w:w="5135" w:type="dxa"/>
            <w:tcBorders>
              <w:top w:val="nil"/>
              <w:left w:val="single" w:sz="4" w:space="0" w:color="auto"/>
              <w:bottom w:val="single" w:sz="4" w:space="0" w:color="auto"/>
              <w:right w:val="single" w:sz="4" w:space="0" w:color="auto"/>
            </w:tcBorders>
            <w:noWrap/>
            <w:vAlign w:val="bottom"/>
            <w:hideMark/>
          </w:tcPr>
          <w:p w14:paraId="500FE20E" w14:textId="77777777" w:rsidR="0090740B" w:rsidRPr="00C531A2" w:rsidRDefault="0090740B" w:rsidP="00725D9F">
            <w:pPr>
              <w:tabs>
                <w:tab w:val="left" w:pos="1440"/>
              </w:tabs>
              <w:rPr>
                <w:sz w:val="20"/>
              </w:rPr>
            </w:pPr>
            <w:r w:rsidRPr="00C531A2">
              <w:rPr>
                <w:sz w:val="20"/>
              </w:rPr>
              <w:t xml:space="preserve">   Ванредни непорески приходи</w:t>
            </w:r>
          </w:p>
        </w:tc>
        <w:tc>
          <w:tcPr>
            <w:tcW w:w="1616" w:type="dxa"/>
            <w:tcBorders>
              <w:top w:val="nil"/>
              <w:left w:val="nil"/>
              <w:bottom w:val="single" w:sz="4" w:space="0" w:color="auto"/>
              <w:right w:val="single" w:sz="4" w:space="0" w:color="auto"/>
            </w:tcBorders>
            <w:noWrap/>
            <w:vAlign w:val="bottom"/>
            <w:hideMark/>
          </w:tcPr>
          <w:p w14:paraId="0C602641" w14:textId="77777777" w:rsidR="0090740B" w:rsidRPr="00C531A2" w:rsidRDefault="0090740B" w:rsidP="00725D9F">
            <w:pPr>
              <w:tabs>
                <w:tab w:val="left" w:pos="1440"/>
              </w:tabs>
              <w:rPr>
                <w:rFonts w:ascii="Times New Roman" w:hAnsi="Times New Roman"/>
                <w:color w:val="000000"/>
                <w:sz w:val="20"/>
              </w:rPr>
            </w:pPr>
            <w:r w:rsidRPr="00C531A2">
              <w:rPr>
                <w:sz w:val="20"/>
              </w:rPr>
              <w:t> </w:t>
            </w:r>
          </w:p>
        </w:tc>
        <w:tc>
          <w:tcPr>
            <w:tcW w:w="2201" w:type="dxa"/>
            <w:tcBorders>
              <w:top w:val="nil"/>
              <w:left w:val="nil"/>
              <w:bottom w:val="single" w:sz="4" w:space="0" w:color="auto"/>
              <w:right w:val="single" w:sz="4" w:space="0" w:color="auto"/>
            </w:tcBorders>
            <w:noWrap/>
            <w:vAlign w:val="bottom"/>
            <w:hideMark/>
          </w:tcPr>
          <w:p w14:paraId="5FA8460E" w14:textId="77777777" w:rsidR="0090740B" w:rsidRPr="00C531A2" w:rsidRDefault="0090740B" w:rsidP="00725D9F">
            <w:pPr>
              <w:jc w:val="right"/>
              <w:rPr>
                <w:rFonts w:ascii="Times New Roman" w:hAnsi="Times New Roman"/>
                <w:sz w:val="20"/>
              </w:rPr>
            </w:pPr>
            <w:r w:rsidRPr="00C531A2">
              <w:rPr>
                <w:rFonts w:ascii="Times New Roman" w:hAnsi="Times New Roman"/>
                <w:sz w:val="20"/>
              </w:rPr>
              <w:t>25.500.000.000</w:t>
            </w:r>
          </w:p>
        </w:tc>
      </w:tr>
      <w:tr w:rsidR="0090740B" w:rsidRPr="00C531A2" w14:paraId="003B8F9A" w14:textId="77777777" w:rsidTr="00725D9F">
        <w:trPr>
          <w:trHeight w:val="20"/>
        </w:trPr>
        <w:tc>
          <w:tcPr>
            <w:tcW w:w="5135" w:type="dxa"/>
            <w:tcBorders>
              <w:top w:val="nil"/>
              <w:left w:val="single" w:sz="4" w:space="0" w:color="auto"/>
              <w:bottom w:val="single" w:sz="4" w:space="0" w:color="auto"/>
              <w:right w:val="single" w:sz="4" w:space="0" w:color="auto"/>
            </w:tcBorders>
            <w:noWrap/>
            <w:vAlign w:val="bottom"/>
            <w:hideMark/>
          </w:tcPr>
          <w:p w14:paraId="3C3F88C4" w14:textId="77777777" w:rsidR="0090740B" w:rsidRPr="00C531A2" w:rsidRDefault="0090740B" w:rsidP="00725D9F">
            <w:pPr>
              <w:tabs>
                <w:tab w:val="left" w:pos="1440"/>
              </w:tabs>
              <w:rPr>
                <w:i/>
                <w:sz w:val="20"/>
              </w:rPr>
            </w:pPr>
            <w:r w:rsidRPr="00C531A2">
              <w:rPr>
                <w:i/>
                <w:sz w:val="20"/>
              </w:rPr>
              <w:t>- Добит јавних агенција</w:t>
            </w:r>
          </w:p>
        </w:tc>
        <w:tc>
          <w:tcPr>
            <w:tcW w:w="1616" w:type="dxa"/>
            <w:tcBorders>
              <w:top w:val="nil"/>
              <w:left w:val="nil"/>
              <w:bottom w:val="single" w:sz="4" w:space="0" w:color="auto"/>
              <w:right w:val="single" w:sz="4" w:space="0" w:color="auto"/>
            </w:tcBorders>
            <w:noWrap/>
            <w:vAlign w:val="bottom"/>
            <w:hideMark/>
          </w:tcPr>
          <w:p w14:paraId="6C6E91E7" w14:textId="77777777" w:rsidR="0090740B" w:rsidRPr="00C531A2" w:rsidRDefault="0090740B" w:rsidP="00725D9F">
            <w:pPr>
              <w:tabs>
                <w:tab w:val="left" w:pos="1440"/>
              </w:tabs>
              <w:rPr>
                <w:sz w:val="20"/>
              </w:rPr>
            </w:pPr>
            <w:r w:rsidRPr="00C531A2">
              <w:rPr>
                <w:sz w:val="20"/>
              </w:rPr>
              <w:t>741</w:t>
            </w:r>
          </w:p>
        </w:tc>
        <w:tc>
          <w:tcPr>
            <w:tcW w:w="2201" w:type="dxa"/>
            <w:tcBorders>
              <w:top w:val="nil"/>
              <w:left w:val="nil"/>
              <w:bottom w:val="single" w:sz="4" w:space="0" w:color="auto"/>
              <w:right w:val="single" w:sz="4" w:space="0" w:color="auto"/>
            </w:tcBorders>
            <w:noWrap/>
            <w:vAlign w:val="bottom"/>
            <w:hideMark/>
          </w:tcPr>
          <w:p w14:paraId="68E04ECA" w14:textId="77777777" w:rsidR="0090740B" w:rsidRPr="00C531A2" w:rsidRDefault="0090740B" w:rsidP="00725D9F">
            <w:pPr>
              <w:jc w:val="right"/>
              <w:rPr>
                <w:rFonts w:ascii="Times New Roman" w:hAnsi="Times New Roman"/>
                <w:sz w:val="20"/>
              </w:rPr>
            </w:pPr>
            <w:r w:rsidRPr="00C531A2">
              <w:rPr>
                <w:rFonts w:ascii="Times New Roman" w:hAnsi="Times New Roman"/>
                <w:sz w:val="20"/>
              </w:rPr>
              <w:t>2.500.000.000</w:t>
            </w:r>
          </w:p>
        </w:tc>
      </w:tr>
      <w:tr w:rsidR="0090740B" w:rsidRPr="00C531A2" w14:paraId="77F89E50" w14:textId="77777777" w:rsidTr="00725D9F">
        <w:trPr>
          <w:trHeight w:val="20"/>
        </w:trPr>
        <w:tc>
          <w:tcPr>
            <w:tcW w:w="5135" w:type="dxa"/>
            <w:tcBorders>
              <w:top w:val="nil"/>
              <w:left w:val="single" w:sz="4" w:space="0" w:color="auto"/>
              <w:bottom w:val="single" w:sz="4" w:space="0" w:color="auto"/>
              <w:right w:val="single" w:sz="4" w:space="0" w:color="auto"/>
            </w:tcBorders>
            <w:noWrap/>
            <w:vAlign w:val="bottom"/>
            <w:hideMark/>
          </w:tcPr>
          <w:p w14:paraId="0800AFDC" w14:textId="77777777" w:rsidR="0090740B" w:rsidRPr="00C531A2" w:rsidRDefault="0090740B" w:rsidP="00725D9F">
            <w:pPr>
              <w:tabs>
                <w:tab w:val="left" w:pos="1440"/>
              </w:tabs>
              <w:rPr>
                <w:i/>
                <w:sz w:val="20"/>
              </w:rPr>
            </w:pPr>
            <w:r w:rsidRPr="00C531A2">
              <w:rPr>
                <w:i/>
                <w:sz w:val="20"/>
              </w:rPr>
              <w:t>- Део добити јавних предузећа и дивиденде буџета</w:t>
            </w:r>
          </w:p>
        </w:tc>
        <w:tc>
          <w:tcPr>
            <w:tcW w:w="1616" w:type="dxa"/>
            <w:tcBorders>
              <w:top w:val="nil"/>
              <w:left w:val="nil"/>
              <w:bottom w:val="single" w:sz="4" w:space="0" w:color="auto"/>
              <w:right w:val="single" w:sz="4" w:space="0" w:color="auto"/>
            </w:tcBorders>
            <w:noWrap/>
            <w:vAlign w:val="bottom"/>
            <w:hideMark/>
          </w:tcPr>
          <w:p w14:paraId="1D674525" w14:textId="77777777" w:rsidR="0090740B" w:rsidRPr="00C531A2" w:rsidRDefault="0090740B" w:rsidP="00725D9F">
            <w:pPr>
              <w:tabs>
                <w:tab w:val="left" w:pos="1440"/>
              </w:tabs>
              <w:rPr>
                <w:sz w:val="20"/>
              </w:rPr>
            </w:pPr>
            <w:r w:rsidRPr="00C531A2">
              <w:rPr>
                <w:sz w:val="20"/>
              </w:rPr>
              <w:t>741, 745</w:t>
            </w:r>
          </w:p>
        </w:tc>
        <w:tc>
          <w:tcPr>
            <w:tcW w:w="2201" w:type="dxa"/>
            <w:tcBorders>
              <w:top w:val="nil"/>
              <w:left w:val="nil"/>
              <w:bottom w:val="single" w:sz="4" w:space="0" w:color="auto"/>
              <w:right w:val="single" w:sz="4" w:space="0" w:color="auto"/>
            </w:tcBorders>
            <w:noWrap/>
            <w:vAlign w:val="bottom"/>
            <w:hideMark/>
          </w:tcPr>
          <w:p w14:paraId="1DD46377" w14:textId="77777777" w:rsidR="0090740B" w:rsidRPr="00C531A2" w:rsidRDefault="0090740B" w:rsidP="00725D9F">
            <w:pPr>
              <w:jc w:val="right"/>
              <w:rPr>
                <w:rFonts w:ascii="Times New Roman" w:hAnsi="Times New Roman"/>
                <w:sz w:val="20"/>
              </w:rPr>
            </w:pPr>
            <w:r w:rsidRPr="00C531A2">
              <w:rPr>
                <w:rFonts w:ascii="Times New Roman" w:hAnsi="Times New Roman"/>
                <w:sz w:val="20"/>
              </w:rPr>
              <w:t>12.000.000.000</w:t>
            </w:r>
          </w:p>
        </w:tc>
      </w:tr>
      <w:tr w:rsidR="0090740B" w:rsidRPr="00C531A2" w14:paraId="0FC7AD8B" w14:textId="77777777" w:rsidTr="00725D9F">
        <w:trPr>
          <w:trHeight w:val="20"/>
        </w:trPr>
        <w:tc>
          <w:tcPr>
            <w:tcW w:w="5135" w:type="dxa"/>
            <w:tcBorders>
              <w:top w:val="nil"/>
              <w:left w:val="single" w:sz="4" w:space="0" w:color="auto"/>
              <w:bottom w:val="single" w:sz="4" w:space="0" w:color="auto"/>
              <w:right w:val="single" w:sz="4" w:space="0" w:color="auto"/>
            </w:tcBorders>
            <w:noWrap/>
            <w:vAlign w:val="bottom"/>
            <w:hideMark/>
          </w:tcPr>
          <w:p w14:paraId="17DE4F99" w14:textId="77777777" w:rsidR="0090740B" w:rsidRPr="00C531A2" w:rsidRDefault="0090740B" w:rsidP="00725D9F">
            <w:pPr>
              <w:tabs>
                <w:tab w:val="left" w:pos="1440"/>
              </w:tabs>
              <w:rPr>
                <w:i/>
                <w:sz w:val="20"/>
              </w:rPr>
            </w:pPr>
            <w:r w:rsidRPr="00C531A2">
              <w:rPr>
                <w:i/>
                <w:sz w:val="20"/>
              </w:rPr>
              <w:t>- Остали ванредни приходи</w:t>
            </w:r>
          </w:p>
        </w:tc>
        <w:tc>
          <w:tcPr>
            <w:tcW w:w="1616" w:type="dxa"/>
            <w:tcBorders>
              <w:top w:val="nil"/>
              <w:left w:val="nil"/>
              <w:bottom w:val="single" w:sz="4" w:space="0" w:color="auto"/>
              <w:right w:val="single" w:sz="4" w:space="0" w:color="auto"/>
            </w:tcBorders>
            <w:noWrap/>
            <w:vAlign w:val="bottom"/>
            <w:hideMark/>
          </w:tcPr>
          <w:p w14:paraId="46A06B6F" w14:textId="77777777" w:rsidR="0090740B" w:rsidRPr="00C531A2" w:rsidRDefault="0090740B" w:rsidP="00725D9F">
            <w:pPr>
              <w:tabs>
                <w:tab w:val="left" w:pos="1440"/>
              </w:tabs>
              <w:rPr>
                <w:sz w:val="20"/>
              </w:rPr>
            </w:pPr>
            <w:r w:rsidRPr="00C531A2">
              <w:rPr>
                <w:sz w:val="20"/>
              </w:rPr>
              <w:t>745</w:t>
            </w:r>
          </w:p>
        </w:tc>
        <w:tc>
          <w:tcPr>
            <w:tcW w:w="2201" w:type="dxa"/>
            <w:tcBorders>
              <w:top w:val="nil"/>
              <w:left w:val="nil"/>
              <w:bottom w:val="single" w:sz="4" w:space="0" w:color="auto"/>
              <w:right w:val="single" w:sz="4" w:space="0" w:color="auto"/>
            </w:tcBorders>
            <w:noWrap/>
            <w:vAlign w:val="bottom"/>
            <w:hideMark/>
          </w:tcPr>
          <w:p w14:paraId="13466CC6" w14:textId="77777777" w:rsidR="0090740B" w:rsidRPr="00C531A2" w:rsidRDefault="0090740B" w:rsidP="00725D9F">
            <w:pPr>
              <w:jc w:val="right"/>
              <w:rPr>
                <w:rFonts w:ascii="Times New Roman" w:hAnsi="Times New Roman"/>
                <w:sz w:val="20"/>
              </w:rPr>
            </w:pPr>
            <w:r w:rsidRPr="00C531A2">
              <w:rPr>
                <w:rFonts w:ascii="Times New Roman" w:hAnsi="Times New Roman"/>
                <w:sz w:val="20"/>
              </w:rPr>
              <w:t>11.000.000.000</w:t>
            </w:r>
          </w:p>
        </w:tc>
      </w:tr>
      <w:tr w:rsidR="0090740B" w:rsidRPr="00C531A2" w14:paraId="76DF7DC5" w14:textId="77777777" w:rsidTr="00725D9F">
        <w:trPr>
          <w:trHeight w:val="20"/>
        </w:trPr>
        <w:tc>
          <w:tcPr>
            <w:tcW w:w="5135" w:type="dxa"/>
            <w:tcBorders>
              <w:top w:val="nil"/>
              <w:left w:val="single" w:sz="4" w:space="0" w:color="auto"/>
              <w:bottom w:val="single" w:sz="4" w:space="0" w:color="auto"/>
              <w:right w:val="single" w:sz="4" w:space="0" w:color="auto"/>
            </w:tcBorders>
            <w:noWrap/>
            <w:vAlign w:val="bottom"/>
            <w:hideMark/>
          </w:tcPr>
          <w:p w14:paraId="7A595727" w14:textId="77777777" w:rsidR="0090740B" w:rsidRPr="00C531A2" w:rsidRDefault="0090740B" w:rsidP="00725D9F">
            <w:pPr>
              <w:tabs>
                <w:tab w:val="left" w:pos="1440"/>
              </w:tabs>
              <w:rPr>
                <w:b/>
                <w:sz w:val="20"/>
              </w:rPr>
            </w:pPr>
            <w:r w:rsidRPr="00C531A2">
              <w:rPr>
                <w:b/>
                <w:sz w:val="20"/>
              </w:rPr>
              <w:t>3. Донације</w:t>
            </w:r>
          </w:p>
        </w:tc>
        <w:tc>
          <w:tcPr>
            <w:tcW w:w="1616" w:type="dxa"/>
            <w:tcBorders>
              <w:top w:val="nil"/>
              <w:left w:val="nil"/>
              <w:bottom w:val="single" w:sz="4" w:space="0" w:color="auto"/>
              <w:right w:val="single" w:sz="4" w:space="0" w:color="auto"/>
            </w:tcBorders>
            <w:noWrap/>
            <w:vAlign w:val="bottom"/>
            <w:hideMark/>
          </w:tcPr>
          <w:p w14:paraId="50717312" w14:textId="77777777" w:rsidR="0090740B" w:rsidRPr="00C531A2" w:rsidRDefault="0090740B" w:rsidP="00725D9F">
            <w:pPr>
              <w:tabs>
                <w:tab w:val="left" w:pos="1440"/>
              </w:tabs>
              <w:rPr>
                <w:b/>
                <w:sz w:val="20"/>
              </w:rPr>
            </w:pPr>
            <w:r w:rsidRPr="00C531A2">
              <w:rPr>
                <w:b/>
                <w:sz w:val="20"/>
              </w:rPr>
              <w:t>731,732</w:t>
            </w:r>
          </w:p>
        </w:tc>
        <w:tc>
          <w:tcPr>
            <w:tcW w:w="2201" w:type="dxa"/>
            <w:tcBorders>
              <w:top w:val="nil"/>
              <w:left w:val="nil"/>
              <w:bottom w:val="single" w:sz="4" w:space="0" w:color="auto"/>
              <w:right w:val="single" w:sz="4" w:space="0" w:color="auto"/>
            </w:tcBorders>
            <w:noWrap/>
            <w:vAlign w:val="bottom"/>
            <w:hideMark/>
          </w:tcPr>
          <w:p w14:paraId="2B5855C7" w14:textId="77777777" w:rsidR="0090740B" w:rsidRPr="00C531A2" w:rsidRDefault="0090740B" w:rsidP="00725D9F">
            <w:pPr>
              <w:jc w:val="right"/>
              <w:rPr>
                <w:rFonts w:ascii="Times New Roman" w:hAnsi="Times New Roman"/>
                <w:b/>
                <w:bCs/>
                <w:sz w:val="20"/>
              </w:rPr>
            </w:pPr>
            <w:r w:rsidRPr="00C531A2">
              <w:rPr>
                <w:rFonts w:ascii="Times New Roman" w:hAnsi="Times New Roman"/>
                <w:b/>
                <w:bCs/>
                <w:sz w:val="20"/>
              </w:rPr>
              <w:t>31.403.945.000</w:t>
            </w:r>
          </w:p>
        </w:tc>
      </w:tr>
    </w:tbl>
    <w:p w14:paraId="76E8DD88" w14:textId="77777777" w:rsidR="0090740B" w:rsidRPr="00C531A2" w:rsidRDefault="0090740B" w:rsidP="0090740B">
      <w:pPr>
        <w:tabs>
          <w:tab w:val="left" w:pos="720"/>
          <w:tab w:val="left" w:pos="1440"/>
        </w:tabs>
        <w:spacing w:before="120"/>
        <w:ind w:firstLine="720"/>
        <w:rPr>
          <w:rFonts w:ascii="Times New Roman" w:hAnsi="Times New Roman"/>
          <w:szCs w:val="24"/>
        </w:rPr>
      </w:pPr>
      <w:r w:rsidRPr="00C531A2">
        <w:rPr>
          <w:rFonts w:ascii="Times New Roman" w:hAnsi="Times New Roman"/>
        </w:rPr>
        <w:lastRenderedPageBreak/>
        <w:fldChar w:fldCharType="end"/>
      </w:r>
      <w:r w:rsidRPr="00C531A2">
        <w:rPr>
          <w:rFonts w:ascii="Times New Roman" w:hAnsi="Times New Roman"/>
          <w:b/>
          <w:szCs w:val="24"/>
        </w:rPr>
        <w:t>Буџетом Републике Србије за 2026. годину, планирају се укупни приходи и примања у износу од 2.414,7 млрд динара, што представља повећање од 4,2% у односу на процену прихода буџета за 2025. годину</w:t>
      </w:r>
      <w:r w:rsidRPr="00C531A2">
        <w:rPr>
          <w:rFonts w:ascii="Times New Roman" w:hAnsi="Times New Roman"/>
          <w:szCs w:val="24"/>
        </w:rPr>
        <w:t xml:space="preserve">. У односу на приходе планиране буџетом за 2025. годину, планирани приходи у 2026. години већи су за 2,9%. </w:t>
      </w:r>
      <w:r w:rsidRPr="00C531A2">
        <w:rPr>
          <w:rFonts w:ascii="Times New Roman" w:eastAsia="Calibri" w:hAnsi="Times New Roman"/>
          <w:bCs/>
          <w:szCs w:val="24"/>
        </w:rPr>
        <w:t xml:space="preserve">У структури укупних прихода, порески приходи износе 2.080,0 млрд динара или 86,1%, док непорески приходи износе 303,3 млрд динара или 12,6% укупних прихода буџета Републике Србије. Остатак чине донације у износу од 31,4 млрд динара што чини 1,3% укупних прихода. У односу на процењени износ прихода за 2025. годину, укупни приходи буџета у 2025. години већи су за 96,3 млрд динара, при чему су порески приходи повећани за 126,6 млрд динара или за 6,5%, док су непорески приходи умањени 26,3 млрд динара или за 8%. У оквиру пореских прихода, све категорије, бележе умерен раст, при чему се нешто бржи раст предвиђа код пореза на потрошњу и пореза на доходак грађана. </w:t>
      </w:r>
    </w:p>
    <w:p w14:paraId="5E87AB0E" w14:textId="77777777" w:rsidR="0090740B" w:rsidRPr="00C531A2" w:rsidRDefault="0090740B" w:rsidP="0090740B">
      <w:pPr>
        <w:tabs>
          <w:tab w:val="left" w:pos="720"/>
          <w:tab w:val="left" w:pos="1440"/>
        </w:tabs>
        <w:spacing w:after="120"/>
        <w:ind w:firstLine="720"/>
        <w:rPr>
          <w:rFonts w:ascii="Times New Roman" w:eastAsia="Calibri" w:hAnsi="Times New Roman"/>
          <w:szCs w:val="24"/>
        </w:rPr>
      </w:pPr>
      <w:r w:rsidRPr="00C531A2">
        <w:rPr>
          <w:rFonts w:ascii="Times New Roman" w:hAnsi="Times New Roman"/>
          <w:b/>
          <w:szCs w:val="24"/>
        </w:rPr>
        <w:t xml:space="preserve">Буџетски приходи у 2026. години планирани су на основу пројекције кретања најважнијих макроекономских параметара: БДП и његових компоненти, инфлације, девизног курса, кретања спољнотрговинске размене, процене кретања запослености и зарада, као и процењених ефеката измена у пореској политици и других структурних мера. </w:t>
      </w:r>
      <w:r w:rsidRPr="00C531A2">
        <w:rPr>
          <w:rFonts w:ascii="Times New Roman" w:eastAsia="Calibri" w:hAnsi="Times New Roman"/>
          <w:szCs w:val="24"/>
        </w:rPr>
        <w:t>Пројекцији прихода за наредну годину приступило се опрезно, имајући у виду континуирану неизвесност на домаћем тржишту и у међународном окружењу.</w:t>
      </w:r>
      <w:r w:rsidRPr="00C531A2">
        <w:rPr>
          <w:rFonts w:ascii="Times New Roman" w:eastAsia="Calibri" w:hAnsi="Times New Roman"/>
          <w:b/>
          <w:szCs w:val="24"/>
        </w:rPr>
        <w:t xml:space="preserve"> </w:t>
      </w:r>
      <w:r w:rsidRPr="00C531A2">
        <w:rPr>
          <w:rFonts w:ascii="Times New Roman" w:eastAsia="Calibri" w:hAnsi="Times New Roman"/>
          <w:szCs w:val="24"/>
        </w:rPr>
        <w:t>Поједини ризици узети у обзир при планирању фискалног оквира за 2025. годину су се материјализовали, пре свега у погледу нижег привредног раста. То је и разлог ревидиране процене прихода у текућој години. Значајне друштвено-политичке тензије крајем 2024. и у првим месецима 2025. године повећале су неизвесност међу привредним субјектима и домаћинствима, подстичући одлагање потрошње. У првој половини 2025. године реални раст БДП био је значајно испод очекиваног као последица мање економске активности у сектору трговине, саобраћаја и туризма, као и пада вредности изведених грађевинских радова. Иако су реални износи пензија и зарада, односно расположивог дохотка, бележили солидан раст захваљујући повољним кретањима на тржишту рада, динамика раста приватне потрошње остала је умеренија. Такав резултат се, пре свега, може приписати израженијем опрезу домаћинстава и одлагању потрошње у условима повећане економске и друштвене неизвесности. Оваква кретања, највише су утицала на наплату пореза на додату вредност, почевши већ у последњем кварталу 2024. године, а настављена су и у већем делу 2025. године.</w:t>
      </w:r>
    </w:p>
    <w:p w14:paraId="15BA33A5" w14:textId="2FD9F00B" w:rsidR="0090740B" w:rsidRPr="00C531A2" w:rsidRDefault="0090740B" w:rsidP="00AF7A83">
      <w:pPr>
        <w:pStyle w:val="NormalWeb"/>
        <w:ind w:firstLine="720"/>
        <w:rPr>
          <w:bCs/>
          <w:lang w:val="sr-Cyrl-RS"/>
        </w:rPr>
      </w:pPr>
      <w:r w:rsidRPr="00C531A2">
        <w:rPr>
          <w:b/>
          <w:lang w:val="sr-Cyrl-RS"/>
        </w:rPr>
        <w:t xml:space="preserve">Макроекономским оквиром за 2026. годину предвиђено је </w:t>
      </w:r>
      <w:r w:rsidRPr="00C531A2">
        <w:rPr>
          <w:b/>
          <w:bCs/>
          <w:lang w:val="sr-Cyrl-RS"/>
        </w:rPr>
        <w:t>умерено убрзање економске активности</w:t>
      </w:r>
      <w:r w:rsidRPr="00C531A2">
        <w:rPr>
          <w:b/>
          <w:lang w:val="sr-Cyrl-RS"/>
        </w:rPr>
        <w:t xml:space="preserve"> у односу на 2025. годину, уз очекивани раст бруто домаћег производа од око </w:t>
      </w:r>
      <w:r w:rsidRPr="00C531A2">
        <w:rPr>
          <w:b/>
          <w:bCs/>
          <w:lang w:val="sr-Cyrl-RS"/>
        </w:rPr>
        <w:t>3%</w:t>
      </w:r>
      <w:r w:rsidRPr="00C531A2">
        <w:rPr>
          <w:b/>
          <w:lang w:val="sr-Cyrl-RS"/>
        </w:rPr>
        <w:t xml:space="preserve">. </w:t>
      </w:r>
      <w:r w:rsidRPr="00C531A2">
        <w:rPr>
          <w:bCs/>
          <w:lang w:val="sr-Cyrl-RS"/>
        </w:rPr>
        <w:t>Овај раст биће подржан стабилним домаћим факторима – повећањем реалног дохотка становништва, растом запослености и континуитетом јавних и приватних инвестиција – док ће стабилизација инфлације позитивно утицати на кретање реалне личне потрошње и очување куповне моћи.</w:t>
      </w:r>
      <w:r w:rsidRPr="00C531A2">
        <w:rPr>
          <w:lang w:val="sr-Cyrl-RS"/>
        </w:rPr>
        <w:t xml:space="preserve"> У претходном вишегодишњем периоду, који су обележили енергетска криза и убрзана инфлација, примењен је сет мера усмерених на заштиту животног стандарда становништва и очување енергетске сигурности. Поред циљаних директних давања појединим категоријама грађана, спроведене су и мере пореске политике </w:t>
      </w:r>
      <w:r w:rsidR="00DD25FA" w:rsidRPr="00C531A2">
        <w:rPr>
          <w:lang w:val="sr-Cyrl-RS"/>
        </w:rPr>
        <w:t>-</w:t>
      </w:r>
      <w:r w:rsidRPr="00C531A2">
        <w:rPr>
          <w:lang w:val="sr-Cyrl-RS"/>
        </w:rPr>
        <w:t xml:space="preserve"> пре свега кроз акцизну политику која је посредно утицала на цене појединих акцизних производа </w:t>
      </w:r>
      <w:r w:rsidR="00DD25FA" w:rsidRPr="00C531A2">
        <w:rPr>
          <w:lang w:val="sr-Cyrl-RS"/>
        </w:rPr>
        <w:t>-</w:t>
      </w:r>
      <w:r w:rsidRPr="00C531A2">
        <w:rPr>
          <w:lang w:val="sr-Cyrl-RS"/>
        </w:rPr>
        <w:t xml:space="preserve"> као и контроле цена основних животних намирница и енергената. Већина наведених интервенција била је привременог карактера и укинута је до краја 2023. године, што се посебно односи на акцизну политику у области нафтних деривата. Ради одржавања куповне моћи, усвојене су или ће до краја текуће године бити усвојене следеће мере: повећање минималне зараде у два корака (октобар 2025. и јануар 2026.) у укупном износу од 20,4%, раст зарада у јавном сектору и повећање неопорезивог цензуса, при чему ће оптерећење процењене просечне нето зараде у </w:t>
      </w:r>
      <w:r w:rsidRPr="00C531A2">
        <w:rPr>
          <w:lang w:val="sr-Cyrl-RS"/>
        </w:rPr>
        <w:lastRenderedPageBreak/>
        <w:t xml:space="preserve">2026. години износити 59,7%. </w:t>
      </w:r>
      <w:r w:rsidRPr="00C531A2">
        <w:rPr>
          <w:bCs/>
          <w:lang w:val="sr-Cyrl-RS"/>
        </w:rPr>
        <w:t>Према законској формули, пензије ће у 2026. години бити повећане за 12,2%, чиме ће се обезбедити реалан раст пензијских примања. Такође, мере популационе политике, усвојене током 2022. и 2024. године, имају структурни карактер и позитивно ће утицати на расположиви доходак породица са децом. Све наведене мере допринеће расту личне потрошње и повећању буџетских прихода по основу пореза на потрошњу. Истовремено, очекује се и раст прихода од опорезивања рада, упркос смањењу пореског оптерећења, као резултат повећања зарада у приватном сектору. Поред наведених мера, не очекују се измене у пореској политици које би имале значајнији утицај на буџетске приходе.</w:t>
      </w:r>
    </w:p>
    <w:p w14:paraId="235C0893" w14:textId="77777777" w:rsidR="0090740B" w:rsidRPr="00C531A2" w:rsidRDefault="0090740B" w:rsidP="0090740B">
      <w:pPr>
        <w:spacing w:after="120"/>
        <w:ind w:firstLine="720"/>
        <w:rPr>
          <w:rFonts w:ascii="Times New Roman" w:eastAsia="MS PGothic" w:hAnsi="Times New Roman"/>
          <w:szCs w:val="24"/>
          <w:lang w:eastAsia="ja-JP"/>
        </w:rPr>
      </w:pPr>
      <w:r w:rsidRPr="00C531A2">
        <w:rPr>
          <w:rFonts w:ascii="Times New Roman" w:eastAsia="MS PGothic" w:hAnsi="Times New Roman"/>
          <w:b/>
          <w:szCs w:val="24"/>
          <w:lang w:eastAsia="ja-JP"/>
        </w:rPr>
        <w:t>Буџет за 2026. годину предвиђа мере фискалне политике у циљу даљег смањења пореског оптерећења зарада.</w:t>
      </w:r>
      <w:r w:rsidRPr="00C531A2">
        <w:rPr>
          <w:rFonts w:ascii="Times New Roman" w:eastAsia="MS PGothic" w:hAnsi="Times New Roman"/>
          <w:szCs w:val="24"/>
          <w:lang w:eastAsia="ja-JP"/>
        </w:rPr>
        <w:t xml:space="preserve"> Неопорезиви део бруто зараде повећава се са 28.423 на 34.221 динара, пратећи при томе предвиђени раст минималне зараде. Губитак прихода сектора државе по овом основу у 2026. години процењује се на око 24,5 млрд динара, при чему је директан губитак буџета Републике процењен на 4,1 млрд динара, губитак локалног нивоа власти на 12,9 млрд, а остатак од 7,5 млрд се односи на приходе организација обавезног социјалног осигурања. Директан утицај на приходе буџета Републике није значајан, али се са расходне стране, путем трансфера другим нивоима власти и ООСО одражава и на буџетски резултат. Ове мере смањују пореско оптерећење просечне нето зараде за око 0,3 процентних поена у односу на 2025. годину и усмерене су, такође, на постепено повећање прогресивности опорезивања зарада. </w:t>
      </w:r>
    </w:p>
    <w:p w14:paraId="1CC1BBC2" w14:textId="77777777" w:rsidR="0090740B" w:rsidRPr="00C531A2" w:rsidRDefault="0090740B" w:rsidP="0090740B">
      <w:pPr>
        <w:rPr>
          <w:rFonts w:ascii="Times New Roman" w:hAnsi="Times New Roman"/>
          <w:b/>
          <w:color w:val="000000"/>
        </w:rPr>
      </w:pPr>
      <w:r w:rsidRPr="00C531A2">
        <w:rPr>
          <w:rFonts w:ascii="Times New Roman" w:hAnsi="Times New Roman"/>
          <w:b/>
          <w:color w:val="000000"/>
        </w:rPr>
        <w:t>Приходи и примања буџета u 2025. и 2026. години (у млрд динара)</w:t>
      </w:r>
      <w:r w:rsidRPr="00C531A2">
        <w:rPr>
          <w:rFonts w:ascii="Times New Roman" w:hAnsi="Times New Roman"/>
          <w:b/>
          <w:color w:val="FF0000"/>
        </w:rPr>
        <w:t xml:space="preserve"> </w:t>
      </w:r>
    </w:p>
    <w:tbl>
      <w:tblPr>
        <w:tblW w:w="9121" w:type="dxa"/>
        <w:tblLayout w:type="fixed"/>
        <w:tblLook w:val="04A0" w:firstRow="1" w:lastRow="0" w:firstColumn="1" w:lastColumn="0" w:noHBand="0" w:noVBand="1"/>
      </w:tblPr>
      <w:tblGrid>
        <w:gridCol w:w="1927"/>
        <w:gridCol w:w="1027"/>
        <w:gridCol w:w="1028"/>
        <w:gridCol w:w="1028"/>
        <w:gridCol w:w="1027"/>
        <w:gridCol w:w="1028"/>
        <w:gridCol w:w="1028"/>
        <w:gridCol w:w="1028"/>
      </w:tblGrid>
      <w:tr w:rsidR="0090740B" w:rsidRPr="00C531A2" w14:paraId="5562914B" w14:textId="77777777" w:rsidTr="00725D9F">
        <w:trPr>
          <w:trHeight w:val="22"/>
        </w:trPr>
        <w:tc>
          <w:tcPr>
            <w:tcW w:w="1927" w:type="dxa"/>
            <w:tcBorders>
              <w:top w:val="single" w:sz="4" w:space="0" w:color="auto"/>
              <w:left w:val="single" w:sz="4" w:space="0" w:color="auto"/>
              <w:bottom w:val="single" w:sz="4" w:space="0" w:color="auto"/>
              <w:right w:val="single" w:sz="4" w:space="0" w:color="auto"/>
            </w:tcBorders>
            <w:vAlign w:val="center"/>
            <w:hideMark/>
          </w:tcPr>
          <w:p w14:paraId="4F4CB879" w14:textId="77777777" w:rsidR="0090740B" w:rsidRPr="00C531A2" w:rsidRDefault="0090740B" w:rsidP="00725D9F">
            <w:pPr>
              <w:ind w:hanging="110"/>
              <w:jc w:val="center"/>
              <w:rPr>
                <w:rFonts w:ascii="Times New Roman" w:hAnsi="Times New Roman"/>
                <w:b/>
                <w:bCs/>
                <w:color w:val="000000"/>
                <w:sz w:val="16"/>
                <w:szCs w:val="16"/>
              </w:rPr>
            </w:pPr>
            <w:r w:rsidRPr="00C531A2">
              <w:rPr>
                <w:rFonts w:ascii="Times New Roman" w:hAnsi="Times New Roman"/>
                <w:b/>
                <w:bCs/>
                <w:color w:val="000000"/>
                <w:sz w:val="16"/>
                <w:szCs w:val="16"/>
              </w:rPr>
              <w:t>Приходи буџета</w:t>
            </w:r>
          </w:p>
        </w:tc>
        <w:tc>
          <w:tcPr>
            <w:tcW w:w="1027" w:type="dxa"/>
            <w:tcBorders>
              <w:top w:val="single" w:sz="4" w:space="0" w:color="auto"/>
              <w:left w:val="nil"/>
              <w:bottom w:val="single" w:sz="4" w:space="0" w:color="auto"/>
              <w:right w:val="single" w:sz="4" w:space="0" w:color="auto"/>
            </w:tcBorders>
            <w:vAlign w:val="center"/>
            <w:hideMark/>
          </w:tcPr>
          <w:p w14:paraId="4D4DE03C" w14:textId="77777777" w:rsidR="0090740B" w:rsidRPr="00C531A2" w:rsidRDefault="0090740B" w:rsidP="00725D9F">
            <w:pPr>
              <w:jc w:val="center"/>
              <w:rPr>
                <w:rFonts w:ascii="Times New Roman" w:hAnsi="Times New Roman"/>
                <w:b/>
                <w:bCs/>
                <w:color w:val="000000"/>
                <w:sz w:val="16"/>
                <w:szCs w:val="16"/>
              </w:rPr>
            </w:pPr>
            <w:r w:rsidRPr="00C531A2">
              <w:rPr>
                <w:rFonts w:ascii="Times New Roman" w:hAnsi="Times New Roman"/>
                <w:b/>
                <w:bCs/>
                <w:color w:val="000000"/>
                <w:sz w:val="16"/>
                <w:szCs w:val="16"/>
              </w:rPr>
              <w:t>Буџет 2025</w:t>
            </w:r>
          </w:p>
        </w:tc>
        <w:tc>
          <w:tcPr>
            <w:tcW w:w="1028" w:type="dxa"/>
            <w:tcBorders>
              <w:top w:val="single" w:sz="4" w:space="0" w:color="auto"/>
              <w:left w:val="nil"/>
              <w:bottom w:val="single" w:sz="4" w:space="0" w:color="auto"/>
              <w:right w:val="single" w:sz="4" w:space="0" w:color="auto"/>
            </w:tcBorders>
            <w:vAlign w:val="center"/>
            <w:hideMark/>
          </w:tcPr>
          <w:p w14:paraId="3FA03550" w14:textId="77777777" w:rsidR="0090740B" w:rsidRPr="00C531A2" w:rsidRDefault="0090740B" w:rsidP="00725D9F">
            <w:pPr>
              <w:jc w:val="center"/>
              <w:rPr>
                <w:rFonts w:ascii="Times New Roman" w:hAnsi="Times New Roman"/>
                <w:b/>
                <w:bCs/>
                <w:color w:val="000000"/>
                <w:sz w:val="16"/>
                <w:szCs w:val="16"/>
              </w:rPr>
            </w:pPr>
            <w:r w:rsidRPr="00C531A2">
              <w:rPr>
                <w:rFonts w:ascii="Times New Roman" w:hAnsi="Times New Roman"/>
                <w:b/>
                <w:bCs/>
                <w:color w:val="000000"/>
                <w:sz w:val="16"/>
                <w:szCs w:val="16"/>
              </w:rPr>
              <w:t>Процена 2025</w:t>
            </w:r>
          </w:p>
        </w:tc>
        <w:tc>
          <w:tcPr>
            <w:tcW w:w="1028" w:type="dxa"/>
            <w:tcBorders>
              <w:top w:val="single" w:sz="4" w:space="0" w:color="auto"/>
              <w:left w:val="nil"/>
              <w:bottom w:val="single" w:sz="4" w:space="0" w:color="auto"/>
              <w:right w:val="single" w:sz="4" w:space="0" w:color="auto"/>
            </w:tcBorders>
            <w:vAlign w:val="center"/>
            <w:hideMark/>
          </w:tcPr>
          <w:p w14:paraId="002A1DE6" w14:textId="77777777" w:rsidR="0090740B" w:rsidRPr="00C531A2" w:rsidRDefault="0090740B" w:rsidP="00725D9F">
            <w:pPr>
              <w:jc w:val="center"/>
              <w:rPr>
                <w:rFonts w:ascii="Times New Roman" w:hAnsi="Times New Roman"/>
                <w:b/>
                <w:bCs/>
                <w:color w:val="000000"/>
                <w:sz w:val="16"/>
                <w:szCs w:val="16"/>
              </w:rPr>
            </w:pPr>
            <w:r w:rsidRPr="00C531A2">
              <w:rPr>
                <w:rFonts w:ascii="Times New Roman" w:hAnsi="Times New Roman"/>
                <w:b/>
                <w:bCs/>
                <w:color w:val="000000"/>
                <w:sz w:val="16"/>
                <w:szCs w:val="16"/>
              </w:rPr>
              <w:t>Буџет 2026</w:t>
            </w:r>
          </w:p>
        </w:tc>
        <w:tc>
          <w:tcPr>
            <w:tcW w:w="1027" w:type="dxa"/>
            <w:tcBorders>
              <w:top w:val="single" w:sz="4" w:space="0" w:color="auto"/>
              <w:left w:val="nil"/>
              <w:bottom w:val="single" w:sz="4" w:space="0" w:color="auto"/>
              <w:right w:val="single" w:sz="4" w:space="0" w:color="auto"/>
            </w:tcBorders>
            <w:vAlign w:val="center"/>
            <w:hideMark/>
          </w:tcPr>
          <w:p w14:paraId="6AC9C03E" w14:textId="77777777" w:rsidR="0090740B" w:rsidRPr="00C531A2" w:rsidRDefault="0090740B" w:rsidP="00725D9F">
            <w:pPr>
              <w:jc w:val="center"/>
              <w:rPr>
                <w:rFonts w:ascii="Times New Roman" w:hAnsi="Times New Roman"/>
                <w:b/>
                <w:bCs/>
                <w:color w:val="000000"/>
                <w:sz w:val="16"/>
                <w:szCs w:val="16"/>
              </w:rPr>
            </w:pPr>
            <w:r w:rsidRPr="00C531A2">
              <w:rPr>
                <w:rFonts w:ascii="Times New Roman" w:hAnsi="Times New Roman"/>
                <w:b/>
                <w:bCs/>
                <w:color w:val="000000"/>
                <w:sz w:val="16"/>
                <w:szCs w:val="16"/>
              </w:rPr>
              <w:t xml:space="preserve">Индекс буџет 2026/  буџет 2025 </w:t>
            </w:r>
          </w:p>
        </w:tc>
        <w:tc>
          <w:tcPr>
            <w:tcW w:w="1028" w:type="dxa"/>
            <w:tcBorders>
              <w:top w:val="single" w:sz="4" w:space="0" w:color="auto"/>
              <w:left w:val="nil"/>
              <w:bottom w:val="single" w:sz="4" w:space="0" w:color="auto"/>
              <w:right w:val="single" w:sz="4" w:space="0" w:color="auto"/>
            </w:tcBorders>
            <w:vAlign w:val="center"/>
            <w:hideMark/>
          </w:tcPr>
          <w:p w14:paraId="58E0F380" w14:textId="77777777" w:rsidR="0090740B" w:rsidRPr="00C531A2" w:rsidRDefault="0090740B" w:rsidP="00725D9F">
            <w:pPr>
              <w:jc w:val="center"/>
              <w:rPr>
                <w:rFonts w:ascii="Times New Roman" w:hAnsi="Times New Roman"/>
                <w:b/>
                <w:bCs/>
                <w:color w:val="000000"/>
                <w:sz w:val="16"/>
                <w:szCs w:val="16"/>
              </w:rPr>
            </w:pPr>
            <w:r w:rsidRPr="00C531A2">
              <w:rPr>
                <w:rFonts w:ascii="Times New Roman" w:hAnsi="Times New Roman"/>
                <w:b/>
                <w:bCs/>
                <w:color w:val="000000"/>
                <w:sz w:val="16"/>
                <w:szCs w:val="16"/>
              </w:rPr>
              <w:t>Индекс буџет 2026/</w:t>
            </w:r>
          </w:p>
          <w:p w14:paraId="48EA49CB" w14:textId="77777777" w:rsidR="0090740B" w:rsidRPr="00C531A2" w:rsidRDefault="0090740B" w:rsidP="00725D9F">
            <w:pPr>
              <w:jc w:val="center"/>
              <w:rPr>
                <w:rFonts w:ascii="Times New Roman" w:hAnsi="Times New Roman"/>
                <w:b/>
                <w:bCs/>
                <w:color w:val="000000"/>
                <w:sz w:val="16"/>
                <w:szCs w:val="16"/>
              </w:rPr>
            </w:pPr>
            <w:r w:rsidRPr="00C531A2">
              <w:rPr>
                <w:rFonts w:ascii="Times New Roman" w:hAnsi="Times New Roman"/>
                <w:b/>
                <w:bCs/>
                <w:color w:val="000000"/>
                <w:sz w:val="16"/>
                <w:szCs w:val="16"/>
              </w:rPr>
              <w:t xml:space="preserve">процена 2025 </w:t>
            </w:r>
          </w:p>
        </w:tc>
        <w:tc>
          <w:tcPr>
            <w:tcW w:w="1028" w:type="dxa"/>
            <w:tcBorders>
              <w:top w:val="single" w:sz="4" w:space="0" w:color="auto"/>
              <w:left w:val="nil"/>
              <w:bottom w:val="single" w:sz="4" w:space="0" w:color="auto"/>
              <w:right w:val="single" w:sz="4" w:space="0" w:color="auto"/>
            </w:tcBorders>
            <w:vAlign w:val="center"/>
            <w:hideMark/>
          </w:tcPr>
          <w:p w14:paraId="5F1DD7D9" w14:textId="77777777" w:rsidR="0090740B" w:rsidRPr="00C531A2" w:rsidRDefault="0090740B" w:rsidP="00725D9F">
            <w:pPr>
              <w:jc w:val="center"/>
              <w:rPr>
                <w:rFonts w:ascii="Times New Roman" w:hAnsi="Times New Roman"/>
                <w:b/>
                <w:bCs/>
                <w:color w:val="000000"/>
                <w:sz w:val="16"/>
                <w:szCs w:val="16"/>
              </w:rPr>
            </w:pPr>
            <w:r w:rsidRPr="00C531A2">
              <w:rPr>
                <w:rFonts w:ascii="Times New Roman" w:hAnsi="Times New Roman"/>
                <w:b/>
                <w:bCs/>
                <w:color w:val="000000"/>
                <w:sz w:val="16"/>
                <w:szCs w:val="16"/>
              </w:rPr>
              <w:t>Структура прихода   2025, у %</w:t>
            </w:r>
          </w:p>
        </w:tc>
        <w:tc>
          <w:tcPr>
            <w:tcW w:w="1028" w:type="dxa"/>
            <w:tcBorders>
              <w:top w:val="single" w:sz="4" w:space="0" w:color="auto"/>
              <w:left w:val="nil"/>
              <w:bottom w:val="single" w:sz="4" w:space="0" w:color="auto"/>
              <w:right w:val="single" w:sz="4" w:space="0" w:color="auto"/>
            </w:tcBorders>
            <w:vAlign w:val="center"/>
            <w:hideMark/>
          </w:tcPr>
          <w:p w14:paraId="16EE7747" w14:textId="77777777" w:rsidR="0090740B" w:rsidRPr="00C531A2" w:rsidRDefault="0090740B" w:rsidP="00725D9F">
            <w:pPr>
              <w:jc w:val="center"/>
              <w:rPr>
                <w:rFonts w:ascii="Times New Roman" w:hAnsi="Times New Roman"/>
                <w:b/>
                <w:bCs/>
                <w:color w:val="000000"/>
                <w:sz w:val="16"/>
                <w:szCs w:val="16"/>
              </w:rPr>
            </w:pPr>
            <w:r w:rsidRPr="00C531A2">
              <w:rPr>
                <w:rFonts w:ascii="Times New Roman" w:hAnsi="Times New Roman"/>
                <w:b/>
                <w:bCs/>
                <w:color w:val="000000"/>
                <w:sz w:val="16"/>
                <w:szCs w:val="16"/>
              </w:rPr>
              <w:t>Структура прихода  2026, у %</w:t>
            </w:r>
          </w:p>
        </w:tc>
      </w:tr>
      <w:tr w:rsidR="0090740B" w:rsidRPr="00C531A2" w14:paraId="6DA6562F" w14:textId="77777777" w:rsidTr="00725D9F">
        <w:trPr>
          <w:trHeight w:val="22"/>
        </w:trPr>
        <w:tc>
          <w:tcPr>
            <w:tcW w:w="1927" w:type="dxa"/>
            <w:tcBorders>
              <w:top w:val="nil"/>
              <w:left w:val="single" w:sz="4" w:space="0" w:color="auto"/>
              <w:bottom w:val="single" w:sz="4" w:space="0" w:color="auto"/>
              <w:right w:val="single" w:sz="4" w:space="0" w:color="auto"/>
            </w:tcBorders>
            <w:vAlign w:val="bottom"/>
            <w:hideMark/>
          </w:tcPr>
          <w:p w14:paraId="416CD46B" w14:textId="77777777" w:rsidR="0090740B" w:rsidRPr="00C531A2" w:rsidRDefault="0090740B" w:rsidP="00725D9F">
            <w:pPr>
              <w:rPr>
                <w:rFonts w:ascii="Times New Roman" w:hAnsi="Times New Roman"/>
                <w:b/>
                <w:bCs/>
                <w:color w:val="000000"/>
                <w:sz w:val="16"/>
                <w:szCs w:val="16"/>
              </w:rPr>
            </w:pPr>
            <w:r w:rsidRPr="00C531A2">
              <w:rPr>
                <w:rFonts w:ascii="Times New Roman" w:hAnsi="Times New Roman"/>
                <w:b/>
                <w:bCs/>
                <w:color w:val="000000"/>
                <w:sz w:val="16"/>
                <w:szCs w:val="16"/>
              </w:rPr>
              <w:t>Укупно</w:t>
            </w:r>
          </w:p>
        </w:tc>
        <w:tc>
          <w:tcPr>
            <w:tcW w:w="1027" w:type="dxa"/>
            <w:tcBorders>
              <w:top w:val="nil"/>
              <w:left w:val="nil"/>
              <w:bottom w:val="single" w:sz="4" w:space="0" w:color="auto"/>
              <w:right w:val="single" w:sz="4" w:space="0" w:color="auto"/>
            </w:tcBorders>
            <w:noWrap/>
            <w:vAlign w:val="bottom"/>
            <w:hideMark/>
          </w:tcPr>
          <w:p w14:paraId="071DF57A" w14:textId="77777777" w:rsidR="0090740B" w:rsidRPr="00C531A2" w:rsidRDefault="0090740B" w:rsidP="00725D9F">
            <w:pPr>
              <w:jc w:val="right"/>
              <w:rPr>
                <w:rFonts w:ascii="Times New Roman" w:hAnsi="Times New Roman"/>
                <w:b/>
                <w:bCs/>
                <w:color w:val="000000"/>
                <w:sz w:val="16"/>
                <w:szCs w:val="16"/>
              </w:rPr>
            </w:pPr>
            <w:r w:rsidRPr="00C531A2">
              <w:rPr>
                <w:rFonts w:ascii="Times New Roman" w:hAnsi="Times New Roman"/>
                <w:b/>
                <w:bCs/>
                <w:color w:val="000000"/>
                <w:sz w:val="16"/>
                <w:szCs w:val="16"/>
              </w:rPr>
              <w:t>2.346,2</w:t>
            </w:r>
          </w:p>
        </w:tc>
        <w:tc>
          <w:tcPr>
            <w:tcW w:w="1028" w:type="dxa"/>
            <w:tcBorders>
              <w:top w:val="nil"/>
              <w:left w:val="nil"/>
              <w:bottom w:val="single" w:sz="4" w:space="0" w:color="auto"/>
              <w:right w:val="single" w:sz="4" w:space="0" w:color="auto"/>
            </w:tcBorders>
            <w:noWrap/>
            <w:vAlign w:val="bottom"/>
            <w:hideMark/>
          </w:tcPr>
          <w:p w14:paraId="235EEC50" w14:textId="77777777" w:rsidR="0090740B" w:rsidRPr="00C531A2" w:rsidRDefault="0090740B" w:rsidP="00725D9F">
            <w:pPr>
              <w:jc w:val="right"/>
              <w:rPr>
                <w:rFonts w:ascii="Times New Roman" w:hAnsi="Times New Roman"/>
                <w:b/>
                <w:bCs/>
                <w:color w:val="000000"/>
                <w:sz w:val="16"/>
                <w:szCs w:val="16"/>
              </w:rPr>
            </w:pPr>
            <w:r w:rsidRPr="00C531A2">
              <w:rPr>
                <w:rFonts w:ascii="Times New Roman" w:hAnsi="Times New Roman"/>
                <w:b/>
                <w:bCs/>
                <w:color w:val="000000"/>
                <w:sz w:val="16"/>
                <w:szCs w:val="16"/>
              </w:rPr>
              <w:t>2.318,4</w:t>
            </w:r>
          </w:p>
        </w:tc>
        <w:tc>
          <w:tcPr>
            <w:tcW w:w="1028" w:type="dxa"/>
            <w:tcBorders>
              <w:top w:val="nil"/>
              <w:left w:val="nil"/>
              <w:bottom w:val="single" w:sz="4" w:space="0" w:color="auto"/>
              <w:right w:val="single" w:sz="4" w:space="0" w:color="auto"/>
            </w:tcBorders>
            <w:noWrap/>
            <w:vAlign w:val="bottom"/>
            <w:hideMark/>
          </w:tcPr>
          <w:p w14:paraId="0B9C8C3D" w14:textId="77777777" w:rsidR="0090740B" w:rsidRPr="00C531A2" w:rsidRDefault="0090740B" w:rsidP="00725D9F">
            <w:pPr>
              <w:jc w:val="right"/>
              <w:rPr>
                <w:rFonts w:ascii="Times New Roman" w:hAnsi="Times New Roman"/>
                <w:b/>
                <w:bCs/>
                <w:color w:val="000000"/>
                <w:sz w:val="16"/>
                <w:szCs w:val="16"/>
              </w:rPr>
            </w:pPr>
            <w:r w:rsidRPr="00C531A2">
              <w:rPr>
                <w:rFonts w:ascii="Times New Roman" w:hAnsi="Times New Roman"/>
                <w:b/>
                <w:bCs/>
                <w:color w:val="000000"/>
                <w:sz w:val="16"/>
                <w:szCs w:val="16"/>
              </w:rPr>
              <w:t>2.414,7</w:t>
            </w:r>
          </w:p>
        </w:tc>
        <w:tc>
          <w:tcPr>
            <w:tcW w:w="1027" w:type="dxa"/>
            <w:tcBorders>
              <w:top w:val="nil"/>
              <w:left w:val="nil"/>
              <w:bottom w:val="single" w:sz="4" w:space="0" w:color="auto"/>
              <w:right w:val="single" w:sz="4" w:space="0" w:color="auto"/>
            </w:tcBorders>
            <w:noWrap/>
            <w:vAlign w:val="bottom"/>
            <w:hideMark/>
          </w:tcPr>
          <w:p w14:paraId="0FBCA51A" w14:textId="77777777" w:rsidR="0090740B" w:rsidRPr="00C531A2" w:rsidRDefault="0090740B" w:rsidP="00725D9F">
            <w:pPr>
              <w:jc w:val="right"/>
              <w:rPr>
                <w:rFonts w:ascii="Times New Roman" w:hAnsi="Times New Roman"/>
                <w:b/>
                <w:bCs/>
                <w:color w:val="000000"/>
                <w:sz w:val="16"/>
                <w:szCs w:val="16"/>
              </w:rPr>
            </w:pPr>
            <w:r w:rsidRPr="00C531A2">
              <w:rPr>
                <w:rFonts w:ascii="Times New Roman" w:hAnsi="Times New Roman"/>
                <w:b/>
                <w:bCs/>
                <w:color w:val="000000"/>
                <w:sz w:val="16"/>
                <w:szCs w:val="16"/>
              </w:rPr>
              <w:t>102,9</w:t>
            </w:r>
          </w:p>
        </w:tc>
        <w:tc>
          <w:tcPr>
            <w:tcW w:w="1028" w:type="dxa"/>
            <w:tcBorders>
              <w:top w:val="nil"/>
              <w:left w:val="nil"/>
              <w:bottom w:val="single" w:sz="4" w:space="0" w:color="auto"/>
              <w:right w:val="single" w:sz="4" w:space="0" w:color="auto"/>
            </w:tcBorders>
            <w:noWrap/>
            <w:vAlign w:val="bottom"/>
            <w:hideMark/>
          </w:tcPr>
          <w:p w14:paraId="53169EFA" w14:textId="77777777" w:rsidR="0090740B" w:rsidRPr="00C531A2" w:rsidRDefault="0090740B" w:rsidP="00725D9F">
            <w:pPr>
              <w:jc w:val="right"/>
              <w:rPr>
                <w:rFonts w:ascii="Times New Roman" w:hAnsi="Times New Roman"/>
                <w:b/>
                <w:bCs/>
                <w:color w:val="000000"/>
                <w:sz w:val="16"/>
                <w:szCs w:val="16"/>
              </w:rPr>
            </w:pPr>
            <w:r w:rsidRPr="00C531A2">
              <w:rPr>
                <w:rFonts w:ascii="Times New Roman" w:hAnsi="Times New Roman"/>
                <w:b/>
                <w:bCs/>
                <w:color w:val="000000"/>
                <w:sz w:val="16"/>
                <w:szCs w:val="16"/>
              </w:rPr>
              <w:t>104,2</w:t>
            </w:r>
          </w:p>
        </w:tc>
        <w:tc>
          <w:tcPr>
            <w:tcW w:w="1028" w:type="dxa"/>
            <w:tcBorders>
              <w:top w:val="nil"/>
              <w:left w:val="nil"/>
              <w:bottom w:val="single" w:sz="4" w:space="0" w:color="auto"/>
              <w:right w:val="single" w:sz="4" w:space="0" w:color="auto"/>
            </w:tcBorders>
            <w:noWrap/>
            <w:vAlign w:val="bottom"/>
            <w:hideMark/>
          </w:tcPr>
          <w:p w14:paraId="25DDB011" w14:textId="77777777" w:rsidR="0090740B" w:rsidRPr="00C531A2" w:rsidRDefault="0090740B" w:rsidP="00725D9F">
            <w:pPr>
              <w:jc w:val="right"/>
              <w:rPr>
                <w:rFonts w:ascii="Times New Roman" w:hAnsi="Times New Roman"/>
                <w:b/>
                <w:bCs/>
                <w:color w:val="000000"/>
                <w:sz w:val="16"/>
                <w:szCs w:val="16"/>
              </w:rPr>
            </w:pPr>
            <w:r w:rsidRPr="00C531A2">
              <w:rPr>
                <w:rFonts w:ascii="Times New Roman" w:hAnsi="Times New Roman"/>
                <w:b/>
                <w:bCs/>
                <w:color w:val="000000"/>
                <w:sz w:val="16"/>
                <w:szCs w:val="16"/>
              </w:rPr>
              <w:t>100,0</w:t>
            </w:r>
          </w:p>
        </w:tc>
        <w:tc>
          <w:tcPr>
            <w:tcW w:w="1028" w:type="dxa"/>
            <w:tcBorders>
              <w:top w:val="nil"/>
              <w:left w:val="nil"/>
              <w:bottom w:val="single" w:sz="4" w:space="0" w:color="auto"/>
              <w:right w:val="single" w:sz="4" w:space="0" w:color="auto"/>
            </w:tcBorders>
            <w:noWrap/>
            <w:vAlign w:val="bottom"/>
            <w:hideMark/>
          </w:tcPr>
          <w:p w14:paraId="44B84E72" w14:textId="77777777" w:rsidR="0090740B" w:rsidRPr="00C531A2" w:rsidRDefault="0090740B" w:rsidP="00725D9F">
            <w:pPr>
              <w:jc w:val="right"/>
              <w:rPr>
                <w:rFonts w:ascii="Times New Roman" w:hAnsi="Times New Roman"/>
                <w:b/>
                <w:bCs/>
                <w:color w:val="000000"/>
                <w:sz w:val="16"/>
                <w:szCs w:val="16"/>
              </w:rPr>
            </w:pPr>
            <w:r w:rsidRPr="00C531A2">
              <w:rPr>
                <w:rFonts w:ascii="Times New Roman" w:hAnsi="Times New Roman"/>
                <w:b/>
                <w:bCs/>
                <w:color w:val="000000"/>
                <w:sz w:val="16"/>
                <w:szCs w:val="16"/>
              </w:rPr>
              <w:t>100,0</w:t>
            </w:r>
          </w:p>
        </w:tc>
      </w:tr>
      <w:tr w:rsidR="0090740B" w:rsidRPr="00C531A2" w14:paraId="7C15308F" w14:textId="77777777" w:rsidTr="00725D9F">
        <w:trPr>
          <w:trHeight w:val="22"/>
        </w:trPr>
        <w:tc>
          <w:tcPr>
            <w:tcW w:w="1927" w:type="dxa"/>
            <w:tcBorders>
              <w:top w:val="nil"/>
              <w:left w:val="single" w:sz="4" w:space="0" w:color="auto"/>
              <w:bottom w:val="single" w:sz="4" w:space="0" w:color="auto"/>
              <w:right w:val="single" w:sz="4" w:space="0" w:color="auto"/>
            </w:tcBorders>
            <w:vAlign w:val="bottom"/>
            <w:hideMark/>
          </w:tcPr>
          <w:p w14:paraId="2145430F" w14:textId="77777777" w:rsidR="0090740B" w:rsidRPr="00C531A2" w:rsidRDefault="0090740B" w:rsidP="00725D9F">
            <w:pPr>
              <w:rPr>
                <w:rFonts w:ascii="Times New Roman" w:hAnsi="Times New Roman"/>
                <w:b/>
                <w:bCs/>
                <w:sz w:val="16"/>
                <w:szCs w:val="16"/>
              </w:rPr>
            </w:pPr>
            <w:r w:rsidRPr="00C531A2">
              <w:rPr>
                <w:rFonts w:ascii="Times New Roman" w:hAnsi="Times New Roman"/>
                <w:b/>
                <w:bCs/>
                <w:sz w:val="16"/>
                <w:szCs w:val="16"/>
              </w:rPr>
              <w:t xml:space="preserve"> Порески приходи</w:t>
            </w:r>
          </w:p>
        </w:tc>
        <w:tc>
          <w:tcPr>
            <w:tcW w:w="1027" w:type="dxa"/>
            <w:tcBorders>
              <w:top w:val="nil"/>
              <w:left w:val="nil"/>
              <w:bottom w:val="single" w:sz="4" w:space="0" w:color="auto"/>
              <w:right w:val="single" w:sz="4" w:space="0" w:color="auto"/>
            </w:tcBorders>
            <w:noWrap/>
            <w:vAlign w:val="bottom"/>
            <w:hideMark/>
          </w:tcPr>
          <w:p w14:paraId="792A6532" w14:textId="77777777" w:rsidR="0090740B" w:rsidRPr="00C531A2" w:rsidRDefault="0090740B" w:rsidP="00725D9F">
            <w:pPr>
              <w:jc w:val="right"/>
              <w:rPr>
                <w:rFonts w:ascii="Times New Roman" w:hAnsi="Times New Roman"/>
                <w:b/>
                <w:bCs/>
                <w:color w:val="000000"/>
                <w:sz w:val="16"/>
                <w:szCs w:val="16"/>
              </w:rPr>
            </w:pPr>
            <w:r w:rsidRPr="00C531A2">
              <w:rPr>
                <w:rFonts w:ascii="Times New Roman" w:hAnsi="Times New Roman"/>
                <w:b/>
                <w:bCs/>
                <w:color w:val="000000"/>
                <w:sz w:val="16"/>
                <w:szCs w:val="16"/>
              </w:rPr>
              <w:t>1.985,1</w:t>
            </w:r>
          </w:p>
        </w:tc>
        <w:tc>
          <w:tcPr>
            <w:tcW w:w="1028" w:type="dxa"/>
            <w:tcBorders>
              <w:top w:val="nil"/>
              <w:left w:val="nil"/>
              <w:bottom w:val="single" w:sz="4" w:space="0" w:color="auto"/>
              <w:right w:val="single" w:sz="4" w:space="0" w:color="auto"/>
            </w:tcBorders>
            <w:noWrap/>
            <w:vAlign w:val="bottom"/>
            <w:hideMark/>
          </w:tcPr>
          <w:p w14:paraId="6A792BB1" w14:textId="77777777" w:rsidR="0090740B" w:rsidRPr="00C531A2" w:rsidRDefault="0090740B" w:rsidP="00725D9F">
            <w:pPr>
              <w:jc w:val="right"/>
              <w:rPr>
                <w:rFonts w:ascii="Times New Roman" w:hAnsi="Times New Roman"/>
                <w:b/>
                <w:bCs/>
                <w:color w:val="000000"/>
                <w:sz w:val="16"/>
                <w:szCs w:val="16"/>
              </w:rPr>
            </w:pPr>
            <w:r w:rsidRPr="00C531A2">
              <w:rPr>
                <w:rFonts w:ascii="Times New Roman" w:hAnsi="Times New Roman"/>
                <w:b/>
                <w:bCs/>
                <w:color w:val="000000"/>
                <w:sz w:val="16"/>
                <w:szCs w:val="16"/>
              </w:rPr>
              <w:t>1.953,4</w:t>
            </w:r>
          </w:p>
        </w:tc>
        <w:tc>
          <w:tcPr>
            <w:tcW w:w="1028" w:type="dxa"/>
            <w:tcBorders>
              <w:top w:val="nil"/>
              <w:left w:val="nil"/>
              <w:bottom w:val="single" w:sz="4" w:space="0" w:color="auto"/>
              <w:right w:val="single" w:sz="4" w:space="0" w:color="auto"/>
            </w:tcBorders>
            <w:noWrap/>
            <w:vAlign w:val="bottom"/>
            <w:hideMark/>
          </w:tcPr>
          <w:p w14:paraId="458E214F" w14:textId="77777777" w:rsidR="0090740B" w:rsidRPr="00C531A2" w:rsidRDefault="0090740B" w:rsidP="00725D9F">
            <w:pPr>
              <w:jc w:val="right"/>
              <w:rPr>
                <w:rFonts w:ascii="Times New Roman" w:hAnsi="Times New Roman"/>
                <w:b/>
                <w:bCs/>
                <w:color w:val="000000"/>
                <w:sz w:val="16"/>
                <w:szCs w:val="16"/>
              </w:rPr>
            </w:pPr>
            <w:r w:rsidRPr="00C531A2">
              <w:rPr>
                <w:rFonts w:ascii="Times New Roman" w:hAnsi="Times New Roman"/>
                <w:b/>
                <w:bCs/>
                <w:color w:val="000000"/>
                <w:sz w:val="16"/>
                <w:szCs w:val="16"/>
              </w:rPr>
              <w:t>2.080,0</w:t>
            </w:r>
          </w:p>
        </w:tc>
        <w:tc>
          <w:tcPr>
            <w:tcW w:w="1027" w:type="dxa"/>
            <w:tcBorders>
              <w:top w:val="nil"/>
              <w:left w:val="nil"/>
              <w:bottom w:val="single" w:sz="4" w:space="0" w:color="auto"/>
              <w:right w:val="single" w:sz="4" w:space="0" w:color="auto"/>
            </w:tcBorders>
            <w:noWrap/>
            <w:vAlign w:val="bottom"/>
            <w:hideMark/>
          </w:tcPr>
          <w:p w14:paraId="78A09EC6" w14:textId="77777777" w:rsidR="0090740B" w:rsidRPr="00C531A2" w:rsidRDefault="0090740B" w:rsidP="00725D9F">
            <w:pPr>
              <w:jc w:val="right"/>
              <w:rPr>
                <w:rFonts w:ascii="Times New Roman" w:hAnsi="Times New Roman"/>
                <w:b/>
                <w:bCs/>
                <w:color w:val="000000"/>
                <w:sz w:val="16"/>
                <w:szCs w:val="16"/>
              </w:rPr>
            </w:pPr>
            <w:r w:rsidRPr="00C531A2">
              <w:rPr>
                <w:rFonts w:ascii="Times New Roman" w:hAnsi="Times New Roman"/>
                <w:b/>
                <w:bCs/>
                <w:color w:val="000000"/>
                <w:sz w:val="16"/>
                <w:szCs w:val="16"/>
              </w:rPr>
              <w:t>104,8</w:t>
            </w:r>
          </w:p>
        </w:tc>
        <w:tc>
          <w:tcPr>
            <w:tcW w:w="1028" w:type="dxa"/>
            <w:tcBorders>
              <w:top w:val="nil"/>
              <w:left w:val="nil"/>
              <w:bottom w:val="single" w:sz="4" w:space="0" w:color="auto"/>
              <w:right w:val="single" w:sz="4" w:space="0" w:color="auto"/>
            </w:tcBorders>
            <w:noWrap/>
            <w:vAlign w:val="bottom"/>
            <w:hideMark/>
          </w:tcPr>
          <w:p w14:paraId="44F81248" w14:textId="77777777" w:rsidR="0090740B" w:rsidRPr="00C531A2" w:rsidRDefault="0090740B" w:rsidP="00725D9F">
            <w:pPr>
              <w:jc w:val="right"/>
              <w:rPr>
                <w:rFonts w:ascii="Times New Roman" w:hAnsi="Times New Roman"/>
                <w:b/>
                <w:bCs/>
                <w:color w:val="000000"/>
                <w:sz w:val="16"/>
                <w:szCs w:val="16"/>
              </w:rPr>
            </w:pPr>
            <w:r w:rsidRPr="00C531A2">
              <w:rPr>
                <w:rFonts w:ascii="Times New Roman" w:hAnsi="Times New Roman"/>
                <w:b/>
                <w:bCs/>
                <w:color w:val="000000"/>
                <w:sz w:val="16"/>
                <w:szCs w:val="16"/>
              </w:rPr>
              <w:t>106,5</w:t>
            </w:r>
          </w:p>
        </w:tc>
        <w:tc>
          <w:tcPr>
            <w:tcW w:w="1028" w:type="dxa"/>
            <w:tcBorders>
              <w:top w:val="nil"/>
              <w:left w:val="nil"/>
              <w:bottom w:val="single" w:sz="4" w:space="0" w:color="auto"/>
              <w:right w:val="single" w:sz="4" w:space="0" w:color="auto"/>
            </w:tcBorders>
            <w:noWrap/>
            <w:vAlign w:val="bottom"/>
            <w:hideMark/>
          </w:tcPr>
          <w:p w14:paraId="7BE233D6" w14:textId="77777777" w:rsidR="0090740B" w:rsidRPr="00C531A2" w:rsidRDefault="0090740B" w:rsidP="00725D9F">
            <w:pPr>
              <w:jc w:val="right"/>
              <w:rPr>
                <w:rFonts w:ascii="Times New Roman" w:hAnsi="Times New Roman"/>
                <w:b/>
                <w:bCs/>
                <w:color w:val="000000"/>
                <w:sz w:val="16"/>
                <w:szCs w:val="16"/>
              </w:rPr>
            </w:pPr>
            <w:r w:rsidRPr="00C531A2">
              <w:rPr>
                <w:rFonts w:ascii="Times New Roman" w:hAnsi="Times New Roman"/>
                <w:b/>
                <w:bCs/>
                <w:color w:val="000000"/>
                <w:sz w:val="16"/>
                <w:szCs w:val="16"/>
              </w:rPr>
              <w:t>84,3</w:t>
            </w:r>
          </w:p>
        </w:tc>
        <w:tc>
          <w:tcPr>
            <w:tcW w:w="1028" w:type="dxa"/>
            <w:tcBorders>
              <w:top w:val="nil"/>
              <w:left w:val="nil"/>
              <w:bottom w:val="single" w:sz="4" w:space="0" w:color="auto"/>
              <w:right w:val="single" w:sz="4" w:space="0" w:color="auto"/>
            </w:tcBorders>
            <w:noWrap/>
            <w:vAlign w:val="bottom"/>
            <w:hideMark/>
          </w:tcPr>
          <w:p w14:paraId="2FEB9739" w14:textId="77777777" w:rsidR="0090740B" w:rsidRPr="00C531A2" w:rsidRDefault="0090740B" w:rsidP="00725D9F">
            <w:pPr>
              <w:jc w:val="right"/>
              <w:rPr>
                <w:rFonts w:ascii="Times New Roman" w:hAnsi="Times New Roman"/>
                <w:b/>
                <w:bCs/>
                <w:color w:val="000000"/>
                <w:sz w:val="16"/>
                <w:szCs w:val="16"/>
              </w:rPr>
            </w:pPr>
            <w:r w:rsidRPr="00C531A2">
              <w:rPr>
                <w:rFonts w:ascii="Times New Roman" w:hAnsi="Times New Roman"/>
                <w:b/>
                <w:bCs/>
                <w:color w:val="000000"/>
                <w:sz w:val="16"/>
                <w:szCs w:val="16"/>
              </w:rPr>
              <w:t>86,1</w:t>
            </w:r>
          </w:p>
        </w:tc>
      </w:tr>
      <w:tr w:rsidR="0090740B" w:rsidRPr="00C531A2" w14:paraId="34A8AAE5" w14:textId="77777777" w:rsidTr="00725D9F">
        <w:trPr>
          <w:trHeight w:val="22"/>
        </w:trPr>
        <w:tc>
          <w:tcPr>
            <w:tcW w:w="1927" w:type="dxa"/>
            <w:tcBorders>
              <w:top w:val="nil"/>
              <w:left w:val="single" w:sz="4" w:space="0" w:color="auto"/>
              <w:bottom w:val="single" w:sz="4" w:space="0" w:color="auto"/>
              <w:right w:val="single" w:sz="4" w:space="0" w:color="auto"/>
            </w:tcBorders>
            <w:vAlign w:val="bottom"/>
            <w:hideMark/>
          </w:tcPr>
          <w:p w14:paraId="53F4C965" w14:textId="77777777" w:rsidR="0090740B" w:rsidRPr="00C531A2" w:rsidRDefault="0090740B" w:rsidP="00725D9F">
            <w:pPr>
              <w:rPr>
                <w:rFonts w:ascii="Times New Roman" w:hAnsi="Times New Roman"/>
                <w:sz w:val="16"/>
                <w:szCs w:val="16"/>
              </w:rPr>
            </w:pPr>
            <w:r w:rsidRPr="00C531A2">
              <w:rPr>
                <w:rFonts w:ascii="Times New Roman" w:hAnsi="Times New Roman"/>
                <w:sz w:val="16"/>
                <w:szCs w:val="16"/>
              </w:rPr>
              <w:t xml:space="preserve">  Порез на доходак грађана</w:t>
            </w:r>
          </w:p>
        </w:tc>
        <w:tc>
          <w:tcPr>
            <w:tcW w:w="1027" w:type="dxa"/>
            <w:tcBorders>
              <w:top w:val="nil"/>
              <w:left w:val="nil"/>
              <w:bottom w:val="single" w:sz="4" w:space="0" w:color="auto"/>
              <w:right w:val="single" w:sz="4" w:space="0" w:color="auto"/>
            </w:tcBorders>
            <w:noWrap/>
            <w:vAlign w:val="bottom"/>
            <w:hideMark/>
          </w:tcPr>
          <w:p w14:paraId="70DF13CF" w14:textId="77777777" w:rsidR="0090740B" w:rsidRPr="00C531A2" w:rsidRDefault="0090740B" w:rsidP="00725D9F">
            <w:pPr>
              <w:jc w:val="right"/>
              <w:rPr>
                <w:rFonts w:ascii="Times New Roman" w:hAnsi="Times New Roman"/>
                <w:color w:val="000000"/>
                <w:sz w:val="16"/>
                <w:szCs w:val="16"/>
              </w:rPr>
            </w:pPr>
            <w:r w:rsidRPr="00C531A2">
              <w:rPr>
                <w:rFonts w:ascii="Times New Roman" w:hAnsi="Times New Roman"/>
                <w:color w:val="000000"/>
                <w:sz w:val="16"/>
                <w:szCs w:val="16"/>
              </w:rPr>
              <w:t>138,4</w:t>
            </w:r>
          </w:p>
        </w:tc>
        <w:tc>
          <w:tcPr>
            <w:tcW w:w="1028" w:type="dxa"/>
            <w:tcBorders>
              <w:top w:val="nil"/>
              <w:left w:val="nil"/>
              <w:bottom w:val="single" w:sz="4" w:space="0" w:color="auto"/>
              <w:right w:val="single" w:sz="4" w:space="0" w:color="auto"/>
            </w:tcBorders>
            <w:noWrap/>
            <w:vAlign w:val="bottom"/>
            <w:hideMark/>
          </w:tcPr>
          <w:p w14:paraId="3907F086" w14:textId="77777777" w:rsidR="0090740B" w:rsidRPr="00C531A2" w:rsidRDefault="0090740B" w:rsidP="00725D9F">
            <w:pPr>
              <w:jc w:val="right"/>
              <w:rPr>
                <w:rFonts w:ascii="Times New Roman" w:hAnsi="Times New Roman"/>
                <w:color w:val="000000"/>
                <w:sz w:val="16"/>
                <w:szCs w:val="16"/>
              </w:rPr>
            </w:pPr>
            <w:r w:rsidRPr="00C531A2">
              <w:rPr>
                <w:rFonts w:ascii="Times New Roman" w:hAnsi="Times New Roman"/>
                <w:color w:val="000000"/>
                <w:sz w:val="16"/>
                <w:szCs w:val="16"/>
              </w:rPr>
              <w:t>140,3</w:t>
            </w:r>
          </w:p>
        </w:tc>
        <w:tc>
          <w:tcPr>
            <w:tcW w:w="1028" w:type="dxa"/>
            <w:tcBorders>
              <w:top w:val="nil"/>
              <w:left w:val="nil"/>
              <w:bottom w:val="single" w:sz="4" w:space="0" w:color="auto"/>
              <w:right w:val="single" w:sz="4" w:space="0" w:color="auto"/>
            </w:tcBorders>
            <w:noWrap/>
            <w:vAlign w:val="bottom"/>
            <w:hideMark/>
          </w:tcPr>
          <w:p w14:paraId="00A31622" w14:textId="77777777" w:rsidR="0090740B" w:rsidRPr="00C531A2" w:rsidRDefault="0090740B" w:rsidP="00725D9F">
            <w:pPr>
              <w:jc w:val="right"/>
              <w:rPr>
                <w:rFonts w:ascii="Times New Roman" w:hAnsi="Times New Roman"/>
                <w:color w:val="000000"/>
                <w:sz w:val="16"/>
                <w:szCs w:val="16"/>
              </w:rPr>
            </w:pPr>
            <w:r w:rsidRPr="00C531A2">
              <w:rPr>
                <w:rFonts w:ascii="Times New Roman" w:hAnsi="Times New Roman"/>
                <w:color w:val="000000"/>
                <w:sz w:val="16"/>
                <w:szCs w:val="16"/>
              </w:rPr>
              <w:t>150,5</w:t>
            </w:r>
          </w:p>
        </w:tc>
        <w:tc>
          <w:tcPr>
            <w:tcW w:w="1027" w:type="dxa"/>
            <w:tcBorders>
              <w:top w:val="nil"/>
              <w:left w:val="nil"/>
              <w:bottom w:val="single" w:sz="4" w:space="0" w:color="auto"/>
              <w:right w:val="single" w:sz="4" w:space="0" w:color="auto"/>
            </w:tcBorders>
            <w:noWrap/>
            <w:vAlign w:val="bottom"/>
            <w:hideMark/>
          </w:tcPr>
          <w:p w14:paraId="0B94B47A" w14:textId="77777777" w:rsidR="0090740B" w:rsidRPr="00C531A2" w:rsidRDefault="0090740B" w:rsidP="00725D9F">
            <w:pPr>
              <w:jc w:val="right"/>
              <w:rPr>
                <w:rFonts w:ascii="Times New Roman" w:hAnsi="Times New Roman"/>
                <w:color w:val="000000"/>
                <w:sz w:val="16"/>
                <w:szCs w:val="16"/>
              </w:rPr>
            </w:pPr>
            <w:r w:rsidRPr="00C531A2">
              <w:rPr>
                <w:rFonts w:ascii="Times New Roman" w:hAnsi="Times New Roman"/>
                <w:color w:val="000000"/>
                <w:sz w:val="16"/>
                <w:szCs w:val="16"/>
              </w:rPr>
              <w:t>108,7</w:t>
            </w:r>
          </w:p>
        </w:tc>
        <w:tc>
          <w:tcPr>
            <w:tcW w:w="1028" w:type="dxa"/>
            <w:tcBorders>
              <w:top w:val="nil"/>
              <w:left w:val="nil"/>
              <w:bottom w:val="single" w:sz="4" w:space="0" w:color="auto"/>
              <w:right w:val="single" w:sz="4" w:space="0" w:color="auto"/>
            </w:tcBorders>
            <w:noWrap/>
            <w:vAlign w:val="bottom"/>
            <w:hideMark/>
          </w:tcPr>
          <w:p w14:paraId="62DC608B" w14:textId="77777777" w:rsidR="0090740B" w:rsidRPr="00C531A2" w:rsidRDefault="0090740B" w:rsidP="00725D9F">
            <w:pPr>
              <w:jc w:val="right"/>
              <w:rPr>
                <w:rFonts w:ascii="Times New Roman" w:hAnsi="Times New Roman"/>
                <w:color w:val="000000"/>
                <w:sz w:val="16"/>
                <w:szCs w:val="16"/>
              </w:rPr>
            </w:pPr>
            <w:r w:rsidRPr="00C531A2">
              <w:rPr>
                <w:rFonts w:ascii="Times New Roman" w:hAnsi="Times New Roman"/>
                <w:color w:val="000000"/>
                <w:sz w:val="16"/>
                <w:szCs w:val="16"/>
              </w:rPr>
              <w:t>107,3</w:t>
            </w:r>
          </w:p>
        </w:tc>
        <w:tc>
          <w:tcPr>
            <w:tcW w:w="1028" w:type="dxa"/>
            <w:tcBorders>
              <w:top w:val="nil"/>
              <w:left w:val="nil"/>
              <w:bottom w:val="single" w:sz="4" w:space="0" w:color="auto"/>
              <w:right w:val="single" w:sz="4" w:space="0" w:color="auto"/>
            </w:tcBorders>
            <w:noWrap/>
            <w:vAlign w:val="bottom"/>
            <w:hideMark/>
          </w:tcPr>
          <w:p w14:paraId="3B70B0FD" w14:textId="77777777" w:rsidR="0090740B" w:rsidRPr="00C531A2" w:rsidRDefault="0090740B" w:rsidP="00725D9F">
            <w:pPr>
              <w:jc w:val="right"/>
              <w:rPr>
                <w:rFonts w:ascii="Times New Roman" w:hAnsi="Times New Roman"/>
                <w:color w:val="000000"/>
                <w:sz w:val="16"/>
                <w:szCs w:val="16"/>
              </w:rPr>
            </w:pPr>
            <w:r w:rsidRPr="00C531A2">
              <w:rPr>
                <w:rFonts w:ascii="Times New Roman" w:hAnsi="Times New Roman"/>
                <w:color w:val="000000"/>
                <w:sz w:val="16"/>
                <w:szCs w:val="16"/>
              </w:rPr>
              <w:t>6,1</w:t>
            </w:r>
          </w:p>
        </w:tc>
        <w:tc>
          <w:tcPr>
            <w:tcW w:w="1028" w:type="dxa"/>
            <w:tcBorders>
              <w:top w:val="nil"/>
              <w:left w:val="nil"/>
              <w:bottom w:val="single" w:sz="4" w:space="0" w:color="auto"/>
              <w:right w:val="single" w:sz="4" w:space="0" w:color="auto"/>
            </w:tcBorders>
            <w:noWrap/>
            <w:vAlign w:val="bottom"/>
            <w:hideMark/>
          </w:tcPr>
          <w:p w14:paraId="6D42BF10" w14:textId="77777777" w:rsidR="0090740B" w:rsidRPr="00C531A2" w:rsidRDefault="0090740B" w:rsidP="00725D9F">
            <w:pPr>
              <w:jc w:val="right"/>
              <w:rPr>
                <w:rFonts w:ascii="Times New Roman" w:hAnsi="Times New Roman"/>
                <w:color w:val="000000"/>
                <w:sz w:val="16"/>
                <w:szCs w:val="16"/>
              </w:rPr>
            </w:pPr>
            <w:r w:rsidRPr="00C531A2">
              <w:rPr>
                <w:rFonts w:ascii="Times New Roman" w:hAnsi="Times New Roman"/>
                <w:color w:val="000000"/>
                <w:sz w:val="16"/>
                <w:szCs w:val="16"/>
              </w:rPr>
              <w:t>6,2</w:t>
            </w:r>
          </w:p>
        </w:tc>
      </w:tr>
      <w:tr w:rsidR="0090740B" w:rsidRPr="00C531A2" w14:paraId="2F44AA50" w14:textId="77777777" w:rsidTr="00725D9F">
        <w:trPr>
          <w:trHeight w:val="22"/>
        </w:trPr>
        <w:tc>
          <w:tcPr>
            <w:tcW w:w="1927" w:type="dxa"/>
            <w:tcBorders>
              <w:top w:val="nil"/>
              <w:left w:val="single" w:sz="4" w:space="0" w:color="auto"/>
              <w:bottom w:val="single" w:sz="4" w:space="0" w:color="auto"/>
              <w:right w:val="single" w:sz="4" w:space="0" w:color="auto"/>
            </w:tcBorders>
            <w:vAlign w:val="bottom"/>
            <w:hideMark/>
          </w:tcPr>
          <w:p w14:paraId="45B0E430" w14:textId="77777777" w:rsidR="0090740B" w:rsidRPr="00C531A2" w:rsidRDefault="0090740B" w:rsidP="00725D9F">
            <w:pPr>
              <w:rPr>
                <w:rFonts w:ascii="Times New Roman" w:hAnsi="Times New Roman"/>
                <w:sz w:val="16"/>
                <w:szCs w:val="16"/>
              </w:rPr>
            </w:pPr>
            <w:r w:rsidRPr="00C531A2">
              <w:rPr>
                <w:rFonts w:ascii="Times New Roman" w:hAnsi="Times New Roman"/>
                <w:sz w:val="16"/>
                <w:szCs w:val="16"/>
              </w:rPr>
              <w:t xml:space="preserve">  Порез на добит правних лица</w:t>
            </w:r>
          </w:p>
        </w:tc>
        <w:tc>
          <w:tcPr>
            <w:tcW w:w="1027" w:type="dxa"/>
            <w:tcBorders>
              <w:top w:val="nil"/>
              <w:left w:val="nil"/>
              <w:bottom w:val="single" w:sz="4" w:space="0" w:color="auto"/>
              <w:right w:val="single" w:sz="4" w:space="0" w:color="auto"/>
            </w:tcBorders>
            <w:noWrap/>
            <w:vAlign w:val="bottom"/>
            <w:hideMark/>
          </w:tcPr>
          <w:p w14:paraId="2E2EECD7" w14:textId="77777777" w:rsidR="0090740B" w:rsidRPr="00C531A2" w:rsidRDefault="0090740B" w:rsidP="00725D9F">
            <w:pPr>
              <w:jc w:val="right"/>
              <w:rPr>
                <w:rFonts w:ascii="Times New Roman" w:hAnsi="Times New Roman"/>
                <w:color w:val="000000"/>
                <w:sz w:val="16"/>
                <w:szCs w:val="16"/>
              </w:rPr>
            </w:pPr>
            <w:r w:rsidRPr="00C531A2">
              <w:rPr>
                <w:rFonts w:ascii="Times New Roman" w:hAnsi="Times New Roman"/>
                <w:color w:val="000000"/>
                <w:sz w:val="16"/>
                <w:szCs w:val="16"/>
              </w:rPr>
              <w:t>258,8</w:t>
            </w:r>
          </w:p>
        </w:tc>
        <w:tc>
          <w:tcPr>
            <w:tcW w:w="1028" w:type="dxa"/>
            <w:tcBorders>
              <w:top w:val="nil"/>
              <w:left w:val="nil"/>
              <w:bottom w:val="single" w:sz="4" w:space="0" w:color="auto"/>
              <w:right w:val="single" w:sz="4" w:space="0" w:color="auto"/>
            </w:tcBorders>
            <w:noWrap/>
            <w:vAlign w:val="bottom"/>
            <w:hideMark/>
          </w:tcPr>
          <w:p w14:paraId="5940C10E" w14:textId="77777777" w:rsidR="0090740B" w:rsidRPr="00C531A2" w:rsidRDefault="0090740B" w:rsidP="00725D9F">
            <w:pPr>
              <w:jc w:val="right"/>
              <w:rPr>
                <w:rFonts w:ascii="Times New Roman" w:hAnsi="Times New Roman"/>
                <w:color w:val="000000"/>
                <w:sz w:val="16"/>
                <w:szCs w:val="16"/>
              </w:rPr>
            </w:pPr>
            <w:r w:rsidRPr="00C531A2">
              <w:rPr>
                <w:rFonts w:ascii="Times New Roman" w:hAnsi="Times New Roman"/>
                <w:color w:val="000000"/>
                <w:sz w:val="16"/>
                <w:szCs w:val="16"/>
              </w:rPr>
              <w:t>265,8</w:t>
            </w:r>
          </w:p>
        </w:tc>
        <w:tc>
          <w:tcPr>
            <w:tcW w:w="1028" w:type="dxa"/>
            <w:tcBorders>
              <w:top w:val="nil"/>
              <w:left w:val="nil"/>
              <w:bottom w:val="single" w:sz="4" w:space="0" w:color="auto"/>
              <w:right w:val="single" w:sz="4" w:space="0" w:color="auto"/>
            </w:tcBorders>
            <w:noWrap/>
            <w:vAlign w:val="bottom"/>
            <w:hideMark/>
          </w:tcPr>
          <w:p w14:paraId="243B24D5" w14:textId="77777777" w:rsidR="0090740B" w:rsidRPr="00C531A2" w:rsidRDefault="0090740B" w:rsidP="00725D9F">
            <w:pPr>
              <w:jc w:val="right"/>
              <w:rPr>
                <w:rFonts w:ascii="Times New Roman" w:hAnsi="Times New Roman"/>
                <w:color w:val="000000"/>
                <w:sz w:val="16"/>
                <w:szCs w:val="16"/>
              </w:rPr>
            </w:pPr>
            <w:r w:rsidRPr="00C531A2">
              <w:rPr>
                <w:rFonts w:ascii="Times New Roman" w:hAnsi="Times New Roman"/>
                <w:color w:val="000000"/>
                <w:sz w:val="16"/>
                <w:szCs w:val="16"/>
              </w:rPr>
              <w:t>275,0</w:t>
            </w:r>
          </w:p>
        </w:tc>
        <w:tc>
          <w:tcPr>
            <w:tcW w:w="1027" w:type="dxa"/>
            <w:tcBorders>
              <w:top w:val="nil"/>
              <w:left w:val="nil"/>
              <w:bottom w:val="single" w:sz="4" w:space="0" w:color="auto"/>
              <w:right w:val="single" w:sz="4" w:space="0" w:color="auto"/>
            </w:tcBorders>
            <w:noWrap/>
            <w:vAlign w:val="bottom"/>
            <w:hideMark/>
          </w:tcPr>
          <w:p w14:paraId="0C00C4B1" w14:textId="77777777" w:rsidR="0090740B" w:rsidRPr="00C531A2" w:rsidRDefault="0090740B" w:rsidP="00725D9F">
            <w:pPr>
              <w:jc w:val="right"/>
              <w:rPr>
                <w:rFonts w:ascii="Times New Roman" w:hAnsi="Times New Roman"/>
                <w:color w:val="000000"/>
                <w:sz w:val="16"/>
                <w:szCs w:val="16"/>
              </w:rPr>
            </w:pPr>
            <w:r w:rsidRPr="00C531A2">
              <w:rPr>
                <w:rFonts w:ascii="Times New Roman" w:hAnsi="Times New Roman"/>
                <w:color w:val="000000"/>
                <w:sz w:val="16"/>
                <w:szCs w:val="16"/>
              </w:rPr>
              <w:t>106,3</w:t>
            </w:r>
          </w:p>
        </w:tc>
        <w:tc>
          <w:tcPr>
            <w:tcW w:w="1028" w:type="dxa"/>
            <w:tcBorders>
              <w:top w:val="nil"/>
              <w:left w:val="nil"/>
              <w:bottom w:val="single" w:sz="4" w:space="0" w:color="auto"/>
              <w:right w:val="single" w:sz="4" w:space="0" w:color="auto"/>
            </w:tcBorders>
            <w:noWrap/>
            <w:vAlign w:val="bottom"/>
            <w:hideMark/>
          </w:tcPr>
          <w:p w14:paraId="14866E74" w14:textId="77777777" w:rsidR="0090740B" w:rsidRPr="00C531A2" w:rsidRDefault="0090740B" w:rsidP="00725D9F">
            <w:pPr>
              <w:jc w:val="right"/>
              <w:rPr>
                <w:rFonts w:ascii="Times New Roman" w:hAnsi="Times New Roman"/>
                <w:color w:val="000000"/>
                <w:sz w:val="16"/>
                <w:szCs w:val="16"/>
              </w:rPr>
            </w:pPr>
            <w:r w:rsidRPr="00C531A2">
              <w:rPr>
                <w:rFonts w:ascii="Times New Roman" w:hAnsi="Times New Roman"/>
                <w:color w:val="000000"/>
                <w:sz w:val="16"/>
                <w:szCs w:val="16"/>
              </w:rPr>
              <w:t>103,5</w:t>
            </w:r>
          </w:p>
        </w:tc>
        <w:tc>
          <w:tcPr>
            <w:tcW w:w="1028" w:type="dxa"/>
            <w:tcBorders>
              <w:top w:val="nil"/>
              <w:left w:val="nil"/>
              <w:bottom w:val="single" w:sz="4" w:space="0" w:color="auto"/>
              <w:right w:val="single" w:sz="4" w:space="0" w:color="auto"/>
            </w:tcBorders>
            <w:noWrap/>
            <w:vAlign w:val="bottom"/>
            <w:hideMark/>
          </w:tcPr>
          <w:p w14:paraId="04481BCE" w14:textId="77777777" w:rsidR="0090740B" w:rsidRPr="00C531A2" w:rsidRDefault="0090740B" w:rsidP="00725D9F">
            <w:pPr>
              <w:jc w:val="right"/>
              <w:rPr>
                <w:rFonts w:ascii="Times New Roman" w:hAnsi="Times New Roman"/>
                <w:color w:val="000000"/>
                <w:sz w:val="16"/>
                <w:szCs w:val="16"/>
              </w:rPr>
            </w:pPr>
            <w:r w:rsidRPr="00C531A2">
              <w:rPr>
                <w:rFonts w:ascii="Times New Roman" w:hAnsi="Times New Roman"/>
                <w:color w:val="000000"/>
                <w:sz w:val="16"/>
                <w:szCs w:val="16"/>
              </w:rPr>
              <w:t>11,5</w:t>
            </w:r>
          </w:p>
        </w:tc>
        <w:tc>
          <w:tcPr>
            <w:tcW w:w="1028" w:type="dxa"/>
            <w:tcBorders>
              <w:top w:val="nil"/>
              <w:left w:val="nil"/>
              <w:bottom w:val="single" w:sz="4" w:space="0" w:color="auto"/>
              <w:right w:val="single" w:sz="4" w:space="0" w:color="auto"/>
            </w:tcBorders>
            <w:noWrap/>
            <w:vAlign w:val="bottom"/>
            <w:hideMark/>
          </w:tcPr>
          <w:p w14:paraId="5D5F6222" w14:textId="77777777" w:rsidR="0090740B" w:rsidRPr="00C531A2" w:rsidRDefault="0090740B" w:rsidP="00725D9F">
            <w:pPr>
              <w:jc w:val="right"/>
              <w:rPr>
                <w:rFonts w:ascii="Times New Roman" w:hAnsi="Times New Roman"/>
                <w:color w:val="000000"/>
                <w:sz w:val="16"/>
                <w:szCs w:val="16"/>
              </w:rPr>
            </w:pPr>
            <w:r w:rsidRPr="00C531A2">
              <w:rPr>
                <w:rFonts w:ascii="Times New Roman" w:hAnsi="Times New Roman"/>
                <w:color w:val="000000"/>
                <w:sz w:val="16"/>
                <w:szCs w:val="16"/>
              </w:rPr>
              <w:t>11,4</w:t>
            </w:r>
          </w:p>
        </w:tc>
      </w:tr>
      <w:tr w:rsidR="0090740B" w:rsidRPr="00C531A2" w14:paraId="57370813" w14:textId="77777777" w:rsidTr="00725D9F">
        <w:trPr>
          <w:trHeight w:val="22"/>
        </w:trPr>
        <w:tc>
          <w:tcPr>
            <w:tcW w:w="1927" w:type="dxa"/>
            <w:tcBorders>
              <w:top w:val="nil"/>
              <w:left w:val="single" w:sz="4" w:space="0" w:color="auto"/>
              <w:bottom w:val="single" w:sz="4" w:space="0" w:color="auto"/>
              <w:right w:val="single" w:sz="4" w:space="0" w:color="auto"/>
            </w:tcBorders>
            <w:vAlign w:val="bottom"/>
            <w:hideMark/>
          </w:tcPr>
          <w:p w14:paraId="7846917B" w14:textId="77777777" w:rsidR="0090740B" w:rsidRPr="00C531A2" w:rsidRDefault="0090740B" w:rsidP="00725D9F">
            <w:pPr>
              <w:rPr>
                <w:rFonts w:ascii="Times New Roman" w:hAnsi="Times New Roman"/>
                <w:sz w:val="16"/>
                <w:szCs w:val="16"/>
              </w:rPr>
            </w:pPr>
            <w:r w:rsidRPr="00C531A2">
              <w:rPr>
                <w:rFonts w:ascii="Times New Roman" w:hAnsi="Times New Roman"/>
                <w:sz w:val="16"/>
                <w:szCs w:val="16"/>
              </w:rPr>
              <w:t xml:space="preserve">  Порез на додату вредност</w:t>
            </w:r>
          </w:p>
        </w:tc>
        <w:tc>
          <w:tcPr>
            <w:tcW w:w="1027" w:type="dxa"/>
            <w:tcBorders>
              <w:top w:val="nil"/>
              <w:left w:val="nil"/>
              <w:bottom w:val="single" w:sz="4" w:space="0" w:color="auto"/>
              <w:right w:val="single" w:sz="4" w:space="0" w:color="auto"/>
            </w:tcBorders>
            <w:noWrap/>
            <w:vAlign w:val="bottom"/>
            <w:hideMark/>
          </w:tcPr>
          <w:p w14:paraId="46481465" w14:textId="77777777" w:rsidR="0090740B" w:rsidRPr="00C531A2" w:rsidRDefault="0090740B" w:rsidP="00725D9F">
            <w:pPr>
              <w:jc w:val="right"/>
              <w:rPr>
                <w:rFonts w:ascii="Times New Roman" w:hAnsi="Times New Roman"/>
                <w:color w:val="000000"/>
                <w:sz w:val="16"/>
                <w:szCs w:val="16"/>
              </w:rPr>
            </w:pPr>
            <w:r w:rsidRPr="00C531A2">
              <w:rPr>
                <w:rFonts w:ascii="Times New Roman" w:hAnsi="Times New Roman"/>
                <w:color w:val="000000"/>
                <w:sz w:val="16"/>
                <w:szCs w:val="16"/>
              </w:rPr>
              <w:t>1.056,0</w:t>
            </w:r>
          </w:p>
        </w:tc>
        <w:tc>
          <w:tcPr>
            <w:tcW w:w="1028" w:type="dxa"/>
            <w:tcBorders>
              <w:top w:val="nil"/>
              <w:left w:val="nil"/>
              <w:bottom w:val="single" w:sz="4" w:space="0" w:color="auto"/>
              <w:right w:val="single" w:sz="4" w:space="0" w:color="auto"/>
            </w:tcBorders>
            <w:noWrap/>
            <w:vAlign w:val="bottom"/>
            <w:hideMark/>
          </w:tcPr>
          <w:p w14:paraId="56433225" w14:textId="77777777" w:rsidR="0090740B" w:rsidRPr="00C531A2" w:rsidRDefault="0090740B" w:rsidP="00725D9F">
            <w:pPr>
              <w:jc w:val="right"/>
              <w:rPr>
                <w:rFonts w:ascii="Times New Roman" w:hAnsi="Times New Roman"/>
                <w:color w:val="000000"/>
                <w:sz w:val="16"/>
                <w:szCs w:val="16"/>
              </w:rPr>
            </w:pPr>
            <w:r w:rsidRPr="00C531A2">
              <w:rPr>
                <w:rFonts w:ascii="Times New Roman" w:hAnsi="Times New Roman"/>
                <w:color w:val="000000"/>
                <w:sz w:val="16"/>
                <w:szCs w:val="16"/>
              </w:rPr>
              <w:t>1.002,0</w:t>
            </w:r>
          </w:p>
        </w:tc>
        <w:tc>
          <w:tcPr>
            <w:tcW w:w="1028" w:type="dxa"/>
            <w:tcBorders>
              <w:top w:val="nil"/>
              <w:left w:val="nil"/>
              <w:bottom w:val="single" w:sz="4" w:space="0" w:color="auto"/>
              <w:right w:val="single" w:sz="4" w:space="0" w:color="auto"/>
            </w:tcBorders>
            <w:noWrap/>
            <w:vAlign w:val="bottom"/>
            <w:hideMark/>
          </w:tcPr>
          <w:p w14:paraId="6AE78BE8" w14:textId="77777777" w:rsidR="0090740B" w:rsidRPr="00C531A2" w:rsidRDefault="0090740B" w:rsidP="00725D9F">
            <w:pPr>
              <w:jc w:val="right"/>
              <w:rPr>
                <w:rFonts w:ascii="Times New Roman" w:hAnsi="Times New Roman"/>
                <w:color w:val="000000"/>
                <w:sz w:val="16"/>
                <w:szCs w:val="16"/>
              </w:rPr>
            </w:pPr>
            <w:r w:rsidRPr="00C531A2">
              <w:rPr>
                <w:rFonts w:ascii="Times New Roman" w:hAnsi="Times New Roman"/>
                <w:color w:val="000000"/>
                <w:sz w:val="16"/>
                <w:szCs w:val="16"/>
              </w:rPr>
              <w:t>1.084,0</w:t>
            </w:r>
          </w:p>
        </w:tc>
        <w:tc>
          <w:tcPr>
            <w:tcW w:w="1027" w:type="dxa"/>
            <w:tcBorders>
              <w:top w:val="nil"/>
              <w:left w:val="nil"/>
              <w:bottom w:val="single" w:sz="4" w:space="0" w:color="auto"/>
              <w:right w:val="single" w:sz="4" w:space="0" w:color="auto"/>
            </w:tcBorders>
            <w:noWrap/>
            <w:vAlign w:val="bottom"/>
            <w:hideMark/>
          </w:tcPr>
          <w:p w14:paraId="4FEF34A6" w14:textId="77777777" w:rsidR="0090740B" w:rsidRPr="00C531A2" w:rsidRDefault="0090740B" w:rsidP="00725D9F">
            <w:pPr>
              <w:jc w:val="right"/>
              <w:rPr>
                <w:rFonts w:ascii="Times New Roman" w:hAnsi="Times New Roman"/>
                <w:color w:val="000000"/>
                <w:sz w:val="16"/>
                <w:szCs w:val="16"/>
              </w:rPr>
            </w:pPr>
            <w:r w:rsidRPr="00C531A2">
              <w:rPr>
                <w:rFonts w:ascii="Times New Roman" w:hAnsi="Times New Roman"/>
                <w:color w:val="000000"/>
                <w:sz w:val="16"/>
                <w:szCs w:val="16"/>
              </w:rPr>
              <w:t>102,7</w:t>
            </w:r>
          </w:p>
        </w:tc>
        <w:tc>
          <w:tcPr>
            <w:tcW w:w="1028" w:type="dxa"/>
            <w:tcBorders>
              <w:top w:val="nil"/>
              <w:left w:val="nil"/>
              <w:bottom w:val="single" w:sz="4" w:space="0" w:color="auto"/>
              <w:right w:val="single" w:sz="4" w:space="0" w:color="auto"/>
            </w:tcBorders>
            <w:noWrap/>
            <w:vAlign w:val="bottom"/>
            <w:hideMark/>
          </w:tcPr>
          <w:p w14:paraId="26C39767" w14:textId="77777777" w:rsidR="0090740B" w:rsidRPr="00C531A2" w:rsidRDefault="0090740B" w:rsidP="00725D9F">
            <w:pPr>
              <w:jc w:val="right"/>
              <w:rPr>
                <w:rFonts w:ascii="Times New Roman" w:hAnsi="Times New Roman"/>
                <w:color w:val="000000"/>
                <w:sz w:val="16"/>
                <w:szCs w:val="16"/>
              </w:rPr>
            </w:pPr>
            <w:r w:rsidRPr="00C531A2">
              <w:rPr>
                <w:rFonts w:ascii="Times New Roman" w:hAnsi="Times New Roman"/>
                <w:color w:val="000000"/>
                <w:sz w:val="16"/>
                <w:szCs w:val="16"/>
              </w:rPr>
              <w:t>108,2</w:t>
            </w:r>
          </w:p>
        </w:tc>
        <w:tc>
          <w:tcPr>
            <w:tcW w:w="1028" w:type="dxa"/>
            <w:tcBorders>
              <w:top w:val="nil"/>
              <w:left w:val="nil"/>
              <w:bottom w:val="single" w:sz="4" w:space="0" w:color="auto"/>
              <w:right w:val="single" w:sz="4" w:space="0" w:color="auto"/>
            </w:tcBorders>
            <w:noWrap/>
            <w:vAlign w:val="bottom"/>
            <w:hideMark/>
          </w:tcPr>
          <w:p w14:paraId="38940EC1" w14:textId="77777777" w:rsidR="0090740B" w:rsidRPr="00C531A2" w:rsidRDefault="0090740B" w:rsidP="00725D9F">
            <w:pPr>
              <w:jc w:val="right"/>
              <w:rPr>
                <w:rFonts w:ascii="Times New Roman" w:hAnsi="Times New Roman"/>
                <w:color w:val="000000"/>
                <w:sz w:val="16"/>
                <w:szCs w:val="16"/>
              </w:rPr>
            </w:pPr>
            <w:r w:rsidRPr="00C531A2">
              <w:rPr>
                <w:rFonts w:ascii="Times New Roman" w:hAnsi="Times New Roman"/>
                <w:color w:val="000000"/>
                <w:sz w:val="16"/>
                <w:szCs w:val="16"/>
              </w:rPr>
              <w:t>43,2</w:t>
            </w:r>
          </w:p>
        </w:tc>
        <w:tc>
          <w:tcPr>
            <w:tcW w:w="1028" w:type="dxa"/>
            <w:tcBorders>
              <w:top w:val="nil"/>
              <w:left w:val="nil"/>
              <w:bottom w:val="single" w:sz="4" w:space="0" w:color="auto"/>
              <w:right w:val="single" w:sz="4" w:space="0" w:color="auto"/>
            </w:tcBorders>
            <w:noWrap/>
            <w:vAlign w:val="bottom"/>
            <w:hideMark/>
          </w:tcPr>
          <w:p w14:paraId="2306CEC4" w14:textId="77777777" w:rsidR="0090740B" w:rsidRPr="00C531A2" w:rsidRDefault="0090740B" w:rsidP="00725D9F">
            <w:pPr>
              <w:jc w:val="right"/>
              <w:rPr>
                <w:rFonts w:ascii="Times New Roman" w:hAnsi="Times New Roman"/>
                <w:color w:val="000000"/>
                <w:sz w:val="16"/>
                <w:szCs w:val="16"/>
              </w:rPr>
            </w:pPr>
            <w:r w:rsidRPr="00C531A2">
              <w:rPr>
                <w:rFonts w:ascii="Times New Roman" w:hAnsi="Times New Roman"/>
                <w:color w:val="000000"/>
                <w:sz w:val="16"/>
                <w:szCs w:val="16"/>
              </w:rPr>
              <w:t>44,9</w:t>
            </w:r>
          </w:p>
        </w:tc>
      </w:tr>
      <w:tr w:rsidR="0090740B" w:rsidRPr="00C531A2" w14:paraId="0D3FE946" w14:textId="77777777" w:rsidTr="00725D9F">
        <w:trPr>
          <w:trHeight w:val="22"/>
        </w:trPr>
        <w:tc>
          <w:tcPr>
            <w:tcW w:w="1927" w:type="dxa"/>
            <w:tcBorders>
              <w:top w:val="nil"/>
              <w:left w:val="single" w:sz="4" w:space="0" w:color="auto"/>
              <w:bottom w:val="single" w:sz="4" w:space="0" w:color="auto"/>
              <w:right w:val="single" w:sz="4" w:space="0" w:color="auto"/>
            </w:tcBorders>
            <w:vAlign w:val="bottom"/>
            <w:hideMark/>
          </w:tcPr>
          <w:p w14:paraId="753D96B1" w14:textId="77777777" w:rsidR="0090740B" w:rsidRPr="00C531A2" w:rsidRDefault="0090740B" w:rsidP="00725D9F">
            <w:pPr>
              <w:rPr>
                <w:rFonts w:ascii="Times New Roman" w:hAnsi="Times New Roman"/>
                <w:sz w:val="16"/>
                <w:szCs w:val="16"/>
              </w:rPr>
            </w:pPr>
            <w:r w:rsidRPr="00C531A2">
              <w:rPr>
                <w:rFonts w:ascii="Times New Roman" w:hAnsi="Times New Roman"/>
                <w:sz w:val="16"/>
                <w:szCs w:val="16"/>
              </w:rPr>
              <w:t xml:space="preserve">  Акцизе</w:t>
            </w:r>
          </w:p>
        </w:tc>
        <w:tc>
          <w:tcPr>
            <w:tcW w:w="1027" w:type="dxa"/>
            <w:tcBorders>
              <w:top w:val="nil"/>
              <w:left w:val="nil"/>
              <w:bottom w:val="single" w:sz="4" w:space="0" w:color="auto"/>
              <w:right w:val="single" w:sz="4" w:space="0" w:color="auto"/>
            </w:tcBorders>
            <w:noWrap/>
            <w:vAlign w:val="bottom"/>
            <w:hideMark/>
          </w:tcPr>
          <w:p w14:paraId="56CB03AE" w14:textId="77777777" w:rsidR="0090740B" w:rsidRPr="00C531A2" w:rsidRDefault="0090740B" w:rsidP="00725D9F">
            <w:pPr>
              <w:jc w:val="right"/>
              <w:rPr>
                <w:rFonts w:ascii="Times New Roman" w:hAnsi="Times New Roman"/>
                <w:color w:val="000000"/>
                <w:sz w:val="16"/>
                <w:szCs w:val="16"/>
              </w:rPr>
            </w:pPr>
            <w:r w:rsidRPr="00C531A2">
              <w:rPr>
                <w:rFonts w:ascii="Times New Roman" w:hAnsi="Times New Roman"/>
                <w:color w:val="000000"/>
                <w:sz w:val="16"/>
                <w:szCs w:val="16"/>
              </w:rPr>
              <w:t>420,0</w:t>
            </w:r>
          </w:p>
        </w:tc>
        <w:tc>
          <w:tcPr>
            <w:tcW w:w="1028" w:type="dxa"/>
            <w:tcBorders>
              <w:top w:val="nil"/>
              <w:left w:val="nil"/>
              <w:bottom w:val="single" w:sz="4" w:space="0" w:color="auto"/>
              <w:right w:val="single" w:sz="4" w:space="0" w:color="auto"/>
            </w:tcBorders>
            <w:noWrap/>
            <w:vAlign w:val="bottom"/>
            <w:hideMark/>
          </w:tcPr>
          <w:p w14:paraId="4558FBF5" w14:textId="77777777" w:rsidR="0090740B" w:rsidRPr="00C531A2" w:rsidRDefault="0090740B" w:rsidP="00725D9F">
            <w:pPr>
              <w:jc w:val="right"/>
              <w:rPr>
                <w:rFonts w:ascii="Times New Roman" w:hAnsi="Times New Roman"/>
                <w:color w:val="000000"/>
                <w:sz w:val="16"/>
                <w:szCs w:val="16"/>
              </w:rPr>
            </w:pPr>
            <w:r w:rsidRPr="00C531A2">
              <w:rPr>
                <w:rFonts w:ascii="Times New Roman" w:hAnsi="Times New Roman"/>
                <w:color w:val="000000"/>
                <w:sz w:val="16"/>
                <w:szCs w:val="16"/>
              </w:rPr>
              <w:t>435,3</w:t>
            </w:r>
          </w:p>
        </w:tc>
        <w:tc>
          <w:tcPr>
            <w:tcW w:w="1028" w:type="dxa"/>
            <w:tcBorders>
              <w:top w:val="nil"/>
              <w:left w:val="nil"/>
              <w:bottom w:val="single" w:sz="4" w:space="0" w:color="auto"/>
              <w:right w:val="single" w:sz="4" w:space="0" w:color="auto"/>
            </w:tcBorders>
            <w:noWrap/>
            <w:vAlign w:val="bottom"/>
            <w:hideMark/>
          </w:tcPr>
          <w:p w14:paraId="01C6C65E" w14:textId="77777777" w:rsidR="0090740B" w:rsidRPr="00C531A2" w:rsidRDefault="0090740B" w:rsidP="00725D9F">
            <w:pPr>
              <w:jc w:val="right"/>
              <w:rPr>
                <w:rFonts w:ascii="Times New Roman" w:hAnsi="Times New Roman"/>
                <w:color w:val="000000"/>
                <w:sz w:val="16"/>
                <w:szCs w:val="16"/>
              </w:rPr>
            </w:pPr>
            <w:r w:rsidRPr="00C531A2">
              <w:rPr>
                <w:rFonts w:ascii="Times New Roman" w:hAnsi="Times New Roman"/>
                <w:color w:val="000000"/>
                <w:sz w:val="16"/>
                <w:szCs w:val="16"/>
              </w:rPr>
              <w:t>453,3</w:t>
            </w:r>
          </w:p>
        </w:tc>
        <w:tc>
          <w:tcPr>
            <w:tcW w:w="1027" w:type="dxa"/>
            <w:tcBorders>
              <w:top w:val="nil"/>
              <w:left w:val="nil"/>
              <w:bottom w:val="single" w:sz="4" w:space="0" w:color="auto"/>
              <w:right w:val="single" w:sz="4" w:space="0" w:color="auto"/>
            </w:tcBorders>
            <w:noWrap/>
            <w:vAlign w:val="bottom"/>
            <w:hideMark/>
          </w:tcPr>
          <w:p w14:paraId="41B4A7E4" w14:textId="77777777" w:rsidR="0090740B" w:rsidRPr="00C531A2" w:rsidRDefault="0090740B" w:rsidP="00725D9F">
            <w:pPr>
              <w:jc w:val="right"/>
              <w:rPr>
                <w:rFonts w:ascii="Times New Roman" w:hAnsi="Times New Roman"/>
                <w:color w:val="000000"/>
                <w:sz w:val="16"/>
                <w:szCs w:val="16"/>
              </w:rPr>
            </w:pPr>
            <w:r w:rsidRPr="00C531A2">
              <w:rPr>
                <w:rFonts w:ascii="Times New Roman" w:hAnsi="Times New Roman"/>
                <w:color w:val="000000"/>
                <w:sz w:val="16"/>
                <w:szCs w:val="16"/>
              </w:rPr>
              <w:t>107,9</w:t>
            </w:r>
          </w:p>
        </w:tc>
        <w:tc>
          <w:tcPr>
            <w:tcW w:w="1028" w:type="dxa"/>
            <w:tcBorders>
              <w:top w:val="nil"/>
              <w:left w:val="nil"/>
              <w:bottom w:val="single" w:sz="4" w:space="0" w:color="auto"/>
              <w:right w:val="single" w:sz="4" w:space="0" w:color="auto"/>
            </w:tcBorders>
            <w:noWrap/>
            <w:vAlign w:val="bottom"/>
            <w:hideMark/>
          </w:tcPr>
          <w:p w14:paraId="4A99A1F5" w14:textId="77777777" w:rsidR="0090740B" w:rsidRPr="00C531A2" w:rsidRDefault="0090740B" w:rsidP="00725D9F">
            <w:pPr>
              <w:jc w:val="right"/>
              <w:rPr>
                <w:rFonts w:ascii="Times New Roman" w:hAnsi="Times New Roman"/>
                <w:color w:val="000000"/>
                <w:sz w:val="16"/>
                <w:szCs w:val="16"/>
              </w:rPr>
            </w:pPr>
            <w:r w:rsidRPr="00C531A2">
              <w:rPr>
                <w:rFonts w:ascii="Times New Roman" w:hAnsi="Times New Roman"/>
                <w:color w:val="000000"/>
                <w:sz w:val="16"/>
                <w:szCs w:val="16"/>
              </w:rPr>
              <w:t>104,1</w:t>
            </w:r>
          </w:p>
        </w:tc>
        <w:tc>
          <w:tcPr>
            <w:tcW w:w="1028" w:type="dxa"/>
            <w:tcBorders>
              <w:top w:val="nil"/>
              <w:left w:val="nil"/>
              <w:bottom w:val="single" w:sz="4" w:space="0" w:color="auto"/>
              <w:right w:val="single" w:sz="4" w:space="0" w:color="auto"/>
            </w:tcBorders>
            <w:noWrap/>
            <w:vAlign w:val="bottom"/>
            <w:hideMark/>
          </w:tcPr>
          <w:p w14:paraId="02E71377" w14:textId="77777777" w:rsidR="0090740B" w:rsidRPr="00C531A2" w:rsidRDefault="0090740B" w:rsidP="00725D9F">
            <w:pPr>
              <w:jc w:val="right"/>
              <w:rPr>
                <w:rFonts w:ascii="Times New Roman" w:hAnsi="Times New Roman"/>
                <w:color w:val="000000"/>
                <w:sz w:val="16"/>
                <w:szCs w:val="16"/>
              </w:rPr>
            </w:pPr>
            <w:r w:rsidRPr="00C531A2">
              <w:rPr>
                <w:rFonts w:ascii="Times New Roman" w:hAnsi="Times New Roman"/>
                <w:color w:val="000000"/>
                <w:sz w:val="16"/>
                <w:szCs w:val="16"/>
              </w:rPr>
              <w:t>18,8</w:t>
            </w:r>
          </w:p>
        </w:tc>
        <w:tc>
          <w:tcPr>
            <w:tcW w:w="1028" w:type="dxa"/>
            <w:tcBorders>
              <w:top w:val="nil"/>
              <w:left w:val="nil"/>
              <w:bottom w:val="single" w:sz="4" w:space="0" w:color="auto"/>
              <w:right w:val="single" w:sz="4" w:space="0" w:color="auto"/>
            </w:tcBorders>
            <w:noWrap/>
            <w:vAlign w:val="bottom"/>
            <w:hideMark/>
          </w:tcPr>
          <w:p w14:paraId="75E27F70" w14:textId="77777777" w:rsidR="0090740B" w:rsidRPr="00C531A2" w:rsidRDefault="0090740B" w:rsidP="00725D9F">
            <w:pPr>
              <w:jc w:val="right"/>
              <w:rPr>
                <w:rFonts w:ascii="Times New Roman" w:hAnsi="Times New Roman"/>
                <w:color w:val="000000"/>
                <w:sz w:val="16"/>
                <w:szCs w:val="16"/>
              </w:rPr>
            </w:pPr>
            <w:r w:rsidRPr="00C531A2">
              <w:rPr>
                <w:rFonts w:ascii="Times New Roman" w:hAnsi="Times New Roman"/>
                <w:color w:val="000000"/>
                <w:sz w:val="16"/>
                <w:szCs w:val="16"/>
              </w:rPr>
              <w:t>18,8</w:t>
            </w:r>
          </w:p>
        </w:tc>
      </w:tr>
      <w:tr w:rsidR="0090740B" w:rsidRPr="00C531A2" w14:paraId="54EA480A" w14:textId="77777777" w:rsidTr="00725D9F">
        <w:trPr>
          <w:trHeight w:val="22"/>
        </w:trPr>
        <w:tc>
          <w:tcPr>
            <w:tcW w:w="1927" w:type="dxa"/>
            <w:tcBorders>
              <w:top w:val="nil"/>
              <w:left w:val="single" w:sz="4" w:space="0" w:color="auto"/>
              <w:bottom w:val="single" w:sz="4" w:space="0" w:color="auto"/>
              <w:right w:val="single" w:sz="4" w:space="0" w:color="auto"/>
            </w:tcBorders>
            <w:vAlign w:val="center"/>
            <w:hideMark/>
          </w:tcPr>
          <w:p w14:paraId="67E4D71A" w14:textId="77777777" w:rsidR="0090740B" w:rsidRPr="00C531A2" w:rsidRDefault="0090740B" w:rsidP="00725D9F">
            <w:pPr>
              <w:rPr>
                <w:rFonts w:ascii="Times New Roman" w:hAnsi="Times New Roman"/>
                <w:sz w:val="16"/>
                <w:szCs w:val="16"/>
              </w:rPr>
            </w:pPr>
            <w:r w:rsidRPr="00C531A2">
              <w:rPr>
                <w:rFonts w:ascii="Times New Roman" w:hAnsi="Times New Roman"/>
                <w:sz w:val="16"/>
                <w:szCs w:val="16"/>
              </w:rPr>
              <w:t xml:space="preserve">     - Акцизе на деривате нафте</w:t>
            </w:r>
          </w:p>
        </w:tc>
        <w:tc>
          <w:tcPr>
            <w:tcW w:w="1027" w:type="dxa"/>
            <w:tcBorders>
              <w:top w:val="nil"/>
              <w:left w:val="nil"/>
              <w:bottom w:val="single" w:sz="4" w:space="0" w:color="auto"/>
              <w:right w:val="single" w:sz="4" w:space="0" w:color="auto"/>
            </w:tcBorders>
            <w:noWrap/>
            <w:vAlign w:val="bottom"/>
            <w:hideMark/>
          </w:tcPr>
          <w:p w14:paraId="511CF4E2" w14:textId="77777777" w:rsidR="0090740B" w:rsidRPr="00C531A2" w:rsidRDefault="0090740B" w:rsidP="00725D9F">
            <w:pPr>
              <w:jc w:val="right"/>
              <w:rPr>
                <w:rFonts w:ascii="Times New Roman" w:hAnsi="Times New Roman"/>
                <w:color w:val="000000"/>
                <w:sz w:val="16"/>
                <w:szCs w:val="16"/>
              </w:rPr>
            </w:pPr>
            <w:r w:rsidRPr="00C531A2">
              <w:rPr>
                <w:rFonts w:ascii="Times New Roman" w:hAnsi="Times New Roman"/>
                <w:color w:val="000000"/>
                <w:sz w:val="16"/>
                <w:szCs w:val="16"/>
              </w:rPr>
              <w:t>226,1</w:t>
            </w:r>
          </w:p>
        </w:tc>
        <w:tc>
          <w:tcPr>
            <w:tcW w:w="1028" w:type="dxa"/>
            <w:tcBorders>
              <w:top w:val="nil"/>
              <w:left w:val="nil"/>
              <w:bottom w:val="single" w:sz="4" w:space="0" w:color="auto"/>
              <w:right w:val="single" w:sz="4" w:space="0" w:color="auto"/>
            </w:tcBorders>
            <w:noWrap/>
            <w:vAlign w:val="bottom"/>
            <w:hideMark/>
          </w:tcPr>
          <w:p w14:paraId="5EEB6647" w14:textId="77777777" w:rsidR="0090740B" w:rsidRPr="00C531A2" w:rsidRDefault="0090740B" w:rsidP="00725D9F">
            <w:pPr>
              <w:jc w:val="right"/>
              <w:rPr>
                <w:rFonts w:ascii="Times New Roman" w:hAnsi="Times New Roman"/>
                <w:color w:val="000000"/>
                <w:sz w:val="16"/>
                <w:szCs w:val="16"/>
              </w:rPr>
            </w:pPr>
            <w:r w:rsidRPr="00C531A2">
              <w:rPr>
                <w:rFonts w:ascii="Times New Roman" w:hAnsi="Times New Roman"/>
                <w:color w:val="000000"/>
                <w:sz w:val="16"/>
                <w:szCs w:val="16"/>
              </w:rPr>
              <w:t>235,1</w:t>
            </w:r>
          </w:p>
        </w:tc>
        <w:tc>
          <w:tcPr>
            <w:tcW w:w="1028" w:type="dxa"/>
            <w:tcBorders>
              <w:top w:val="nil"/>
              <w:left w:val="nil"/>
              <w:bottom w:val="single" w:sz="4" w:space="0" w:color="auto"/>
              <w:right w:val="single" w:sz="4" w:space="0" w:color="auto"/>
            </w:tcBorders>
            <w:noWrap/>
            <w:vAlign w:val="bottom"/>
            <w:hideMark/>
          </w:tcPr>
          <w:p w14:paraId="07BFAC61" w14:textId="77777777" w:rsidR="0090740B" w:rsidRPr="00C531A2" w:rsidRDefault="0090740B" w:rsidP="00725D9F">
            <w:pPr>
              <w:jc w:val="right"/>
              <w:rPr>
                <w:rFonts w:ascii="Times New Roman" w:hAnsi="Times New Roman"/>
                <w:color w:val="000000"/>
                <w:sz w:val="16"/>
                <w:szCs w:val="16"/>
              </w:rPr>
            </w:pPr>
            <w:r w:rsidRPr="00C531A2">
              <w:rPr>
                <w:rFonts w:ascii="Times New Roman" w:hAnsi="Times New Roman"/>
                <w:color w:val="000000"/>
                <w:sz w:val="16"/>
                <w:szCs w:val="16"/>
              </w:rPr>
              <w:t>244,0</w:t>
            </w:r>
          </w:p>
        </w:tc>
        <w:tc>
          <w:tcPr>
            <w:tcW w:w="1027" w:type="dxa"/>
            <w:tcBorders>
              <w:top w:val="nil"/>
              <w:left w:val="nil"/>
              <w:bottom w:val="single" w:sz="4" w:space="0" w:color="auto"/>
              <w:right w:val="single" w:sz="4" w:space="0" w:color="auto"/>
            </w:tcBorders>
            <w:noWrap/>
            <w:vAlign w:val="bottom"/>
            <w:hideMark/>
          </w:tcPr>
          <w:p w14:paraId="5F44BF02" w14:textId="77777777" w:rsidR="0090740B" w:rsidRPr="00C531A2" w:rsidRDefault="0090740B" w:rsidP="00725D9F">
            <w:pPr>
              <w:jc w:val="right"/>
              <w:rPr>
                <w:rFonts w:ascii="Times New Roman" w:hAnsi="Times New Roman"/>
                <w:color w:val="000000"/>
                <w:sz w:val="16"/>
                <w:szCs w:val="16"/>
              </w:rPr>
            </w:pPr>
            <w:r w:rsidRPr="00C531A2">
              <w:rPr>
                <w:rFonts w:ascii="Times New Roman" w:hAnsi="Times New Roman"/>
                <w:color w:val="000000"/>
                <w:sz w:val="16"/>
                <w:szCs w:val="16"/>
              </w:rPr>
              <w:t>107,9</w:t>
            </w:r>
          </w:p>
        </w:tc>
        <w:tc>
          <w:tcPr>
            <w:tcW w:w="1028" w:type="dxa"/>
            <w:tcBorders>
              <w:top w:val="nil"/>
              <w:left w:val="nil"/>
              <w:bottom w:val="single" w:sz="4" w:space="0" w:color="auto"/>
              <w:right w:val="single" w:sz="4" w:space="0" w:color="auto"/>
            </w:tcBorders>
            <w:noWrap/>
            <w:vAlign w:val="bottom"/>
            <w:hideMark/>
          </w:tcPr>
          <w:p w14:paraId="6B608B49" w14:textId="77777777" w:rsidR="0090740B" w:rsidRPr="00C531A2" w:rsidRDefault="0090740B" w:rsidP="00725D9F">
            <w:pPr>
              <w:jc w:val="right"/>
              <w:rPr>
                <w:rFonts w:ascii="Times New Roman" w:hAnsi="Times New Roman"/>
                <w:color w:val="000000"/>
                <w:sz w:val="16"/>
                <w:szCs w:val="16"/>
              </w:rPr>
            </w:pPr>
            <w:r w:rsidRPr="00C531A2">
              <w:rPr>
                <w:rFonts w:ascii="Times New Roman" w:hAnsi="Times New Roman"/>
                <w:color w:val="000000"/>
                <w:sz w:val="16"/>
                <w:szCs w:val="16"/>
              </w:rPr>
              <w:t>103,8</w:t>
            </w:r>
          </w:p>
        </w:tc>
        <w:tc>
          <w:tcPr>
            <w:tcW w:w="1028" w:type="dxa"/>
            <w:tcBorders>
              <w:top w:val="nil"/>
              <w:left w:val="nil"/>
              <w:bottom w:val="single" w:sz="4" w:space="0" w:color="auto"/>
              <w:right w:val="single" w:sz="4" w:space="0" w:color="auto"/>
            </w:tcBorders>
            <w:noWrap/>
            <w:vAlign w:val="bottom"/>
            <w:hideMark/>
          </w:tcPr>
          <w:p w14:paraId="71CC6E5F" w14:textId="77777777" w:rsidR="0090740B" w:rsidRPr="00C531A2" w:rsidRDefault="0090740B" w:rsidP="00725D9F">
            <w:pPr>
              <w:jc w:val="right"/>
              <w:rPr>
                <w:rFonts w:ascii="Times New Roman" w:hAnsi="Times New Roman"/>
                <w:color w:val="000000"/>
                <w:sz w:val="16"/>
                <w:szCs w:val="16"/>
              </w:rPr>
            </w:pPr>
            <w:r w:rsidRPr="00C531A2">
              <w:rPr>
                <w:rFonts w:ascii="Times New Roman" w:hAnsi="Times New Roman"/>
                <w:color w:val="000000"/>
                <w:sz w:val="16"/>
                <w:szCs w:val="16"/>
              </w:rPr>
              <w:t>10,1</w:t>
            </w:r>
          </w:p>
        </w:tc>
        <w:tc>
          <w:tcPr>
            <w:tcW w:w="1028" w:type="dxa"/>
            <w:tcBorders>
              <w:top w:val="nil"/>
              <w:left w:val="nil"/>
              <w:bottom w:val="single" w:sz="4" w:space="0" w:color="auto"/>
              <w:right w:val="single" w:sz="4" w:space="0" w:color="auto"/>
            </w:tcBorders>
            <w:noWrap/>
            <w:vAlign w:val="bottom"/>
            <w:hideMark/>
          </w:tcPr>
          <w:p w14:paraId="4AB32048" w14:textId="77777777" w:rsidR="0090740B" w:rsidRPr="00C531A2" w:rsidRDefault="0090740B" w:rsidP="00725D9F">
            <w:pPr>
              <w:jc w:val="right"/>
              <w:rPr>
                <w:rFonts w:ascii="Times New Roman" w:hAnsi="Times New Roman"/>
                <w:color w:val="000000"/>
                <w:sz w:val="16"/>
                <w:szCs w:val="16"/>
              </w:rPr>
            </w:pPr>
            <w:r w:rsidRPr="00C531A2">
              <w:rPr>
                <w:rFonts w:ascii="Times New Roman" w:hAnsi="Times New Roman"/>
                <w:color w:val="000000"/>
                <w:sz w:val="16"/>
                <w:szCs w:val="16"/>
              </w:rPr>
              <w:t>10,1</w:t>
            </w:r>
          </w:p>
        </w:tc>
      </w:tr>
      <w:tr w:rsidR="0090740B" w:rsidRPr="00C531A2" w14:paraId="4EB0941B" w14:textId="77777777" w:rsidTr="00725D9F">
        <w:trPr>
          <w:trHeight w:val="22"/>
        </w:trPr>
        <w:tc>
          <w:tcPr>
            <w:tcW w:w="1927" w:type="dxa"/>
            <w:tcBorders>
              <w:top w:val="nil"/>
              <w:left w:val="single" w:sz="4" w:space="0" w:color="auto"/>
              <w:bottom w:val="single" w:sz="4" w:space="0" w:color="auto"/>
              <w:right w:val="single" w:sz="4" w:space="0" w:color="auto"/>
            </w:tcBorders>
            <w:vAlign w:val="center"/>
            <w:hideMark/>
          </w:tcPr>
          <w:p w14:paraId="3ADA9853" w14:textId="77777777" w:rsidR="0090740B" w:rsidRPr="00C531A2" w:rsidRDefault="0090740B" w:rsidP="00725D9F">
            <w:pPr>
              <w:rPr>
                <w:rFonts w:ascii="Times New Roman" w:hAnsi="Times New Roman"/>
                <w:sz w:val="16"/>
                <w:szCs w:val="16"/>
              </w:rPr>
            </w:pPr>
            <w:r w:rsidRPr="00C531A2">
              <w:rPr>
                <w:rFonts w:ascii="Times New Roman" w:hAnsi="Times New Roman"/>
                <w:sz w:val="16"/>
                <w:szCs w:val="16"/>
              </w:rPr>
              <w:t xml:space="preserve">     - Акцизе на дуванске прерађевине</w:t>
            </w:r>
          </w:p>
        </w:tc>
        <w:tc>
          <w:tcPr>
            <w:tcW w:w="1027" w:type="dxa"/>
            <w:tcBorders>
              <w:top w:val="nil"/>
              <w:left w:val="nil"/>
              <w:bottom w:val="single" w:sz="4" w:space="0" w:color="auto"/>
              <w:right w:val="single" w:sz="4" w:space="0" w:color="auto"/>
            </w:tcBorders>
            <w:noWrap/>
            <w:vAlign w:val="bottom"/>
            <w:hideMark/>
          </w:tcPr>
          <w:p w14:paraId="6F12892F" w14:textId="77777777" w:rsidR="0090740B" w:rsidRPr="00C531A2" w:rsidRDefault="0090740B" w:rsidP="00725D9F">
            <w:pPr>
              <w:jc w:val="right"/>
              <w:rPr>
                <w:rFonts w:ascii="Times New Roman" w:hAnsi="Times New Roman"/>
                <w:color w:val="000000"/>
                <w:sz w:val="16"/>
                <w:szCs w:val="16"/>
              </w:rPr>
            </w:pPr>
            <w:r w:rsidRPr="00C531A2">
              <w:rPr>
                <w:rFonts w:ascii="Times New Roman" w:hAnsi="Times New Roman"/>
                <w:color w:val="000000"/>
                <w:sz w:val="16"/>
                <w:szCs w:val="16"/>
              </w:rPr>
              <w:t>143,0</w:t>
            </w:r>
          </w:p>
        </w:tc>
        <w:tc>
          <w:tcPr>
            <w:tcW w:w="1028" w:type="dxa"/>
            <w:tcBorders>
              <w:top w:val="nil"/>
              <w:left w:val="nil"/>
              <w:bottom w:val="single" w:sz="4" w:space="0" w:color="auto"/>
              <w:right w:val="single" w:sz="4" w:space="0" w:color="auto"/>
            </w:tcBorders>
            <w:noWrap/>
            <w:vAlign w:val="bottom"/>
            <w:hideMark/>
          </w:tcPr>
          <w:p w14:paraId="3525B288" w14:textId="77777777" w:rsidR="0090740B" w:rsidRPr="00C531A2" w:rsidRDefault="0090740B" w:rsidP="00725D9F">
            <w:pPr>
              <w:jc w:val="right"/>
              <w:rPr>
                <w:rFonts w:ascii="Times New Roman" w:hAnsi="Times New Roman"/>
                <w:color w:val="000000"/>
                <w:sz w:val="16"/>
                <w:szCs w:val="16"/>
              </w:rPr>
            </w:pPr>
            <w:r w:rsidRPr="00C531A2">
              <w:rPr>
                <w:rFonts w:ascii="Times New Roman" w:hAnsi="Times New Roman"/>
                <w:color w:val="000000"/>
                <w:sz w:val="16"/>
                <w:szCs w:val="16"/>
              </w:rPr>
              <w:t>149,0</w:t>
            </w:r>
          </w:p>
        </w:tc>
        <w:tc>
          <w:tcPr>
            <w:tcW w:w="1028" w:type="dxa"/>
            <w:tcBorders>
              <w:top w:val="nil"/>
              <w:left w:val="nil"/>
              <w:bottom w:val="single" w:sz="4" w:space="0" w:color="auto"/>
              <w:right w:val="single" w:sz="4" w:space="0" w:color="auto"/>
            </w:tcBorders>
            <w:noWrap/>
            <w:vAlign w:val="bottom"/>
            <w:hideMark/>
          </w:tcPr>
          <w:p w14:paraId="023ED8F6" w14:textId="77777777" w:rsidR="0090740B" w:rsidRPr="00C531A2" w:rsidRDefault="0090740B" w:rsidP="00725D9F">
            <w:pPr>
              <w:jc w:val="right"/>
              <w:rPr>
                <w:rFonts w:ascii="Times New Roman" w:hAnsi="Times New Roman"/>
                <w:color w:val="000000"/>
                <w:sz w:val="16"/>
                <w:szCs w:val="16"/>
              </w:rPr>
            </w:pPr>
            <w:r w:rsidRPr="00C531A2">
              <w:rPr>
                <w:rFonts w:ascii="Times New Roman" w:hAnsi="Times New Roman"/>
                <w:color w:val="000000"/>
                <w:sz w:val="16"/>
                <w:szCs w:val="16"/>
              </w:rPr>
              <w:t>154,0</w:t>
            </w:r>
          </w:p>
        </w:tc>
        <w:tc>
          <w:tcPr>
            <w:tcW w:w="1027" w:type="dxa"/>
            <w:tcBorders>
              <w:top w:val="nil"/>
              <w:left w:val="nil"/>
              <w:bottom w:val="single" w:sz="4" w:space="0" w:color="auto"/>
              <w:right w:val="single" w:sz="4" w:space="0" w:color="auto"/>
            </w:tcBorders>
            <w:noWrap/>
            <w:vAlign w:val="bottom"/>
            <w:hideMark/>
          </w:tcPr>
          <w:p w14:paraId="401608C5" w14:textId="77777777" w:rsidR="0090740B" w:rsidRPr="00C531A2" w:rsidRDefault="0090740B" w:rsidP="00725D9F">
            <w:pPr>
              <w:jc w:val="right"/>
              <w:rPr>
                <w:rFonts w:ascii="Times New Roman" w:hAnsi="Times New Roman"/>
                <w:color w:val="000000"/>
                <w:sz w:val="16"/>
                <w:szCs w:val="16"/>
              </w:rPr>
            </w:pPr>
            <w:r w:rsidRPr="00C531A2">
              <w:rPr>
                <w:rFonts w:ascii="Times New Roman" w:hAnsi="Times New Roman"/>
                <w:color w:val="000000"/>
                <w:sz w:val="16"/>
                <w:szCs w:val="16"/>
              </w:rPr>
              <w:t>107,7</w:t>
            </w:r>
          </w:p>
        </w:tc>
        <w:tc>
          <w:tcPr>
            <w:tcW w:w="1028" w:type="dxa"/>
            <w:tcBorders>
              <w:top w:val="nil"/>
              <w:left w:val="nil"/>
              <w:bottom w:val="single" w:sz="4" w:space="0" w:color="auto"/>
              <w:right w:val="single" w:sz="4" w:space="0" w:color="auto"/>
            </w:tcBorders>
            <w:noWrap/>
            <w:vAlign w:val="bottom"/>
            <w:hideMark/>
          </w:tcPr>
          <w:p w14:paraId="285B3846" w14:textId="77777777" w:rsidR="0090740B" w:rsidRPr="00C531A2" w:rsidRDefault="0090740B" w:rsidP="00725D9F">
            <w:pPr>
              <w:jc w:val="right"/>
              <w:rPr>
                <w:rFonts w:ascii="Times New Roman" w:hAnsi="Times New Roman"/>
                <w:color w:val="000000"/>
                <w:sz w:val="16"/>
                <w:szCs w:val="16"/>
              </w:rPr>
            </w:pPr>
            <w:r w:rsidRPr="00C531A2">
              <w:rPr>
                <w:rFonts w:ascii="Times New Roman" w:hAnsi="Times New Roman"/>
                <w:color w:val="000000"/>
                <w:sz w:val="16"/>
                <w:szCs w:val="16"/>
              </w:rPr>
              <w:t>103,4</w:t>
            </w:r>
          </w:p>
        </w:tc>
        <w:tc>
          <w:tcPr>
            <w:tcW w:w="1028" w:type="dxa"/>
            <w:tcBorders>
              <w:top w:val="nil"/>
              <w:left w:val="nil"/>
              <w:bottom w:val="single" w:sz="4" w:space="0" w:color="auto"/>
              <w:right w:val="single" w:sz="4" w:space="0" w:color="auto"/>
            </w:tcBorders>
            <w:noWrap/>
            <w:vAlign w:val="bottom"/>
            <w:hideMark/>
          </w:tcPr>
          <w:p w14:paraId="4E8AA394" w14:textId="77777777" w:rsidR="0090740B" w:rsidRPr="00C531A2" w:rsidRDefault="0090740B" w:rsidP="00725D9F">
            <w:pPr>
              <w:jc w:val="right"/>
              <w:rPr>
                <w:rFonts w:ascii="Times New Roman" w:hAnsi="Times New Roman"/>
                <w:color w:val="000000"/>
                <w:sz w:val="16"/>
                <w:szCs w:val="16"/>
              </w:rPr>
            </w:pPr>
            <w:r w:rsidRPr="00C531A2">
              <w:rPr>
                <w:rFonts w:ascii="Times New Roman" w:hAnsi="Times New Roman"/>
                <w:color w:val="000000"/>
                <w:sz w:val="16"/>
                <w:szCs w:val="16"/>
              </w:rPr>
              <w:t>6,4</w:t>
            </w:r>
          </w:p>
        </w:tc>
        <w:tc>
          <w:tcPr>
            <w:tcW w:w="1028" w:type="dxa"/>
            <w:tcBorders>
              <w:top w:val="nil"/>
              <w:left w:val="nil"/>
              <w:bottom w:val="single" w:sz="4" w:space="0" w:color="auto"/>
              <w:right w:val="single" w:sz="4" w:space="0" w:color="auto"/>
            </w:tcBorders>
            <w:noWrap/>
            <w:vAlign w:val="bottom"/>
            <w:hideMark/>
          </w:tcPr>
          <w:p w14:paraId="37B24FEA" w14:textId="77777777" w:rsidR="0090740B" w:rsidRPr="00C531A2" w:rsidRDefault="0090740B" w:rsidP="00725D9F">
            <w:pPr>
              <w:jc w:val="right"/>
              <w:rPr>
                <w:rFonts w:ascii="Times New Roman" w:hAnsi="Times New Roman"/>
                <w:color w:val="000000"/>
                <w:sz w:val="16"/>
                <w:szCs w:val="16"/>
              </w:rPr>
            </w:pPr>
            <w:r w:rsidRPr="00C531A2">
              <w:rPr>
                <w:rFonts w:ascii="Times New Roman" w:hAnsi="Times New Roman"/>
                <w:color w:val="000000"/>
                <w:sz w:val="16"/>
                <w:szCs w:val="16"/>
              </w:rPr>
              <w:t>6,4</w:t>
            </w:r>
          </w:p>
        </w:tc>
      </w:tr>
      <w:tr w:rsidR="0090740B" w:rsidRPr="00C531A2" w14:paraId="452A4133" w14:textId="77777777" w:rsidTr="00725D9F">
        <w:trPr>
          <w:trHeight w:val="22"/>
        </w:trPr>
        <w:tc>
          <w:tcPr>
            <w:tcW w:w="1927" w:type="dxa"/>
            <w:tcBorders>
              <w:top w:val="nil"/>
              <w:left w:val="single" w:sz="4" w:space="0" w:color="auto"/>
              <w:bottom w:val="single" w:sz="4" w:space="0" w:color="auto"/>
              <w:right w:val="single" w:sz="4" w:space="0" w:color="auto"/>
            </w:tcBorders>
            <w:vAlign w:val="center"/>
            <w:hideMark/>
          </w:tcPr>
          <w:p w14:paraId="672EB050" w14:textId="77777777" w:rsidR="0090740B" w:rsidRPr="00C531A2" w:rsidRDefault="0090740B" w:rsidP="00725D9F">
            <w:pPr>
              <w:rPr>
                <w:rFonts w:ascii="Times New Roman" w:hAnsi="Times New Roman"/>
                <w:sz w:val="16"/>
                <w:szCs w:val="16"/>
              </w:rPr>
            </w:pPr>
            <w:r w:rsidRPr="00C531A2">
              <w:rPr>
                <w:rFonts w:ascii="Times New Roman" w:hAnsi="Times New Roman"/>
                <w:sz w:val="16"/>
                <w:szCs w:val="16"/>
              </w:rPr>
              <w:t xml:space="preserve">     - Остале акцизе</w:t>
            </w:r>
          </w:p>
        </w:tc>
        <w:tc>
          <w:tcPr>
            <w:tcW w:w="1027" w:type="dxa"/>
            <w:tcBorders>
              <w:top w:val="nil"/>
              <w:left w:val="nil"/>
              <w:bottom w:val="single" w:sz="4" w:space="0" w:color="auto"/>
              <w:right w:val="single" w:sz="4" w:space="0" w:color="auto"/>
            </w:tcBorders>
            <w:noWrap/>
            <w:vAlign w:val="bottom"/>
            <w:hideMark/>
          </w:tcPr>
          <w:p w14:paraId="052EEB78" w14:textId="77777777" w:rsidR="0090740B" w:rsidRPr="00C531A2" w:rsidRDefault="0090740B" w:rsidP="00725D9F">
            <w:pPr>
              <w:jc w:val="right"/>
              <w:rPr>
                <w:rFonts w:ascii="Times New Roman" w:hAnsi="Times New Roman"/>
                <w:color w:val="000000"/>
                <w:sz w:val="16"/>
                <w:szCs w:val="16"/>
              </w:rPr>
            </w:pPr>
            <w:r w:rsidRPr="00C531A2">
              <w:rPr>
                <w:rFonts w:ascii="Times New Roman" w:hAnsi="Times New Roman"/>
                <w:color w:val="000000"/>
                <w:sz w:val="16"/>
                <w:szCs w:val="16"/>
              </w:rPr>
              <w:t>50,9</w:t>
            </w:r>
          </w:p>
        </w:tc>
        <w:tc>
          <w:tcPr>
            <w:tcW w:w="1028" w:type="dxa"/>
            <w:tcBorders>
              <w:top w:val="nil"/>
              <w:left w:val="nil"/>
              <w:bottom w:val="single" w:sz="4" w:space="0" w:color="auto"/>
              <w:right w:val="single" w:sz="4" w:space="0" w:color="auto"/>
            </w:tcBorders>
            <w:noWrap/>
            <w:vAlign w:val="bottom"/>
            <w:hideMark/>
          </w:tcPr>
          <w:p w14:paraId="740C1E7A" w14:textId="77777777" w:rsidR="0090740B" w:rsidRPr="00C531A2" w:rsidRDefault="0090740B" w:rsidP="00725D9F">
            <w:pPr>
              <w:jc w:val="right"/>
              <w:rPr>
                <w:rFonts w:ascii="Times New Roman" w:hAnsi="Times New Roman"/>
                <w:color w:val="000000"/>
                <w:sz w:val="16"/>
                <w:szCs w:val="16"/>
              </w:rPr>
            </w:pPr>
            <w:r w:rsidRPr="00C531A2">
              <w:rPr>
                <w:rFonts w:ascii="Times New Roman" w:hAnsi="Times New Roman"/>
                <w:color w:val="000000"/>
                <w:sz w:val="16"/>
                <w:szCs w:val="16"/>
              </w:rPr>
              <w:t>51,2</w:t>
            </w:r>
          </w:p>
        </w:tc>
        <w:tc>
          <w:tcPr>
            <w:tcW w:w="1028" w:type="dxa"/>
            <w:tcBorders>
              <w:top w:val="nil"/>
              <w:left w:val="nil"/>
              <w:bottom w:val="single" w:sz="4" w:space="0" w:color="auto"/>
              <w:right w:val="single" w:sz="4" w:space="0" w:color="auto"/>
            </w:tcBorders>
            <w:noWrap/>
            <w:vAlign w:val="bottom"/>
            <w:hideMark/>
          </w:tcPr>
          <w:p w14:paraId="0FFA1DE4" w14:textId="77777777" w:rsidR="0090740B" w:rsidRPr="00C531A2" w:rsidRDefault="0090740B" w:rsidP="00725D9F">
            <w:pPr>
              <w:jc w:val="right"/>
              <w:rPr>
                <w:rFonts w:ascii="Times New Roman" w:hAnsi="Times New Roman"/>
                <w:color w:val="000000"/>
                <w:sz w:val="16"/>
                <w:szCs w:val="16"/>
              </w:rPr>
            </w:pPr>
            <w:r w:rsidRPr="00C531A2">
              <w:rPr>
                <w:rFonts w:ascii="Times New Roman" w:hAnsi="Times New Roman"/>
                <w:color w:val="000000"/>
                <w:sz w:val="16"/>
                <w:szCs w:val="16"/>
              </w:rPr>
              <w:t>55,3</w:t>
            </w:r>
          </w:p>
        </w:tc>
        <w:tc>
          <w:tcPr>
            <w:tcW w:w="1027" w:type="dxa"/>
            <w:tcBorders>
              <w:top w:val="nil"/>
              <w:left w:val="nil"/>
              <w:bottom w:val="single" w:sz="4" w:space="0" w:color="auto"/>
              <w:right w:val="single" w:sz="4" w:space="0" w:color="auto"/>
            </w:tcBorders>
            <w:noWrap/>
            <w:vAlign w:val="bottom"/>
            <w:hideMark/>
          </w:tcPr>
          <w:p w14:paraId="09597924" w14:textId="77777777" w:rsidR="0090740B" w:rsidRPr="00C531A2" w:rsidRDefault="0090740B" w:rsidP="00725D9F">
            <w:pPr>
              <w:jc w:val="right"/>
              <w:rPr>
                <w:rFonts w:ascii="Times New Roman" w:hAnsi="Times New Roman"/>
                <w:color w:val="000000"/>
                <w:sz w:val="16"/>
                <w:szCs w:val="16"/>
              </w:rPr>
            </w:pPr>
            <w:r w:rsidRPr="00C531A2">
              <w:rPr>
                <w:rFonts w:ascii="Times New Roman" w:hAnsi="Times New Roman"/>
                <w:color w:val="000000"/>
                <w:sz w:val="16"/>
                <w:szCs w:val="16"/>
              </w:rPr>
              <w:t>108,6</w:t>
            </w:r>
          </w:p>
        </w:tc>
        <w:tc>
          <w:tcPr>
            <w:tcW w:w="1028" w:type="dxa"/>
            <w:tcBorders>
              <w:top w:val="nil"/>
              <w:left w:val="nil"/>
              <w:bottom w:val="single" w:sz="4" w:space="0" w:color="auto"/>
              <w:right w:val="single" w:sz="4" w:space="0" w:color="auto"/>
            </w:tcBorders>
            <w:noWrap/>
            <w:vAlign w:val="bottom"/>
            <w:hideMark/>
          </w:tcPr>
          <w:p w14:paraId="48890E3A" w14:textId="77777777" w:rsidR="0090740B" w:rsidRPr="00C531A2" w:rsidRDefault="0090740B" w:rsidP="00725D9F">
            <w:pPr>
              <w:jc w:val="right"/>
              <w:rPr>
                <w:rFonts w:ascii="Times New Roman" w:hAnsi="Times New Roman"/>
                <w:color w:val="000000"/>
                <w:sz w:val="16"/>
                <w:szCs w:val="16"/>
              </w:rPr>
            </w:pPr>
            <w:r w:rsidRPr="00C531A2">
              <w:rPr>
                <w:rFonts w:ascii="Times New Roman" w:hAnsi="Times New Roman"/>
                <w:color w:val="000000"/>
                <w:sz w:val="16"/>
                <w:szCs w:val="16"/>
              </w:rPr>
              <w:t>108,0</w:t>
            </w:r>
          </w:p>
        </w:tc>
        <w:tc>
          <w:tcPr>
            <w:tcW w:w="1028" w:type="dxa"/>
            <w:tcBorders>
              <w:top w:val="nil"/>
              <w:left w:val="nil"/>
              <w:bottom w:val="single" w:sz="4" w:space="0" w:color="auto"/>
              <w:right w:val="single" w:sz="4" w:space="0" w:color="auto"/>
            </w:tcBorders>
            <w:noWrap/>
            <w:vAlign w:val="bottom"/>
            <w:hideMark/>
          </w:tcPr>
          <w:p w14:paraId="4CF3B118" w14:textId="77777777" w:rsidR="0090740B" w:rsidRPr="00C531A2" w:rsidRDefault="0090740B" w:rsidP="00725D9F">
            <w:pPr>
              <w:jc w:val="right"/>
              <w:rPr>
                <w:rFonts w:ascii="Times New Roman" w:hAnsi="Times New Roman"/>
                <w:color w:val="000000"/>
                <w:sz w:val="16"/>
                <w:szCs w:val="16"/>
              </w:rPr>
            </w:pPr>
            <w:r w:rsidRPr="00C531A2">
              <w:rPr>
                <w:rFonts w:ascii="Times New Roman" w:hAnsi="Times New Roman"/>
                <w:color w:val="000000"/>
                <w:sz w:val="16"/>
                <w:szCs w:val="16"/>
              </w:rPr>
              <w:t>2,2</w:t>
            </w:r>
          </w:p>
        </w:tc>
        <w:tc>
          <w:tcPr>
            <w:tcW w:w="1028" w:type="dxa"/>
            <w:tcBorders>
              <w:top w:val="nil"/>
              <w:left w:val="nil"/>
              <w:bottom w:val="single" w:sz="4" w:space="0" w:color="auto"/>
              <w:right w:val="single" w:sz="4" w:space="0" w:color="auto"/>
            </w:tcBorders>
            <w:noWrap/>
            <w:vAlign w:val="bottom"/>
            <w:hideMark/>
          </w:tcPr>
          <w:p w14:paraId="3BDDC062" w14:textId="77777777" w:rsidR="0090740B" w:rsidRPr="00C531A2" w:rsidRDefault="0090740B" w:rsidP="00725D9F">
            <w:pPr>
              <w:jc w:val="right"/>
              <w:rPr>
                <w:rFonts w:ascii="Times New Roman" w:hAnsi="Times New Roman"/>
                <w:color w:val="000000"/>
                <w:sz w:val="16"/>
                <w:szCs w:val="16"/>
              </w:rPr>
            </w:pPr>
            <w:r w:rsidRPr="00C531A2">
              <w:rPr>
                <w:rFonts w:ascii="Times New Roman" w:hAnsi="Times New Roman"/>
                <w:color w:val="000000"/>
                <w:sz w:val="16"/>
                <w:szCs w:val="16"/>
              </w:rPr>
              <w:t>2,3</w:t>
            </w:r>
          </w:p>
        </w:tc>
      </w:tr>
      <w:tr w:rsidR="0090740B" w:rsidRPr="00C531A2" w14:paraId="0855F5EA" w14:textId="77777777" w:rsidTr="00725D9F">
        <w:trPr>
          <w:trHeight w:val="22"/>
        </w:trPr>
        <w:tc>
          <w:tcPr>
            <w:tcW w:w="1927" w:type="dxa"/>
            <w:tcBorders>
              <w:top w:val="nil"/>
              <w:left w:val="single" w:sz="4" w:space="0" w:color="auto"/>
              <w:bottom w:val="single" w:sz="4" w:space="0" w:color="auto"/>
              <w:right w:val="single" w:sz="4" w:space="0" w:color="auto"/>
            </w:tcBorders>
            <w:vAlign w:val="bottom"/>
            <w:hideMark/>
          </w:tcPr>
          <w:p w14:paraId="011413F4" w14:textId="77777777" w:rsidR="0090740B" w:rsidRPr="00C531A2" w:rsidRDefault="0090740B" w:rsidP="00725D9F">
            <w:pPr>
              <w:rPr>
                <w:rFonts w:ascii="Times New Roman" w:hAnsi="Times New Roman"/>
                <w:sz w:val="16"/>
                <w:szCs w:val="16"/>
              </w:rPr>
            </w:pPr>
            <w:r w:rsidRPr="00C531A2">
              <w:rPr>
                <w:rFonts w:ascii="Times New Roman" w:hAnsi="Times New Roman"/>
                <w:sz w:val="16"/>
                <w:szCs w:val="16"/>
              </w:rPr>
              <w:t xml:space="preserve">  Царине</w:t>
            </w:r>
          </w:p>
        </w:tc>
        <w:tc>
          <w:tcPr>
            <w:tcW w:w="1027" w:type="dxa"/>
            <w:tcBorders>
              <w:top w:val="nil"/>
              <w:left w:val="nil"/>
              <w:bottom w:val="single" w:sz="4" w:space="0" w:color="auto"/>
              <w:right w:val="single" w:sz="4" w:space="0" w:color="auto"/>
            </w:tcBorders>
            <w:noWrap/>
            <w:vAlign w:val="bottom"/>
            <w:hideMark/>
          </w:tcPr>
          <w:p w14:paraId="7A4E239F" w14:textId="77777777" w:rsidR="0090740B" w:rsidRPr="00C531A2" w:rsidRDefault="0090740B" w:rsidP="00725D9F">
            <w:pPr>
              <w:jc w:val="right"/>
              <w:rPr>
                <w:rFonts w:ascii="Times New Roman" w:hAnsi="Times New Roman"/>
                <w:color w:val="000000"/>
                <w:sz w:val="16"/>
                <w:szCs w:val="16"/>
              </w:rPr>
            </w:pPr>
            <w:r w:rsidRPr="00C531A2">
              <w:rPr>
                <w:rFonts w:ascii="Times New Roman" w:hAnsi="Times New Roman"/>
                <w:color w:val="000000"/>
                <w:sz w:val="16"/>
                <w:szCs w:val="16"/>
              </w:rPr>
              <w:t>95,3</w:t>
            </w:r>
          </w:p>
        </w:tc>
        <w:tc>
          <w:tcPr>
            <w:tcW w:w="1028" w:type="dxa"/>
            <w:tcBorders>
              <w:top w:val="nil"/>
              <w:left w:val="nil"/>
              <w:bottom w:val="single" w:sz="4" w:space="0" w:color="auto"/>
              <w:right w:val="single" w:sz="4" w:space="0" w:color="auto"/>
            </w:tcBorders>
            <w:noWrap/>
            <w:vAlign w:val="bottom"/>
            <w:hideMark/>
          </w:tcPr>
          <w:p w14:paraId="22B97C82" w14:textId="77777777" w:rsidR="0090740B" w:rsidRPr="00C531A2" w:rsidRDefault="0090740B" w:rsidP="00725D9F">
            <w:pPr>
              <w:jc w:val="right"/>
              <w:rPr>
                <w:rFonts w:ascii="Times New Roman" w:hAnsi="Times New Roman"/>
                <w:color w:val="000000"/>
                <w:sz w:val="16"/>
                <w:szCs w:val="16"/>
              </w:rPr>
            </w:pPr>
            <w:r w:rsidRPr="00C531A2">
              <w:rPr>
                <w:rFonts w:ascii="Times New Roman" w:hAnsi="Times New Roman"/>
                <w:color w:val="000000"/>
                <w:sz w:val="16"/>
                <w:szCs w:val="16"/>
              </w:rPr>
              <w:t>93,4</w:t>
            </w:r>
          </w:p>
        </w:tc>
        <w:tc>
          <w:tcPr>
            <w:tcW w:w="1028" w:type="dxa"/>
            <w:tcBorders>
              <w:top w:val="nil"/>
              <w:left w:val="nil"/>
              <w:bottom w:val="single" w:sz="4" w:space="0" w:color="auto"/>
              <w:right w:val="single" w:sz="4" w:space="0" w:color="auto"/>
            </w:tcBorders>
            <w:noWrap/>
            <w:vAlign w:val="bottom"/>
            <w:hideMark/>
          </w:tcPr>
          <w:p w14:paraId="40EA3BE7" w14:textId="77777777" w:rsidR="0090740B" w:rsidRPr="00C531A2" w:rsidRDefault="0090740B" w:rsidP="00725D9F">
            <w:pPr>
              <w:jc w:val="right"/>
              <w:rPr>
                <w:rFonts w:ascii="Times New Roman" w:hAnsi="Times New Roman"/>
                <w:color w:val="000000"/>
                <w:sz w:val="16"/>
                <w:szCs w:val="16"/>
              </w:rPr>
            </w:pPr>
            <w:r w:rsidRPr="00C531A2">
              <w:rPr>
                <w:rFonts w:ascii="Times New Roman" w:hAnsi="Times New Roman"/>
                <w:color w:val="000000"/>
                <w:sz w:val="16"/>
                <w:szCs w:val="16"/>
              </w:rPr>
              <w:t>99,9</w:t>
            </w:r>
          </w:p>
        </w:tc>
        <w:tc>
          <w:tcPr>
            <w:tcW w:w="1027" w:type="dxa"/>
            <w:tcBorders>
              <w:top w:val="nil"/>
              <w:left w:val="nil"/>
              <w:bottom w:val="single" w:sz="4" w:space="0" w:color="auto"/>
              <w:right w:val="single" w:sz="4" w:space="0" w:color="auto"/>
            </w:tcBorders>
            <w:noWrap/>
            <w:vAlign w:val="bottom"/>
            <w:hideMark/>
          </w:tcPr>
          <w:p w14:paraId="7508DAFE" w14:textId="77777777" w:rsidR="0090740B" w:rsidRPr="00C531A2" w:rsidRDefault="0090740B" w:rsidP="00725D9F">
            <w:pPr>
              <w:jc w:val="right"/>
              <w:rPr>
                <w:rFonts w:ascii="Times New Roman" w:hAnsi="Times New Roman"/>
                <w:color w:val="000000"/>
                <w:sz w:val="16"/>
                <w:szCs w:val="16"/>
              </w:rPr>
            </w:pPr>
            <w:r w:rsidRPr="00C531A2">
              <w:rPr>
                <w:rFonts w:ascii="Times New Roman" w:hAnsi="Times New Roman"/>
                <w:color w:val="000000"/>
                <w:sz w:val="16"/>
                <w:szCs w:val="16"/>
              </w:rPr>
              <w:t>104,8</w:t>
            </w:r>
          </w:p>
        </w:tc>
        <w:tc>
          <w:tcPr>
            <w:tcW w:w="1028" w:type="dxa"/>
            <w:tcBorders>
              <w:top w:val="nil"/>
              <w:left w:val="nil"/>
              <w:bottom w:val="single" w:sz="4" w:space="0" w:color="auto"/>
              <w:right w:val="single" w:sz="4" w:space="0" w:color="auto"/>
            </w:tcBorders>
            <w:noWrap/>
            <w:vAlign w:val="bottom"/>
            <w:hideMark/>
          </w:tcPr>
          <w:p w14:paraId="6FC62673" w14:textId="77777777" w:rsidR="0090740B" w:rsidRPr="00C531A2" w:rsidRDefault="0090740B" w:rsidP="00725D9F">
            <w:pPr>
              <w:jc w:val="right"/>
              <w:rPr>
                <w:rFonts w:ascii="Times New Roman" w:hAnsi="Times New Roman"/>
                <w:color w:val="000000"/>
                <w:sz w:val="16"/>
                <w:szCs w:val="16"/>
              </w:rPr>
            </w:pPr>
            <w:r w:rsidRPr="00C531A2">
              <w:rPr>
                <w:rFonts w:ascii="Times New Roman" w:hAnsi="Times New Roman"/>
                <w:color w:val="000000"/>
                <w:sz w:val="16"/>
                <w:szCs w:val="16"/>
              </w:rPr>
              <w:t>107,0</w:t>
            </w:r>
          </w:p>
        </w:tc>
        <w:tc>
          <w:tcPr>
            <w:tcW w:w="1028" w:type="dxa"/>
            <w:tcBorders>
              <w:top w:val="nil"/>
              <w:left w:val="nil"/>
              <w:bottom w:val="single" w:sz="4" w:space="0" w:color="auto"/>
              <w:right w:val="single" w:sz="4" w:space="0" w:color="auto"/>
            </w:tcBorders>
            <w:noWrap/>
            <w:vAlign w:val="bottom"/>
            <w:hideMark/>
          </w:tcPr>
          <w:p w14:paraId="1FBE0470" w14:textId="77777777" w:rsidR="0090740B" w:rsidRPr="00C531A2" w:rsidRDefault="0090740B" w:rsidP="00725D9F">
            <w:pPr>
              <w:jc w:val="right"/>
              <w:rPr>
                <w:rFonts w:ascii="Times New Roman" w:hAnsi="Times New Roman"/>
                <w:color w:val="000000"/>
                <w:sz w:val="16"/>
                <w:szCs w:val="16"/>
              </w:rPr>
            </w:pPr>
            <w:r w:rsidRPr="00C531A2">
              <w:rPr>
                <w:rFonts w:ascii="Times New Roman" w:hAnsi="Times New Roman"/>
                <w:color w:val="000000"/>
                <w:sz w:val="16"/>
                <w:szCs w:val="16"/>
              </w:rPr>
              <w:t>4,0</w:t>
            </w:r>
          </w:p>
        </w:tc>
        <w:tc>
          <w:tcPr>
            <w:tcW w:w="1028" w:type="dxa"/>
            <w:tcBorders>
              <w:top w:val="nil"/>
              <w:left w:val="nil"/>
              <w:bottom w:val="single" w:sz="4" w:space="0" w:color="auto"/>
              <w:right w:val="single" w:sz="4" w:space="0" w:color="auto"/>
            </w:tcBorders>
            <w:noWrap/>
            <w:vAlign w:val="bottom"/>
            <w:hideMark/>
          </w:tcPr>
          <w:p w14:paraId="57BCFD80" w14:textId="77777777" w:rsidR="0090740B" w:rsidRPr="00C531A2" w:rsidRDefault="0090740B" w:rsidP="00725D9F">
            <w:pPr>
              <w:jc w:val="right"/>
              <w:rPr>
                <w:rFonts w:ascii="Times New Roman" w:hAnsi="Times New Roman"/>
                <w:color w:val="000000"/>
                <w:sz w:val="16"/>
                <w:szCs w:val="16"/>
              </w:rPr>
            </w:pPr>
            <w:r w:rsidRPr="00C531A2">
              <w:rPr>
                <w:rFonts w:ascii="Times New Roman" w:hAnsi="Times New Roman"/>
                <w:color w:val="000000"/>
                <w:sz w:val="16"/>
                <w:szCs w:val="16"/>
              </w:rPr>
              <w:t>4,1</w:t>
            </w:r>
          </w:p>
        </w:tc>
      </w:tr>
      <w:tr w:rsidR="0090740B" w:rsidRPr="00C531A2" w14:paraId="11BD8D29" w14:textId="77777777" w:rsidTr="00725D9F">
        <w:trPr>
          <w:trHeight w:val="22"/>
        </w:trPr>
        <w:tc>
          <w:tcPr>
            <w:tcW w:w="1927" w:type="dxa"/>
            <w:tcBorders>
              <w:top w:val="nil"/>
              <w:left w:val="single" w:sz="4" w:space="0" w:color="auto"/>
              <w:bottom w:val="single" w:sz="4" w:space="0" w:color="auto"/>
              <w:right w:val="single" w:sz="4" w:space="0" w:color="auto"/>
            </w:tcBorders>
            <w:vAlign w:val="bottom"/>
            <w:hideMark/>
          </w:tcPr>
          <w:p w14:paraId="64C7C063" w14:textId="77777777" w:rsidR="0090740B" w:rsidRPr="00C531A2" w:rsidRDefault="0090740B" w:rsidP="00725D9F">
            <w:pPr>
              <w:rPr>
                <w:rFonts w:ascii="Times New Roman" w:hAnsi="Times New Roman"/>
                <w:sz w:val="16"/>
                <w:szCs w:val="16"/>
              </w:rPr>
            </w:pPr>
            <w:r w:rsidRPr="00C531A2">
              <w:rPr>
                <w:rFonts w:ascii="Times New Roman" w:hAnsi="Times New Roman"/>
                <w:sz w:val="16"/>
                <w:szCs w:val="16"/>
              </w:rPr>
              <w:t xml:space="preserve">  Остали порески приходи</w:t>
            </w:r>
          </w:p>
        </w:tc>
        <w:tc>
          <w:tcPr>
            <w:tcW w:w="1027" w:type="dxa"/>
            <w:tcBorders>
              <w:top w:val="nil"/>
              <w:left w:val="nil"/>
              <w:bottom w:val="single" w:sz="4" w:space="0" w:color="auto"/>
              <w:right w:val="single" w:sz="4" w:space="0" w:color="auto"/>
            </w:tcBorders>
            <w:noWrap/>
            <w:vAlign w:val="bottom"/>
            <w:hideMark/>
          </w:tcPr>
          <w:p w14:paraId="5E2C8083" w14:textId="77777777" w:rsidR="0090740B" w:rsidRPr="00C531A2" w:rsidRDefault="0090740B" w:rsidP="00725D9F">
            <w:pPr>
              <w:jc w:val="right"/>
              <w:rPr>
                <w:rFonts w:ascii="Times New Roman" w:hAnsi="Times New Roman"/>
                <w:color w:val="000000"/>
                <w:sz w:val="16"/>
                <w:szCs w:val="16"/>
              </w:rPr>
            </w:pPr>
            <w:r w:rsidRPr="00C531A2">
              <w:rPr>
                <w:rFonts w:ascii="Times New Roman" w:hAnsi="Times New Roman"/>
                <w:color w:val="000000"/>
                <w:sz w:val="16"/>
                <w:szCs w:val="16"/>
              </w:rPr>
              <w:t>16,6</w:t>
            </w:r>
          </w:p>
        </w:tc>
        <w:tc>
          <w:tcPr>
            <w:tcW w:w="1028" w:type="dxa"/>
            <w:tcBorders>
              <w:top w:val="nil"/>
              <w:left w:val="nil"/>
              <w:bottom w:val="single" w:sz="4" w:space="0" w:color="auto"/>
              <w:right w:val="single" w:sz="4" w:space="0" w:color="auto"/>
            </w:tcBorders>
            <w:noWrap/>
            <w:vAlign w:val="bottom"/>
            <w:hideMark/>
          </w:tcPr>
          <w:p w14:paraId="6C4B06AA" w14:textId="77777777" w:rsidR="0090740B" w:rsidRPr="00C531A2" w:rsidRDefault="0090740B" w:rsidP="00725D9F">
            <w:pPr>
              <w:jc w:val="right"/>
              <w:rPr>
                <w:rFonts w:ascii="Times New Roman" w:hAnsi="Times New Roman"/>
                <w:color w:val="000000"/>
                <w:sz w:val="16"/>
                <w:szCs w:val="16"/>
              </w:rPr>
            </w:pPr>
            <w:r w:rsidRPr="00C531A2">
              <w:rPr>
                <w:rFonts w:ascii="Times New Roman" w:hAnsi="Times New Roman"/>
                <w:color w:val="000000"/>
                <w:sz w:val="16"/>
                <w:szCs w:val="16"/>
              </w:rPr>
              <w:t>16,6</w:t>
            </w:r>
          </w:p>
        </w:tc>
        <w:tc>
          <w:tcPr>
            <w:tcW w:w="1028" w:type="dxa"/>
            <w:tcBorders>
              <w:top w:val="nil"/>
              <w:left w:val="nil"/>
              <w:bottom w:val="single" w:sz="4" w:space="0" w:color="auto"/>
              <w:right w:val="single" w:sz="4" w:space="0" w:color="auto"/>
            </w:tcBorders>
            <w:noWrap/>
            <w:vAlign w:val="bottom"/>
            <w:hideMark/>
          </w:tcPr>
          <w:p w14:paraId="154BA93D" w14:textId="77777777" w:rsidR="0090740B" w:rsidRPr="00C531A2" w:rsidRDefault="0090740B" w:rsidP="00725D9F">
            <w:pPr>
              <w:jc w:val="right"/>
              <w:rPr>
                <w:rFonts w:ascii="Times New Roman" w:hAnsi="Times New Roman"/>
                <w:color w:val="000000"/>
                <w:sz w:val="16"/>
                <w:szCs w:val="16"/>
              </w:rPr>
            </w:pPr>
            <w:r w:rsidRPr="00C531A2">
              <w:rPr>
                <w:rFonts w:ascii="Times New Roman" w:hAnsi="Times New Roman"/>
                <w:color w:val="000000"/>
                <w:sz w:val="16"/>
                <w:szCs w:val="16"/>
              </w:rPr>
              <w:t>17,3</w:t>
            </w:r>
          </w:p>
        </w:tc>
        <w:tc>
          <w:tcPr>
            <w:tcW w:w="1027" w:type="dxa"/>
            <w:tcBorders>
              <w:top w:val="nil"/>
              <w:left w:val="nil"/>
              <w:bottom w:val="single" w:sz="4" w:space="0" w:color="auto"/>
              <w:right w:val="single" w:sz="4" w:space="0" w:color="auto"/>
            </w:tcBorders>
            <w:noWrap/>
            <w:vAlign w:val="bottom"/>
            <w:hideMark/>
          </w:tcPr>
          <w:p w14:paraId="12A837D8" w14:textId="77777777" w:rsidR="0090740B" w:rsidRPr="00C531A2" w:rsidRDefault="0090740B" w:rsidP="00725D9F">
            <w:pPr>
              <w:jc w:val="right"/>
              <w:rPr>
                <w:rFonts w:ascii="Times New Roman" w:hAnsi="Times New Roman"/>
                <w:color w:val="000000"/>
                <w:sz w:val="16"/>
                <w:szCs w:val="16"/>
              </w:rPr>
            </w:pPr>
            <w:r w:rsidRPr="00C531A2">
              <w:rPr>
                <w:rFonts w:ascii="Times New Roman" w:hAnsi="Times New Roman"/>
                <w:color w:val="000000"/>
                <w:sz w:val="16"/>
                <w:szCs w:val="16"/>
              </w:rPr>
              <w:t>104,2</w:t>
            </w:r>
          </w:p>
        </w:tc>
        <w:tc>
          <w:tcPr>
            <w:tcW w:w="1028" w:type="dxa"/>
            <w:tcBorders>
              <w:top w:val="nil"/>
              <w:left w:val="nil"/>
              <w:bottom w:val="single" w:sz="4" w:space="0" w:color="auto"/>
              <w:right w:val="single" w:sz="4" w:space="0" w:color="auto"/>
            </w:tcBorders>
            <w:noWrap/>
            <w:vAlign w:val="bottom"/>
            <w:hideMark/>
          </w:tcPr>
          <w:p w14:paraId="5A73132A" w14:textId="77777777" w:rsidR="0090740B" w:rsidRPr="00C531A2" w:rsidRDefault="0090740B" w:rsidP="00725D9F">
            <w:pPr>
              <w:jc w:val="right"/>
              <w:rPr>
                <w:rFonts w:ascii="Times New Roman" w:hAnsi="Times New Roman"/>
                <w:color w:val="000000"/>
                <w:sz w:val="16"/>
                <w:szCs w:val="16"/>
              </w:rPr>
            </w:pPr>
            <w:r w:rsidRPr="00C531A2">
              <w:rPr>
                <w:rFonts w:ascii="Times New Roman" w:hAnsi="Times New Roman"/>
                <w:color w:val="000000"/>
                <w:sz w:val="16"/>
                <w:szCs w:val="16"/>
              </w:rPr>
              <w:t>104,0</w:t>
            </w:r>
          </w:p>
        </w:tc>
        <w:tc>
          <w:tcPr>
            <w:tcW w:w="1028" w:type="dxa"/>
            <w:tcBorders>
              <w:top w:val="nil"/>
              <w:left w:val="nil"/>
              <w:bottom w:val="single" w:sz="4" w:space="0" w:color="auto"/>
              <w:right w:val="single" w:sz="4" w:space="0" w:color="auto"/>
            </w:tcBorders>
            <w:noWrap/>
            <w:vAlign w:val="bottom"/>
            <w:hideMark/>
          </w:tcPr>
          <w:p w14:paraId="0BB306DB" w14:textId="77777777" w:rsidR="0090740B" w:rsidRPr="00C531A2" w:rsidRDefault="0090740B" w:rsidP="00725D9F">
            <w:pPr>
              <w:jc w:val="right"/>
              <w:rPr>
                <w:rFonts w:ascii="Times New Roman" w:hAnsi="Times New Roman"/>
                <w:color w:val="000000"/>
                <w:sz w:val="16"/>
                <w:szCs w:val="16"/>
              </w:rPr>
            </w:pPr>
            <w:r w:rsidRPr="00C531A2">
              <w:rPr>
                <w:rFonts w:ascii="Times New Roman" w:hAnsi="Times New Roman"/>
                <w:color w:val="000000"/>
                <w:sz w:val="16"/>
                <w:szCs w:val="16"/>
              </w:rPr>
              <w:t>0,7</w:t>
            </w:r>
          </w:p>
        </w:tc>
        <w:tc>
          <w:tcPr>
            <w:tcW w:w="1028" w:type="dxa"/>
            <w:tcBorders>
              <w:top w:val="nil"/>
              <w:left w:val="nil"/>
              <w:bottom w:val="single" w:sz="4" w:space="0" w:color="auto"/>
              <w:right w:val="single" w:sz="4" w:space="0" w:color="auto"/>
            </w:tcBorders>
            <w:noWrap/>
            <w:vAlign w:val="bottom"/>
            <w:hideMark/>
          </w:tcPr>
          <w:p w14:paraId="6E1AB5CE" w14:textId="77777777" w:rsidR="0090740B" w:rsidRPr="00C531A2" w:rsidRDefault="0090740B" w:rsidP="00725D9F">
            <w:pPr>
              <w:jc w:val="right"/>
              <w:rPr>
                <w:rFonts w:ascii="Times New Roman" w:hAnsi="Times New Roman"/>
                <w:color w:val="000000"/>
                <w:sz w:val="16"/>
                <w:szCs w:val="16"/>
              </w:rPr>
            </w:pPr>
            <w:r w:rsidRPr="00C531A2">
              <w:rPr>
                <w:rFonts w:ascii="Times New Roman" w:hAnsi="Times New Roman"/>
                <w:color w:val="000000"/>
                <w:sz w:val="16"/>
                <w:szCs w:val="16"/>
              </w:rPr>
              <w:t>0,7</w:t>
            </w:r>
          </w:p>
        </w:tc>
      </w:tr>
      <w:tr w:rsidR="0090740B" w:rsidRPr="00C531A2" w14:paraId="5CA9078D" w14:textId="77777777" w:rsidTr="00725D9F">
        <w:trPr>
          <w:trHeight w:val="22"/>
        </w:trPr>
        <w:tc>
          <w:tcPr>
            <w:tcW w:w="1927" w:type="dxa"/>
            <w:tcBorders>
              <w:top w:val="nil"/>
              <w:left w:val="single" w:sz="4" w:space="0" w:color="auto"/>
              <w:bottom w:val="single" w:sz="4" w:space="0" w:color="auto"/>
              <w:right w:val="single" w:sz="4" w:space="0" w:color="auto"/>
            </w:tcBorders>
            <w:vAlign w:val="bottom"/>
            <w:hideMark/>
          </w:tcPr>
          <w:p w14:paraId="2FDD11F9" w14:textId="77777777" w:rsidR="0090740B" w:rsidRPr="00C531A2" w:rsidRDefault="0090740B" w:rsidP="00725D9F">
            <w:pPr>
              <w:rPr>
                <w:rFonts w:ascii="Times New Roman" w:hAnsi="Times New Roman"/>
                <w:b/>
                <w:bCs/>
                <w:sz w:val="16"/>
                <w:szCs w:val="16"/>
              </w:rPr>
            </w:pPr>
            <w:r w:rsidRPr="00C531A2">
              <w:rPr>
                <w:rFonts w:ascii="Times New Roman" w:hAnsi="Times New Roman"/>
                <w:b/>
                <w:bCs/>
                <w:sz w:val="16"/>
                <w:szCs w:val="16"/>
              </w:rPr>
              <w:t xml:space="preserve"> Непорески приходи</w:t>
            </w:r>
          </w:p>
        </w:tc>
        <w:tc>
          <w:tcPr>
            <w:tcW w:w="1027" w:type="dxa"/>
            <w:tcBorders>
              <w:top w:val="nil"/>
              <w:left w:val="nil"/>
              <w:bottom w:val="single" w:sz="4" w:space="0" w:color="auto"/>
              <w:right w:val="single" w:sz="4" w:space="0" w:color="auto"/>
            </w:tcBorders>
            <w:noWrap/>
            <w:vAlign w:val="bottom"/>
            <w:hideMark/>
          </w:tcPr>
          <w:p w14:paraId="4F073A26" w14:textId="77777777" w:rsidR="0090740B" w:rsidRPr="00C531A2" w:rsidRDefault="0090740B" w:rsidP="00725D9F">
            <w:pPr>
              <w:jc w:val="right"/>
              <w:rPr>
                <w:rFonts w:ascii="Times New Roman" w:hAnsi="Times New Roman"/>
                <w:b/>
                <w:bCs/>
                <w:sz w:val="16"/>
                <w:szCs w:val="16"/>
              </w:rPr>
            </w:pPr>
            <w:r w:rsidRPr="00C531A2">
              <w:rPr>
                <w:rFonts w:ascii="Times New Roman" w:hAnsi="Times New Roman"/>
                <w:b/>
                <w:bCs/>
                <w:sz w:val="16"/>
                <w:szCs w:val="16"/>
              </w:rPr>
              <w:t>325,7</w:t>
            </w:r>
          </w:p>
        </w:tc>
        <w:tc>
          <w:tcPr>
            <w:tcW w:w="1028" w:type="dxa"/>
            <w:tcBorders>
              <w:top w:val="nil"/>
              <w:left w:val="nil"/>
              <w:bottom w:val="single" w:sz="4" w:space="0" w:color="auto"/>
              <w:right w:val="single" w:sz="4" w:space="0" w:color="auto"/>
            </w:tcBorders>
            <w:noWrap/>
            <w:vAlign w:val="bottom"/>
            <w:hideMark/>
          </w:tcPr>
          <w:p w14:paraId="634EA296" w14:textId="77777777" w:rsidR="0090740B" w:rsidRPr="00C531A2" w:rsidRDefault="0090740B" w:rsidP="00725D9F">
            <w:pPr>
              <w:jc w:val="right"/>
              <w:rPr>
                <w:rFonts w:ascii="Times New Roman" w:hAnsi="Times New Roman"/>
                <w:b/>
                <w:bCs/>
                <w:sz w:val="16"/>
                <w:szCs w:val="16"/>
              </w:rPr>
            </w:pPr>
            <w:r w:rsidRPr="00C531A2">
              <w:rPr>
                <w:rFonts w:ascii="Times New Roman" w:hAnsi="Times New Roman"/>
                <w:b/>
                <w:bCs/>
                <w:sz w:val="16"/>
                <w:szCs w:val="16"/>
              </w:rPr>
              <w:t>329,6</w:t>
            </w:r>
          </w:p>
        </w:tc>
        <w:tc>
          <w:tcPr>
            <w:tcW w:w="1028" w:type="dxa"/>
            <w:tcBorders>
              <w:top w:val="nil"/>
              <w:left w:val="nil"/>
              <w:bottom w:val="single" w:sz="4" w:space="0" w:color="auto"/>
              <w:right w:val="single" w:sz="4" w:space="0" w:color="auto"/>
            </w:tcBorders>
            <w:noWrap/>
            <w:vAlign w:val="bottom"/>
            <w:hideMark/>
          </w:tcPr>
          <w:p w14:paraId="5AC04C14" w14:textId="77777777" w:rsidR="0090740B" w:rsidRPr="00C531A2" w:rsidRDefault="0090740B" w:rsidP="00725D9F">
            <w:pPr>
              <w:jc w:val="right"/>
              <w:rPr>
                <w:rFonts w:ascii="Times New Roman" w:hAnsi="Times New Roman"/>
                <w:b/>
                <w:bCs/>
                <w:sz w:val="16"/>
                <w:szCs w:val="16"/>
              </w:rPr>
            </w:pPr>
            <w:r w:rsidRPr="00C531A2">
              <w:rPr>
                <w:rFonts w:ascii="Times New Roman" w:hAnsi="Times New Roman"/>
                <w:b/>
                <w:bCs/>
                <w:sz w:val="16"/>
                <w:szCs w:val="16"/>
              </w:rPr>
              <w:t>303,3</w:t>
            </w:r>
          </w:p>
        </w:tc>
        <w:tc>
          <w:tcPr>
            <w:tcW w:w="1027" w:type="dxa"/>
            <w:tcBorders>
              <w:top w:val="nil"/>
              <w:left w:val="nil"/>
              <w:bottom w:val="single" w:sz="4" w:space="0" w:color="auto"/>
              <w:right w:val="single" w:sz="4" w:space="0" w:color="auto"/>
            </w:tcBorders>
            <w:noWrap/>
            <w:vAlign w:val="bottom"/>
            <w:hideMark/>
          </w:tcPr>
          <w:p w14:paraId="1E337136" w14:textId="77777777" w:rsidR="0090740B" w:rsidRPr="00C531A2" w:rsidRDefault="0090740B" w:rsidP="00725D9F">
            <w:pPr>
              <w:jc w:val="right"/>
              <w:rPr>
                <w:rFonts w:ascii="Times New Roman" w:hAnsi="Times New Roman"/>
                <w:b/>
                <w:bCs/>
                <w:sz w:val="16"/>
                <w:szCs w:val="16"/>
              </w:rPr>
            </w:pPr>
            <w:r w:rsidRPr="00C531A2">
              <w:rPr>
                <w:rFonts w:ascii="Times New Roman" w:hAnsi="Times New Roman"/>
                <w:b/>
                <w:bCs/>
                <w:sz w:val="16"/>
                <w:szCs w:val="16"/>
              </w:rPr>
              <w:t>93,1</w:t>
            </w:r>
          </w:p>
        </w:tc>
        <w:tc>
          <w:tcPr>
            <w:tcW w:w="1028" w:type="dxa"/>
            <w:tcBorders>
              <w:top w:val="nil"/>
              <w:left w:val="nil"/>
              <w:bottom w:val="single" w:sz="4" w:space="0" w:color="auto"/>
              <w:right w:val="single" w:sz="4" w:space="0" w:color="auto"/>
            </w:tcBorders>
            <w:noWrap/>
            <w:vAlign w:val="bottom"/>
            <w:hideMark/>
          </w:tcPr>
          <w:p w14:paraId="368AE535" w14:textId="77777777" w:rsidR="0090740B" w:rsidRPr="00C531A2" w:rsidRDefault="0090740B" w:rsidP="00725D9F">
            <w:pPr>
              <w:jc w:val="right"/>
              <w:rPr>
                <w:rFonts w:ascii="Times New Roman" w:hAnsi="Times New Roman"/>
                <w:b/>
                <w:bCs/>
                <w:color w:val="000000"/>
                <w:sz w:val="16"/>
                <w:szCs w:val="16"/>
              </w:rPr>
            </w:pPr>
            <w:r w:rsidRPr="00C531A2">
              <w:rPr>
                <w:rFonts w:ascii="Times New Roman" w:hAnsi="Times New Roman"/>
                <w:b/>
                <w:bCs/>
                <w:color w:val="000000"/>
                <w:sz w:val="16"/>
                <w:szCs w:val="16"/>
              </w:rPr>
              <w:t>92,0</w:t>
            </w:r>
          </w:p>
        </w:tc>
        <w:tc>
          <w:tcPr>
            <w:tcW w:w="1028" w:type="dxa"/>
            <w:tcBorders>
              <w:top w:val="nil"/>
              <w:left w:val="nil"/>
              <w:bottom w:val="single" w:sz="4" w:space="0" w:color="auto"/>
              <w:right w:val="single" w:sz="4" w:space="0" w:color="auto"/>
            </w:tcBorders>
            <w:noWrap/>
            <w:vAlign w:val="bottom"/>
            <w:hideMark/>
          </w:tcPr>
          <w:p w14:paraId="0987EBC3" w14:textId="77777777" w:rsidR="0090740B" w:rsidRPr="00C531A2" w:rsidRDefault="0090740B" w:rsidP="00725D9F">
            <w:pPr>
              <w:jc w:val="right"/>
              <w:rPr>
                <w:rFonts w:ascii="Times New Roman" w:hAnsi="Times New Roman"/>
                <w:b/>
                <w:bCs/>
                <w:color w:val="000000"/>
                <w:sz w:val="16"/>
                <w:szCs w:val="16"/>
              </w:rPr>
            </w:pPr>
            <w:r w:rsidRPr="00C531A2">
              <w:rPr>
                <w:rFonts w:ascii="Times New Roman" w:hAnsi="Times New Roman"/>
                <w:b/>
                <w:bCs/>
                <w:color w:val="000000"/>
                <w:sz w:val="16"/>
                <w:szCs w:val="16"/>
              </w:rPr>
              <w:t>14,2</w:t>
            </w:r>
          </w:p>
        </w:tc>
        <w:tc>
          <w:tcPr>
            <w:tcW w:w="1028" w:type="dxa"/>
            <w:tcBorders>
              <w:top w:val="nil"/>
              <w:left w:val="nil"/>
              <w:bottom w:val="single" w:sz="4" w:space="0" w:color="auto"/>
              <w:right w:val="single" w:sz="4" w:space="0" w:color="auto"/>
            </w:tcBorders>
            <w:noWrap/>
            <w:vAlign w:val="bottom"/>
            <w:hideMark/>
          </w:tcPr>
          <w:p w14:paraId="3E6C5296" w14:textId="77777777" w:rsidR="0090740B" w:rsidRPr="00C531A2" w:rsidRDefault="0090740B" w:rsidP="00725D9F">
            <w:pPr>
              <w:jc w:val="right"/>
              <w:rPr>
                <w:rFonts w:ascii="Times New Roman" w:hAnsi="Times New Roman"/>
                <w:b/>
                <w:bCs/>
                <w:color w:val="000000"/>
                <w:sz w:val="16"/>
                <w:szCs w:val="16"/>
              </w:rPr>
            </w:pPr>
            <w:r w:rsidRPr="00C531A2">
              <w:rPr>
                <w:rFonts w:ascii="Times New Roman" w:hAnsi="Times New Roman"/>
                <w:b/>
                <w:bCs/>
                <w:color w:val="000000"/>
                <w:sz w:val="16"/>
                <w:szCs w:val="16"/>
              </w:rPr>
              <w:t>12,6</w:t>
            </w:r>
          </w:p>
        </w:tc>
      </w:tr>
      <w:tr w:rsidR="0090740B" w:rsidRPr="00C531A2" w14:paraId="3C18CBA8" w14:textId="77777777" w:rsidTr="00725D9F">
        <w:trPr>
          <w:trHeight w:val="22"/>
        </w:trPr>
        <w:tc>
          <w:tcPr>
            <w:tcW w:w="1927" w:type="dxa"/>
            <w:tcBorders>
              <w:top w:val="nil"/>
              <w:left w:val="single" w:sz="4" w:space="0" w:color="auto"/>
              <w:bottom w:val="single" w:sz="4" w:space="0" w:color="auto"/>
              <w:right w:val="single" w:sz="4" w:space="0" w:color="auto"/>
            </w:tcBorders>
            <w:vAlign w:val="bottom"/>
            <w:hideMark/>
          </w:tcPr>
          <w:p w14:paraId="5B939BDD" w14:textId="77777777" w:rsidR="0090740B" w:rsidRPr="00C531A2" w:rsidRDefault="0090740B" w:rsidP="00725D9F">
            <w:pPr>
              <w:rPr>
                <w:rFonts w:ascii="Times New Roman" w:hAnsi="Times New Roman"/>
                <w:b/>
                <w:bCs/>
                <w:sz w:val="16"/>
                <w:szCs w:val="16"/>
              </w:rPr>
            </w:pPr>
            <w:r w:rsidRPr="00C531A2">
              <w:rPr>
                <w:rFonts w:ascii="Times New Roman" w:hAnsi="Times New Roman"/>
                <w:b/>
                <w:bCs/>
                <w:sz w:val="16"/>
                <w:szCs w:val="16"/>
              </w:rPr>
              <w:t xml:space="preserve"> Донације</w:t>
            </w:r>
          </w:p>
        </w:tc>
        <w:tc>
          <w:tcPr>
            <w:tcW w:w="1027" w:type="dxa"/>
            <w:tcBorders>
              <w:top w:val="nil"/>
              <w:left w:val="nil"/>
              <w:bottom w:val="single" w:sz="4" w:space="0" w:color="auto"/>
              <w:right w:val="single" w:sz="4" w:space="0" w:color="auto"/>
            </w:tcBorders>
            <w:noWrap/>
            <w:vAlign w:val="bottom"/>
            <w:hideMark/>
          </w:tcPr>
          <w:p w14:paraId="48CF5FDA" w14:textId="77777777" w:rsidR="0090740B" w:rsidRPr="00C531A2" w:rsidRDefault="0090740B" w:rsidP="00725D9F">
            <w:pPr>
              <w:jc w:val="right"/>
              <w:rPr>
                <w:rFonts w:ascii="Times New Roman" w:hAnsi="Times New Roman"/>
                <w:b/>
                <w:bCs/>
                <w:color w:val="000000"/>
                <w:sz w:val="16"/>
                <w:szCs w:val="16"/>
              </w:rPr>
            </w:pPr>
            <w:r w:rsidRPr="00C531A2">
              <w:rPr>
                <w:rFonts w:ascii="Times New Roman" w:hAnsi="Times New Roman"/>
                <w:b/>
                <w:bCs/>
                <w:color w:val="000000"/>
                <w:sz w:val="16"/>
                <w:szCs w:val="16"/>
              </w:rPr>
              <w:t>35,4</w:t>
            </w:r>
          </w:p>
        </w:tc>
        <w:tc>
          <w:tcPr>
            <w:tcW w:w="1028" w:type="dxa"/>
            <w:tcBorders>
              <w:top w:val="nil"/>
              <w:left w:val="nil"/>
              <w:bottom w:val="single" w:sz="4" w:space="0" w:color="auto"/>
              <w:right w:val="single" w:sz="4" w:space="0" w:color="auto"/>
            </w:tcBorders>
            <w:noWrap/>
            <w:vAlign w:val="bottom"/>
            <w:hideMark/>
          </w:tcPr>
          <w:p w14:paraId="569CFD9E" w14:textId="77777777" w:rsidR="0090740B" w:rsidRPr="00C531A2" w:rsidRDefault="0090740B" w:rsidP="00725D9F">
            <w:pPr>
              <w:jc w:val="right"/>
              <w:rPr>
                <w:rFonts w:ascii="Times New Roman" w:hAnsi="Times New Roman"/>
                <w:b/>
                <w:bCs/>
                <w:color w:val="000000"/>
                <w:sz w:val="16"/>
                <w:szCs w:val="16"/>
              </w:rPr>
            </w:pPr>
            <w:r w:rsidRPr="00C531A2">
              <w:rPr>
                <w:rFonts w:ascii="Times New Roman" w:hAnsi="Times New Roman"/>
                <w:b/>
                <w:bCs/>
                <w:color w:val="000000"/>
                <w:sz w:val="16"/>
                <w:szCs w:val="16"/>
              </w:rPr>
              <w:t>35,4</w:t>
            </w:r>
          </w:p>
        </w:tc>
        <w:tc>
          <w:tcPr>
            <w:tcW w:w="1028" w:type="dxa"/>
            <w:tcBorders>
              <w:top w:val="nil"/>
              <w:left w:val="nil"/>
              <w:bottom w:val="single" w:sz="4" w:space="0" w:color="auto"/>
              <w:right w:val="single" w:sz="4" w:space="0" w:color="auto"/>
            </w:tcBorders>
            <w:noWrap/>
            <w:vAlign w:val="bottom"/>
            <w:hideMark/>
          </w:tcPr>
          <w:p w14:paraId="5FBA84EB" w14:textId="77777777" w:rsidR="0090740B" w:rsidRPr="00C531A2" w:rsidRDefault="0090740B" w:rsidP="00725D9F">
            <w:pPr>
              <w:jc w:val="right"/>
              <w:rPr>
                <w:rFonts w:ascii="Times New Roman" w:hAnsi="Times New Roman"/>
                <w:b/>
                <w:bCs/>
                <w:color w:val="000000"/>
                <w:sz w:val="16"/>
                <w:szCs w:val="16"/>
              </w:rPr>
            </w:pPr>
            <w:r w:rsidRPr="00C531A2">
              <w:rPr>
                <w:rFonts w:ascii="Times New Roman" w:hAnsi="Times New Roman"/>
                <w:b/>
                <w:bCs/>
                <w:color w:val="000000"/>
                <w:sz w:val="16"/>
                <w:szCs w:val="16"/>
              </w:rPr>
              <w:t>31,4</w:t>
            </w:r>
          </w:p>
        </w:tc>
        <w:tc>
          <w:tcPr>
            <w:tcW w:w="1027" w:type="dxa"/>
            <w:tcBorders>
              <w:top w:val="nil"/>
              <w:left w:val="nil"/>
              <w:bottom w:val="single" w:sz="4" w:space="0" w:color="auto"/>
              <w:right w:val="single" w:sz="4" w:space="0" w:color="auto"/>
            </w:tcBorders>
            <w:noWrap/>
            <w:vAlign w:val="bottom"/>
            <w:hideMark/>
          </w:tcPr>
          <w:p w14:paraId="118A0224" w14:textId="77777777" w:rsidR="0090740B" w:rsidRPr="00C531A2" w:rsidRDefault="0090740B" w:rsidP="00725D9F">
            <w:pPr>
              <w:jc w:val="right"/>
              <w:rPr>
                <w:rFonts w:ascii="Times New Roman" w:hAnsi="Times New Roman"/>
                <w:b/>
                <w:bCs/>
                <w:color w:val="000000"/>
                <w:sz w:val="16"/>
                <w:szCs w:val="16"/>
              </w:rPr>
            </w:pPr>
            <w:r w:rsidRPr="00C531A2">
              <w:rPr>
                <w:rFonts w:ascii="Times New Roman" w:hAnsi="Times New Roman"/>
                <w:b/>
                <w:bCs/>
                <w:color w:val="000000"/>
                <w:sz w:val="16"/>
                <w:szCs w:val="16"/>
              </w:rPr>
              <w:t>88,6</w:t>
            </w:r>
          </w:p>
        </w:tc>
        <w:tc>
          <w:tcPr>
            <w:tcW w:w="1028" w:type="dxa"/>
            <w:tcBorders>
              <w:top w:val="nil"/>
              <w:left w:val="nil"/>
              <w:bottom w:val="single" w:sz="4" w:space="0" w:color="auto"/>
              <w:right w:val="single" w:sz="4" w:space="0" w:color="auto"/>
            </w:tcBorders>
            <w:noWrap/>
            <w:vAlign w:val="bottom"/>
            <w:hideMark/>
          </w:tcPr>
          <w:p w14:paraId="7680DF97" w14:textId="77777777" w:rsidR="0090740B" w:rsidRPr="00C531A2" w:rsidRDefault="0090740B" w:rsidP="00725D9F">
            <w:pPr>
              <w:jc w:val="right"/>
              <w:rPr>
                <w:rFonts w:ascii="Times New Roman" w:hAnsi="Times New Roman"/>
                <w:b/>
                <w:bCs/>
                <w:color w:val="000000"/>
                <w:sz w:val="16"/>
                <w:szCs w:val="16"/>
              </w:rPr>
            </w:pPr>
            <w:r w:rsidRPr="00C531A2">
              <w:rPr>
                <w:rFonts w:ascii="Times New Roman" w:hAnsi="Times New Roman"/>
                <w:b/>
                <w:bCs/>
                <w:color w:val="000000"/>
                <w:sz w:val="16"/>
                <w:szCs w:val="16"/>
              </w:rPr>
              <w:t>88,6</w:t>
            </w:r>
          </w:p>
        </w:tc>
        <w:tc>
          <w:tcPr>
            <w:tcW w:w="1028" w:type="dxa"/>
            <w:tcBorders>
              <w:top w:val="nil"/>
              <w:left w:val="nil"/>
              <w:bottom w:val="single" w:sz="4" w:space="0" w:color="auto"/>
              <w:right w:val="single" w:sz="4" w:space="0" w:color="auto"/>
            </w:tcBorders>
            <w:noWrap/>
            <w:vAlign w:val="bottom"/>
            <w:hideMark/>
          </w:tcPr>
          <w:p w14:paraId="490E8CC1" w14:textId="77777777" w:rsidR="0090740B" w:rsidRPr="00C531A2" w:rsidRDefault="0090740B" w:rsidP="00725D9F">
            <w:pPr>
              <w:jc w:val="right"/>
              <w:rPr>
                <w:rFonts w:ascii="Times New Roman" w:hAnsi="Times New Roman"/>
                <w:b/>
                <w:bCs/>
                <w:color w:val="000000"/>
                <w:sz w:val="16"/>
                <w:szCs w:val="16"/>
              </w:rPr>
            </w:pPr>
            <w:r w:rsidRPr="00C531A2">
              <w:rPr>
                <w:rFonts w:ascii="Times New Roman" w:hAnsi="Times New Roman"/>
                <w:b/>
                <w:bCs/>
                <w:color w:val="000000"/>
                <w:sz w:val="16"/>
                <w:szCs w:val="16"/>
              </w:rPr>
              <w:t>1,5</w:t>
            </w:r>
          </w:p>
        </w:tc>
        <w:tc>
          <w:tcPr>
            <w:tcW w:w="1028" w:type="dxa"/>
            <w:tcBorders>
              <w:top w:val="nil"/>
              <w:left w:val="nil"/>
              <w:bottom w:val="single" w:sz="4" w:space="0" w:color="auto"/>
              <w:right w:val="single" w:sz="4" w:space="0" w:color="auto"/>
            </w:tcBorders>
            <w:noWrap/>
            <w:vAlign w:val="bottom"/>
            <w:hideMark/>
          </w:tcPr>
          <w:p w14:paraId="4E3AAD57" w14:textId="77777777" w:rsidR="0090740B" w:rsidRPr="00C531A2" w:rsidRDefault="0090740B" w:rsidP="00725D9F">
            <w:pPr>
              <w:jc w:val="right"/>
              <w:rPr>
                <w:rFonts w:ascii="Times New Roman" w:hAnsi="Times New Roman"/>
                <w:b/>
                <w:bCs/>
                <w:color w:val="000000"/>
                <w:sz w:val="16"/>
                <w:szCs w:val="16"/>
              </w:rPr>
            </w:pPr>
            <w:r w:rsidRPr="00C531A2">
              <w:rPr>
                <w:rFonts w:ascii="Times New Roman" w:hAnsi="Times New Roman"/>
                <w:b/>
                <w:bCs/>
                <w:color w:val="000000"/>
                <w:sz w:val="16"/>
                <w:szCs w:val="16"/>
              </w:rPr>
              <w:t>1,3</w:t>
            </w:r>
          </w:p>
        </w:tc>
      </w:tr>
    </w:tbl>
    <w:p w14:paraId="1E49B8D6" w14:textId="77777777" w:rsidR="0090740B" w:rsidRPr="00C531A2" w:rsidRDefault="0090740B" w:rsidP="0090740B">
      <w:pPr>
        <w:keepNext/>
        <w:tabs>
          <w:tab w:val="left" w:pos="709"/>
        </w:tabs>
        <w:rPr>
          <w:rFonts w:ascii="Times New Roman" w:hAnsi="Times New Roman"/>
          <w:b/>
          <w:color w:val="000000"/>
        </w:rPr>
      </w:pPr>
    </w:p>
    <w:p w14:paraId="0D44A431" w14:textId="77777777" w:rsidR="0090740B" w:rsidRPr="00C531A2" w:rsidRDefault="0090740B" w:rsidP="0090740B">
      <w:pPr>
        <w:spacing w:after="120"/>
        <w:ind w:firstLine="720"/>
        <w:rPr>
          <w:rFonts w:ascii="Times New Roman" w:hAnsi="Times New Roman"/>
          <w:szCs w:val="24"/>
        </w:rPr>
      </w:pPr>
      <w:r w:rsidRPr="00C531A2">
        <w:rPr>
          <w:rFonts w:ascii="Times New Roman" w:hAnsi="Times New Roman"/>
          <w:b/>
          <w:szCs w:val="24"/>
        </w:rPr>
        <w:t>Порез на доходак</w:t>
      </w:r>
      <w:r w:rsidRPr="00C531A2">
        <w:rPr>
          <w:rFonts w:ascii="Times New Roman" w:hAnsi="Times New Roman"/>
          <w:szCs w:val="24"/>
        </w:rPr>
        <w:t xml:space="preserve"> пројектован је у износу од 150,5 млрд динара и већи је 7,3% у односу на процењени износ у 2025. години. Учешће пореза на доходак у 2026. години износи </w:t>
      </w:r>
      <w:r w:rsidRPr="00C531A2">
        <w:rPr>
          <w:rFonts w:ascii="Times New Roman" w:hAnsi="Times New Roman"/>
          <w:color w:val="000000" w:themeColor="text1"/>
          <w:szCs w:val="24"/>
        </w:rPr>
        <w:t xml:space="preserve">6,2% </w:t>
      </w:r>
      <w:r w:rsidRPr="00C531A2">
        <w:rPr>
          <w:rFonts w:ascii="Times New Roman" w:hAnsi="Times New Roman"/>
          <w:szCs w:val="24"/>
        </w:rPr>
        <w:t xml:space="preserve">у укупним буџетским приходима и задржава сличан ниво у односу на претходну годину. Процена прихода по овом основу узима у обзир значајно повећање минималне зараде, планирано повећање зарада у јавном сектору, одржавање позитивних трендова на тржишту рада у оквиру приватног сектора и повећање неопорезивог дела зараде. Због предвиђеног повећања неопорезивог дела зараде, стопа раста пореза на зараде у наредној години биће нешто нижа у односу на планирани раст масе зарада. Порез на зараде, као највећи део прихода од пореза на доходак, пројектован је у износу од 83,6 млрд динара. </w:t>
      </w:r>
    </w:p>
    <w:p w14:paraId="1D5B92FE" w14:textId="77777777" w:rsidR="0090740B" w:rsidRPr="00C531A2" w:rsidRDefault="0090740B" w:rsidP="0090740B">
      <w:pPr>
        <w:spacing w:after="120"/>
        <w:ind w:firstLine="720"/>
        <w:rPr>
          <w:rFonts w:ascii="Times New Roman" w:hAnsi="Times New Roman"/>
          <w:b/>
          <w:szCs w:val="24"/>
        </w:rPr>
      </w:pPr>
      <w:r w:rsidRPr="00C531A2">
        <w:rPr>
          <w:rFonts w:ascii="Times New Roman" w:hAnsi="Times New Roman"/>
          <w:szCs w:val="24"/>
        </w:rPr>
        <w:t xml:space="preserve">Други део укупних пореза на доходак чине остали облици као што су порез на дивиденде, порез на приходе од камата, годишњи порез на доходак и порез на </w:t>
      </w:r>
      <w:r w:rsidRPr="00C531A2">
        <w:rPr>
          <w:rFonts w:ascii="Times New Roman" w:hAnsi="Times New Roman"/>
          <w:szCs w:val="24"/>
        </w:rPr>
        <w:lastRenderedPageBreak/>
        <w:t>приходе од закупа непокретности. Приходи од дивиденди и осталих облика пореза на доходак одређени су кретањем економске активности и зарада из претходне године, као и пословним одлукама компанија у вези политике дивиденди и инвестиција. Ова група прихода пројектована је у укупном износу од 66,9 млрд динара.</w:t>
      </w:r>
    </w:p>
    <w:p w14:paraId="5D22CDAC" w14:textId="77777777" w:rsidR="0090740B" w:rsidRPr="00C531A2" w:rsidRDefault="0090740B" w:rsidP="0090740B">
      <w:pPr>
        <w:spacing w:after="120"/>
        <w:rPr>
          <w:rFonts w:ascii="Calibri" w:hAnsi="Calibri"/>
        </w:rPr>
      </w:pPr>
      <w:r w:rsidRPr="00C531A2">
        <w:rPr>
          <w:rFonts w:ascii="Times New Roman" w:hAnsi="Times New Roman"/>
          <w:b/>
          <w:szCs w:val="24"/>
        </w:rPr>
        <w:tab/>
        <w:t>Порез на добит</w:t>
      </w:r>
      <w:r w:rsidRPr="00C531A2">
        <w:rPr>
          <w:rFonts w:ascii="Times New Roman" w:hAnsi="Times New Roman"/>
          <w:szCs w:val="24"/>
        </w:rPr>
        <w:t xml:space="preserve"> правних лица пројектован је у износу од 275 млрд динара и повећан је за 9,2 млрд у односу на процењен износ у 2025. години. У укупним приходима буџета овај порески облик </w:t>
      </w:r>
      <w:r w:rsidRPr="00C531A2">
        <w:rPr>
          <w:rFonts w:ascii="Times New Roman" w:hAnsi="Times New Roman"/>
          <w:color w:val="000000" w:themeColor="text1"/>
          <w:szCs w:val="24"/>
        </w:rPr>
        <w:t xml:space="preserve">чини 11,4%. </w:t>
      </w:r>
      <w:r w:rsidRPr="00C531A2">
        <w:rPr>
          <w:rFonts w:ascii="Times New Roman" w:hAnsi="Times New Roman"/>
          <w:szCs w:val="24"/>
        </w:rPr>
        <w:t xml:space="preserve">Подаци о укупној профитабилности нису познати у тренутку израде буџета те се пројекцији овог прихода приступа опрезно. Већи приходи по основу пореза на добит у 2023. и 2024. години повећали су учешће у БДП овог прихода изнад просечних вредности забележених у претходном периоду. Водећи се принципом опрезности, у наредној години предвиђено је враћање учешћа овог пореза у БДП на вишегодишњи просечни ниво. </w:t>
      </w:r>
    </w:p>
    <w:p w14:paraId="1B39308E" w14:textId="77777777" w:rsidR="0090740B" w:rsidRPr="00C531A2" w:rsidRDefault="0090740B" w:rsidP="0090740B">
      <w:pPr>
        <w:tabs>
          <w:tab w:val="left" w:pos="1440"/>
        </w:tabs>
        <w:spacing w:after="120"/>
        <w:ind w:firstLine="720"/>
        <w:rPr>
          <w:rFonts w:ascii="Times New Roman" w:hAnsi="Times New Roman"/>
          <w:szCs w:val="24"/>
        </w:rPr>
      </w:pPr>
      <w:r w:rsidRPr="00C531A2">
        <w:rPr>
          <w:rFonts w:ascii="Times New Roman" w:hAnsi="Times New Roman"/>
          <w:b/>
          <w:szCs w:val="24"/>
        </w:rPr>
        <w:t>Порез на додату вредност</w:t>
      </w:r>
      <w:r w:rsidRPr="00C531A2">
        <w:rPr>
          <w:rFonts w:ascii="Times New Roman" w:hAnsi="Times New Roman"/>
          <w:szCs w:val="24"/>
        </w:rPr>
        <w:t xml:space="preserve"> пројектован је у висини од 1.084 млрд динара што представља номинално повећање од 8,2% у односу процену у 2025. години. Учешће ПДВ у структури укупних прихода, у 2026. години, расте и </w:t>
      </w:r>
      <w:r w:rsidRPr="00C531A2">
        <w:rPr>
          <w:rFonts w:ascii="Times New Roman" w:hAnsi="Times New Roman"/>
          <w:color w:val="000000" w:themeColor="text1"/>
          <w:szCs w:val="24"/>
        </w:rPr>
        <w:t xml:space="preserve">износи 44,9%. </w:t>
      </w:r>
      <w:r w:rsidRPr="00C531A2">
        <w:rPr>
          <w:rFonts w:ascii="Times New Roman" w:hAnsi="Times New Roman"/>
          <w:szCs w:val="24"/>
        </w:rPr>
        <w:t xml:space="preserve">Главна детерминанта кретања ПДВ је домаћа тражња вођена расположивим дохотком становништва. Расположиви доходак зависи од кретања зарада, пензија, социјалне помоћи и осталих облика доходака, укључујући и дознаке, као и од нивоа кредитне активности банака ка становништву. Мере усмерене на очување стандарда и куповне моћи становништва (раст минималне зараде, повећање плата у јавном сектору, редовно усклађивања пензија, повећање социјалних давања), уз претпостављено кретање зарада у приватном сектору, утицаће на повећани ниво расположивог дохотка у 2026. години. </w:t>
      </w:r>
    </w:p>
    <w:p w14:paraId="7C086EBB" w14:textId="77777777" w:rsidR="0090740B" w:rsidRPr="00C531A2" w:rsidRDefault="0090740B" w:rsidP="0090740B">
      <w:pPr>
        <w:tabs>
          <w:tab w:val="left" w:pos="1440"/>
        </w:tabs>
        <w:spacing w:after="120"/>
        <w:ind w:firstLine="720"/>
        <w:rPr>
          <w:rFonts w:ascii="Times New Roman" w:hAnsi="Times New Roman"/>
          <w:szCs w:val="24"/>
        </w:rPr>
      </w:pPr>
      <w:r w:rsidRPr="00C531A2">
        <w:rPr>
          <w:rFonts w:ascii="Times New Roman" w:hAnsi="Times New Roman"/>
          <w:szCs w:val="24"/>
        </w:rPr>
        <w:t>Кретање прихода од ПДВ у протеклих неколико година било је под утицајем једнократних фактора што је довело до већих унутаргодишњих ревизија у периоду од 2022. до 2025. године. У 2022. години дошло је до раста потрошње који је, добрим делом, проистекао из потрошње лица која су привремено боравила у земљи, већег прилива од туризма и значајног раста дознака, као и реализованог фискалног стимулуса. Поред тога, током 2022. године дошло је и до пораста такозване „паничне“ потрошње током првих месеци сукоба у Украјини. Ови фактори су допринели неструктурном повећању прихода од ПДВ-а у 2022. години, док су се ти ефекти током 2023. године, у највећој мери, исцрпели. Структурни опоравак личне потрошње бележи се у последњем кварталу 2023. године, а овај тренд се наставио и током 2024. године. Насупрот томе у 2025. години приходи од ПДВ ревидирани су наниже у односу на буџетски план. За разлику од периода када је приватна потрошња расла брже него расположиви доходак, током 2025. године био је присутан супротан тренд. Потрошња заостаје за растом дохотка, што указује на повећани опрез домаћинстава и одлагање потрошње у условима појачане неизвесности. У прилог томе говоре и подаци о снажном расту депозита (трансакциони и орочени) становништва код пословних банака. Очекује се да ће се приватна потрошња у наредном периоду стабилизовати и ускладити са кретањем расположивог дохотка, иако је и даље присутна неизвесност, првенствено у домену међународних економских односа.</w:t>
      </w:r>
    </w:p>
    <w:p w14:paraId="6A8CF025" w14:textId="77777777" w:rsidR="0090740B" w:rsidRPr="00C531A2" w:rsidRDefault="0090740B" w:rsidP="0090740B">
      <w:pPr>
        <w:tabs>
          <w:tab w:val="left" w:pos="1440"/>
        </w:tabs>
        <w:spacing w:after="120"/>
        <w:ind w:firstLine="720"/>
        <w:rPr>
          <w:rFonts w:ascii="Times New Roman" w:hAnsi="Times New Roman"/>
          <w:szCs w:val="24"/>
        </w:rPr>
      </w:pPr>
      <w:r w:rsidRPr="00C531A2">
        <w:rPr>
          <w:rFonts w:ascii="Times New Roman" w:hAnsi="Times New Roman"/>
          <w:szCs w:val="24"/>
        </w:rPr>
        <w:t xml:space="preserve">Резултати ефикасније наплате пореских прихода присутни су дужи период и очекује се да ти резултати буду очувани, с тим што ефекти борбе против сиве економије нису експлицитно укључени у пројекцију ПДВ. Ризици за остварење пројекције ПДВ у 2026. години произилазе из остварења макроекономских пројекција (привредни раст, кретање зарада и запослености у приватном сектору), општег сентимента потрошача који је био значајан фактор у 2025. години као и одржања ефикасности наплате. </w:t>
      </w:r>
    </w:p>
    <w:p w14:paraId="3BE5B128" w14:textId="37BD068E" w:rsidR="0090740B" w:rsidRPr="00C531A2" w:rsidRDefault="0090740B" w:rsidP="0090740B">
      <w:pPr>
        <w:tabs>
          <w:tab w:val="left" w:pos="1440"/>
        </w:tabs>
        <w:spacing w:after="120"/>
        <w:ind w:firstLine="720"/>
        <w:rPr>
          <w:rFonts w:ascii="Times New Roman" w:hAnsi="Times New Roman"/>
          <w:szCs w:val="24"/>
        </w:rPr>
      </w:pPr>
      <w:r w:rsidRPr="00C531A2">
        <w:rPr>
          <w:rFonts w:ascii="Times New Roman" w:hAnsi="Times New Roman"/>
          <w:b/>
          <w:szCs w:val="24"/>
        </w:rPr>
        <w:lastRenderedPageBreak/>
        <w:t>Приходи од акциза</w:t>
      </w:r>
      <w:r w:rsidRPr="00C531A2">
        <w:rPr>
          <w:rFonts w:ascii="Times New Roman" w:hAnsi="Times New Roman"/>
          <w:szCs w:val="24"/>
        </w:rPr>
        <w:t xml:space="preserve"> пројектовани су укупном износу од 453</w:t>
      </w:r>
      <w:r w:rsidR="00FF06FF">
        <w:rPr>
          <w:rFonts w:ascii="Times New Roman" w:hAnsi="Times New Roman"/>
          <w:szCs w:val="24"/>
        </w:rPr>
        <w:t>,3</w:t>
      </w:r>
      <w:r w:rsidRPr="00C531A2">
        <w:rPr>
          <w:rFonts w:ascii="Times New Roman" w:hAnsi="Times New Roman"/>
          <w:szCs w:val="24"/>
        </w:rPr>
        <w:t xml:space="preserve"> млрд динара. Акцизе на нафтне деривате планирају се у износу од 244 млрд динара, акцизе на дуванске производе 154 млрд динара, док су остале акцизе планиране у износу од 55,3 млрд динара. Учешће акциза у укупним </w:t>
      </w:r>
      <w:r w:rsidRPr="00C531A2">
        <w:rPr>
          <w:rFonts w:ascii="Times New Roman" w:hAnsi="Times New Roman"/>
          <w:color w:val="000000" w:themeColor="text1"/>
          <w:szCs w:val="24"/>
        </w:rPr>
        <w:t xml:space="preserve">приходима износи 18,8 %. Пројекција </w:t>
      </w:r>
      <w:r w:rsidRPr="00C531A2">
        <w:rPr>
          <w:rFonts w:ascii="Times New Roman" w:hAnsi="Times New Roman"/>
          <w:szCs w:val="24"/>
        </w:rPr>
        <w:t xml:space="preserve">прихода од акциза у 2025. години заснива се на предвиђеној висини акцизних стопа, те процена у кретању потрошње и цена одређених акцизних производа. </w:t>
      </w:r>
    </w:p>
    <w:p w14:paraId="75CA0CB7" w14:textId="77777777" w:rsidR="0090740B" w:rsidRPr="00C531A2" w:rsidRDefault="0090740B" w:rsidP="0090740B">
      <w:pPr>
        <w:tabs>
          <w:tab w:val="left" w:pos="1440"/>
        </w:tabs>
        <w:spacing w:after="120"/>
        <w:ind w:firstLine="720"/>
        <w:rPr>
          <w:rFonts w:ascii="Times New Roman" w:hAnsi="Times New Roman"/>
          <w:szCs w:val="24"/>
        </w:rPr>
      </w:pPr>
      <w:r w:rsidRPr="00C531A2">
        <w:rPr>
          <w:rFonts w:ascii="Times New Roman" w:hAnsi="Times New Roman"/>
          <w:szCs w:val="24"/>
        </w:rPr>
        <w:t xml:space="preserve">Планирани приходи од акцизе на нафтне деривате у 2026. години већи су за 3,8% у односу на процену ових прихода у 2025. години. За разлику од претходног периода, када су акцизном политиком смиривани инфлаторни притисци, у 2024. години она je враћена у редовне токове. Промет нафтних деривата током 2025. године је стабилизован, па је текућа потрошња добра основа за планирање прихода од акциза у наредном периоду. За буџетску 2026. годину пројекција прихода од акциза на деривате нафте претпоставља непромењен обим потрошње и износе акциза који ће, у складу са важећом регулативом, бити усклађени са инфлацијом из претходне године. У 2026. години наставља се примена механизма рефакције акцизе на гориво које се користи у пољопривредне сврхе, а и примена измењеног начина рефакције акцизе за транспортне сврхе у међународном саобраћају. Све наведено важи под претпоставком несметаног снабдевања домаћег тржишта свим потребним врстама и количинама нафтних деривата. </w:t>
      </w:r>
    </w:p>
    <w:p w14:paraId="6356C9BB" w14:textId="77777777" w:rsidR="0090740B" w:rsidRPr="00C531A2" w:rsidRDefault="0090740B" w:rsidP="0090740B">
      <w:pPr>
        <w:tabs>
          <w:tab w:val="left" w:pos="1440"/>
        </w:tabs>
        <w:spacing w:after="120"/>
        <w:ind w:firstLine="720"/>
        <w:rPr>
          <w:rFonts w:ascii="Times New Roman" w:hAnsi="Times New Roman"/>
          <w:szCs w:val="24"/>
        </w:rPr>
      </w:pPr>
      <w:r w:rsidRPr="00C531A2">
        <w:rPr>
          <w:rFonts w:ascii="Times New Roman" w:hAnsi="Times New Roman"/>
          <w:szCs w:val="24"/>
        </w:rPr>
        <w:t xml:space="preserve">Код акциза на дуванске прерађевине законски је одређена динамика подизања специфичних акцизних стопа. Постојећом регулативом задржава се повећање специфичних акциза по паклици у висини од 1,5 динар, у полугодишњој динамици, с тим што се законски износи увећавају за остварену стопу инфлације из претходне године изнад 2%. Пад потрошње дуванских производа присутан већ дужи низ година, настављен је и током 2025. године, иако нешто нижи него првобитно очекиван. За 2026. годину планиран је умерен пад потрошње дуванских производа од 2%. </w:t>
      </w:r>
    </w:p>
    <w:p w14:paraId="1385F183" w14:textId="77777777" w:rsidR="0090740B" w:rsidRPr="00C531A2" w:rsidRDefault="0090740B" w:rsidP="0090740B">
      <w:pPr>
        <w:tabs>
          <w:tab w:val="left" w:pos="1440"/>
        </w:tabs>
        <w:spacing w:after="120"/>
        <w:ind w:firstLine="720"/>
        <w:rPr>
          <w:rFonts w:ascii="Times New Roman" w:hAnsi="Times New Roman"/>
          <w:szCs w:val="24"/>
        </w:rPr>
      </w:pPr>
      <w:r w:rsidRPr="00C531A2">
        <w:rPr>
          <w:rFonts w:ascii="Times New Roman" w:hAnsi="Times New Roman"/>
          <w:szCs w:val="24"/>
        </w:rPr>
        <w:t xml:space="preserve">Приходи од акциза на алкохолна пића, кафу и електричну енергију (остале акцизе) пројектовани су у складу са постојећом структуром и нивоом потрошње ових производа, очекиваним ценама као и очекиваним редовним усклађивањем акцизних стопа. Од 2015. године уведена је </w:t>
      </w:r>
      <w:r w:rsidRPr="00C531A2">
        <w:rPr>
          <w:rFonts w:ascii="Times New Roman" w:hAnsi="Times New Roman"/>
          <w:i/>
          <w:szCs w:val="24"/>
        </w:rPr>
        <w:t>ад валорем</w:t>
      </w:r>
      <w:r w:rsidRPr="00C531A2">
        <w:rPr>
          <w:rFonts w:ascii="Times New Roman" w:hAnsi="Times New Roman"/>
          <w:szCs w:val="24"/>
        </w:rPr>
        <w:t xml:space="preserve"> акциза од 7,5% на вредносно изражену потрошњу електричне енергије, док се за остале производе из ове групације акциза обрачунава на количински изражену потрошњу тзв. специфична акциза. </w:t>
      </w:r>
    </w:p>
    <w:p w14:paraId="148EFB9E" w14:textId="77777777" w:rsidR="0090740B" w:rsidRPr="00C531A2" w:rsidRDefault="0090740B" w:rsidP="0090740B">
      <w:pPr>
        <w:tabs>
          <w:tab w:val="left" w:pos="1440"/>
        </w:tabs>
        <w:spacing w:after="120"/>
        <w:ind w:firstLine="720"/>
        <w:rPr>
          <w:rFonts w:ascii="Times New Roman" w:hAnsi="Times New Roman"/>
          <w:szCs w:val="24"/>
        </w:rPr>
      </w:pPr>
      <w:r w:rsidRPr="00C531A2">
        <w:rPr>
          <w:rFonts w:ascii="Times New Roman" w:hAnsi="Times New Roman"/>
          <w:b/>
          <w:szCs w:val="24"/>
        </w:rPr>
        <w:t>Приходи од царина</w:t>
      </w:r>
      <w:r w:rsidRPr="00C531A2">
        <w:rPr>
          <w:rFonts w:ascii="Times New Roman" w:hAnsi="Times New Roman"/>
          <w:szCs w:val="24"/>
        </w:rPr>
        <w:t xml:space="preserve"> у 2026. години пројектовани су у износу од 99,9 млрд што представља раст од 7% у односу на 2025. годину. Главне детерминанте за пројекцију прихода од царина су кретање увоза, промене у структури увоза и девизни курс. У наредном периоду очекивани су даљи ефекти примене споразума о слободној трговини са Кином као и усвајање сличних споразума са другим земљама, који могу утицати на динамику кретања наплате царинских дажбина.</w:t>
      </w:r>
    </w:p>
    <w:p w14:paraId="4C57ABBF" w14:textId="77777777" w:rsidR="0090740B" w:rsidRPr="00C531A2" w:rsidRDefault="0090740B" w:rsidP="0090740B">
      <w:pPr>
        <w:tabs>
          <w:tab w:val="left" w:pos="1440"/>
        </w:tabs>
        <w:spacing w:after="120"/>
        <w:ind w:firstLine="720"/>
        <w:rPr>
          <w:rFonts w:ascii="Times New Roman" w:hAnsi="Times New Roman"/>
          <w:szCs w:val="24"/>
        </w:rPr>
      </w:pPr>
      <w:r w:rsidRPr="00C531A2">
        <w:rPr>
          <w:rFonts w:ascii="Times New Roman" w:hAnsi="Times New Roman"/>
          <w:b/>
          <w:szCs w:val="24"/>
        </w:rPr>
        <w:t>Остали порески приходи</w:t>
      </w:r>
      <w:r w:rsidRPr="00C531A2">
        <w:rPr>
          <w:rFonts w:ascii="Times New Roman" w:hAnsi="Times New Roman"/>
          <w:szCs w:val="24"/>
        </w:rPr>
        <w:t xml:space="preserve"> у 2026. години пројектовани су у износу 17,3 млрд динара што је више за 0,7 млрд динара у односу на процену у 2025.  години. Ову групу чине порези на употребу, држање и ношење </w:t>
      </w:r>
      <w:r w:rsidRPr="00C531A2">
        <w:rPr>
          <w:rFonts w:ascii="Times New Roman" w:hAnsi="Times New Roman"/>
          <w:color w:val="000000" w:themeColor="text1"/>
          <w:szCs w:val="24"/>
        </w:rPr>
        <w:t xml:space="preserve">добара и чине 0,7% укупних </w:t>
      </w:r>
      <w:r w:rsidRPr="00C531A2">
        <w:rPr>
          <w:rFonts w:ascii="Times New Roman" w:hAnsi="Times New Roman"/>
          <w:szCs w:val="24"/>
        </w:rPr>
        <w:t xml:space="preserve">прихода. Ови приходи су релативно стабилни и кретање економске активности не утиче пресудно на њихову наплату. У републичком буџету највећи део овог прихода чини порез на употребу моторних возила. </w:t>
      </w:r>
    </w:p>
    <w:p w14:paraId="5A64A5F0" w14:textId="6067DFEC" w:rsidR="0090740B" w:rsidRPr="00C531A2" w:rsidRDefault="0090740B" w:rsidP="0090740B">
      <w:pPr>
        <w:tabs>
          <w:tab w:val="left" w:pos="709"/>
        </w:tabs>
        <w:spacing w:after="120"/>
        <w:ind w:firstLine="720"/>
        <w:rPr>
          <w:rFonts w:ascii="Times New Roman" w:hAnsi="Times New Roman"/>
          <w:szCs w:val="24"/>
        </w:rPr>
      </w:pPr>
      <w:r w:rsidRPr="00C531A2">
        <w:rPr>
          <w:rFonts w:ascii="Times New Roman" w:hAnsi="Times New Roman"/>
          <w:b/>
          <w:szCs w:val="24"/>
        </w:rPr>
        <w:t>Непорески приходи</w:t>
      </w:r>
      <w:r w:rsidRPr="00C531A2">
        <w:rPr>
          <w:rFonts w:ascii="Times New Roman" w:hAnsi="Times New Roman"/>
          <w:szCs w:val="24"/>
        </w:rPr>
        <w:t xml:space="preserve"> процењени су у износу од 303,3 млрд динара, </w:t>
      </w:r>
      <w:r w:rsidRPr="00C531A2">
        <w:rPr>
          <w:rFonts w:ascii="Times New Roman" w:hAnsi="Times New Roman"/>
          <w:color w:val="000000" w:themeColor="text1"/>
          <w:szCs w:val="24"/>
        </w:rPr>
        <w:t>што представља смањење од 8% у односу на процењени износ за 2025. годину. Учешће ове категорије у укупним приходима, у 202</w:t>
      </w:r>
      <w:r w:rsidR="002F22B7" w:rsidRPr="00C531A2">
        <w:rPr>
          <w:rFonts w:ascii="Times New Roman" w:hAnsi="Times New Roman"/>
          <w:color w:val="000000" w:themeColor="text1"/>
          <w:szCs w:val="24"/>
        </w:rPr>
        <w:t>6</w:t>
      </w:r>
      <w:r w:rsidRPr="00C531A2">
        <w:rPr>
          <w:rFonts w:ascii="Times New Roman" w:hAnsi="Times New Roman"/>
          <w:color w:val="000000" w:themeColor="text1"/>
          <w:szCs w:val="24"/>
        </w:rPr>
        <w:t xml:space="preserve">. години, опада и износи 12,6%. </w:t>
      </w:r>
      <w:r w:rsidRPr="00C531A2">
        <w:rPr>
          <w:rFonts w:ascii="Times New Roman" w:hAnsi="Times New Roman"/>
          <w:szCs w:val="24"/>
        </w:rPr>
        <w:t xml:space="preserve">Непорески приходи су хетерогена категорија прихода. Поједини непорески приходи индексирају се оствареном инфлацијом у претходној години, остали прате промену у вредности основе на коју се примењују и услед тога се коригују пројектованом </w:t>
      </w:r>
      <w:r w:rsidRPr="00C531A2">
        <w:rPr>
          <w:rFonts w:ascii="Times New Roman" w:hAnsi="Times New Roman"/>
          <w:szCs w:val="24"/>
        </w:rPr>
        <w:lastRenderedPageBreak/>
        <w:t xml:space="preserve">инфлацијом, док део чине једнократне уплате у буџет (ванредни непорески приходи), итд. Редовни непорески приходи су различите таксе, накнаде, казне, приходи органа и организација и сви остали приходи који се остварују устаљеном динамиком током године, у приближно сличним износима на месечном нивоу, уз одређене сезонске варијације. Ванредне непореске приходе чине уплате добити јавних предузећа и агенција, дивиденде буџета, приходи по основу наплаћених потраживања Агенције за осигурање депозита, емисионе премије, итд. </w:t>
      </w:r>
    </w:p>
    <w:p w14:paraId="623EC313" w14:textId="77777777" w:rsidR="0090740B" w:rsidRPr="00C531A2" w:rsidRDefault="0090740B" w:rsidP="0090740B">
      <w:pPr>
        <w:tabs>
          <w:tab w:val="left" w:pos="709"/>
        </w:tabs>
        <w:spacing w:after="120"/>
        <w:ind w:firstLine="720"/>
        <w:rPr>
          <w:rFonts w:ascii="Times New Roman" w:hAnsi="Times New Roman"/>
          <w:szCs w:val="24"/>
        </w:rPr>
      </w:pPr>
      <w:r w:rsidRPr="00C531A2">
        <w:rPr>
          <w:rFonts w:ascii="Times New Roman" w:hAnsi="Times New Roman"/>
          <w:szCs w:val="24"/>
        </w:rPr>
        <w:t xml:space="preserve">Редовни непорески приходи у 2026. години, према пројекцији </w:t>
      </w:r>
      <w:r w:rsidRPr="00C531A2">
        <w:rPr>
          <w:rFonts w:ascii="Times New Roman" w:hAnsi="Times New Roman"/>
          <w:color w:val="000000" w:themeColor="text1"/>
          <w:szCs w:val="24"/>
        </w:rPr>
        <w:t xml:space="preserve">износе 277,8 </w:t>
      </w:r>
      <w:r w:rsidRPr="00C531A2">
        <w:rPr>
          <w:rFonts w:ascii="Times New Roman" w:hAnsi="Times New Roman"/>
          <w:szCs w:val="24"/>
        </w:rPr>
        <w:t>млрд динара</w:t>
      </w:r>
      <w:r w:rsidRPr="00C531A2">
        <w:rPr>
          <w:rStyle w:val="FootnoteReference"/>
          <w:rFonts w:ascii="Times New Roman" w:hAnsi="Times New Roman"/>
          <w:szCs w:val="24"/>
        </w:rPr>
        <w:footnoteReference w:id="1"/>
      </w:r>
      <w:r w:rsidRPr="00C531A2">
        <w:rPr>
          <w:rFonts w:ascii="Times New Roman" w:hAnsi="Times New Roman"/>
          <w:szCs w:val="24"/>
        </w:rPr>
        <w:t xml:space="preserve"> уз умерен раст у односу на очекиван износ у 2025. години. При пројекцији за 2026. годину поједине категорије ових прихода индексиране су инфлацијом. Од 2015. године у оквиру ове групе непореских прихода налази се накнада за обавезне резерве нафте, која се плаћа по литру нафтних деривата, а усклађује се по истом принципу као и висина акцизе на нафтне деривате. У оквиру ове групе приказани су и приходи од продаје нефинансијске имовине. Иако је првобитно било планирано да се целокупан износ уплате од стране телекомуникационих оператера по основу дозвола за коришћење 5Г мреже уплати у 2025. години, накнадно је одлучено да се износ подели на две једнаке рате. Процедура добијања лиценци је у току и очекује се да прва половина износа буде уплаћена до краја 2025. године, а остатак у 2026. години. </w:t>
      </w:r>
    </w:p>
    <w:p w14:paraId="1CCE9668" w14:textId="77777777" w:rsidR="0090740B" w:rsidRPr="00C531A2" w:rsidRDefault="0090740B" w:rsidP="0090740B">
      <w:pPr>
        <w:tabs>
          <w:tab w:val="left" w:pos="709"/>
        </w:tabs>
        <w:spacing w:after="120"/>
        <w:ind w:firstLine="720"/>
        <w:rPr>
          <w:rFonts w:ascii="Times New Roman" w:hAnsi="Times New Roman"/>
          <w:szCs w:val="24"/>
        </w:rPr>
      </w:pPr>
      <w:r w:rsidRPr="00C531A2">
        <w:rPr>
          <w:rFonts w:ascii="Times New Roman" w:hAnsi="Times New Roman"/>
          <w:szCs w:val="24"/>
        </w:rPr>
        <w:t>Ванредни непорески приходи у 2026. години мањи су у односу на очекивани износ у 2025. години првенствено због тога што ће током 2025. године бити уплаћена добит од стране НБС, а у начелу ова врста уплата се не планира унапред. Код процене ове групе прихода начелно се полази се од њиховог структурног нивоа (дивиденде и уплата добити јавних предузећа и агенција) и најаве појединачних уплата. У 2026. години предвиђено је 25,5 млрд динара ванредних непореских прихода, од чега 14,5 млрд динара по основу добити и дивиденди. Овај принцип не прејудицира да до већих уплата по овом основу неће доћи, нити ограничава могуће уплате од стране субјеката који ту обавезу имају.</w:t>
      </w:r>
    </w:p>
    <w:p w14:paraId="3C6CD9D7" w14:textId="77777777" w:rsidR="0090740B" w:rsidRPr="00C531A2" w:rsidRDefault="0090740B" w:rsidP="0090740B">
      <w:pPr>
        <w:tabs>
          <w:tab w:val="left" w:pos="709"/>
        </w:tabs>
        <w:spacing w:after="120"/>
        <w:ind w:firstLine="720"/>
        <w:rPr>
          <w:rFonts w:ascii="Times New Roman" w:hAnsi="Times New Roman"/>
          <w:szCs w:val="24"/>
        </w:rPr>
      </w:pPr>
      <w:r w:rsidRPr="00C531A2">
        <w:rPr>
          <w:rFonts w:ascii="Times New Roman" w:hAnsi="Times New Roman"/>
          <w:szCs w:val="24"/>
        </w:rPr>
        <w:t>Сопствени приходи индиректних буџетских корисника неће бити посебно приказивани јер су укључивањем свих индиректних корисника буџета, постали саставни део укупних непореских прихода.</w:t>
      </w:r>
    </w:p>
    <w:p w14:paraId="36EDE094" w14:textId="77777777" w:rsidR="0090740B" w:rsidRPr="00C531A2" w:rsidRDefault="0090740B" w:rsidP="0090740B">
      <w:pPr>
        <w:tabs>
          <w:tab w:val="left" w:pos="709"/>
        </w:tabs>
        <w:spacing w:after="120"/>
        <w:rPr>
          <w:rFonts w:ascii="Times New Roman" w:hAnsi="Times New Roman"/>
          <w:szCs w:val="24"/>
        </w:rPr>
      </w:pPr>
      <w:r w:rsidRPr="00C531A2">
        <w:rPr>
          <w:rFonts w:ascii="Times New Roman" w:hAnsi="Times New Roman"/>
          <w:szCs w:val="24"/>
        </w:rPr>
        <w:tab/>
        <w:t xml:space="preserve">Очекивани износ </w:t>
      </w:r>
      <w:r w:rsidRPr="00C531A2">
        <w:rPr>
          <w:rFonts w:ascii="Times New Roman" w:hAnsi="Times New Roman"/>
          <w:b/>
          <w:szCs w:val="24"/>
        </w:rPr>
        <w:t>донација</w:t>
      </w:r>
      <w:r w:rsidRPr="00C531A2">
        <w:rPr>
          <w:rFonts w:ascii="Times New Roman" w:hAnsi="Times New Roman"/>
          <w:szCs w:val="24"/>
        </w:rPr>
        <w:t xml:space="preserve"> износи 31,4 млрд динара и у односу на 2025. годину је смањен, а пројектован је у складу са плановима буџетских корисника. Учешће овог облика прихода у укупним приходима буџета за 2026. годину износи 1,3%. </w:t>
      </w:r>
    </w:p>
    <w:p w14:paraId="5ECD4E94" w14:textId="77777777" w:rsidR="0090740B" w:rsidRPr="00C531A2" w:rsidRDefault="0090740B" w:rsidP="0090740B">
      <w:pPr>
        <w:tabs>
          <w:tab w:val="left" w:pos="709"/>
        </w:tabs>
        <w:spacing w:after="120" w:line="276" w:lineRule="auto"/>
        <w:rPr>
          <w:rFonts w:ascii="Times New Roman" w:hAnsi="Times New Roman"/>
        </w:rPr>
      </w:pPr>
      <w:r w:rsidRPr="00C531A2">
        <w:lastRenderedPageBreak/>
        <w:drawing>
          <wp:inline distT="0" distB="0" distL="0" distR="0" wp14:anchorId="212ECC1C" wp14:editId="1B590AB7">
            <wp:extent cx="5731510" cy="3751385"/>
            <wp:effectExtent l="0" t="0" r="2540" b="1905"/>
            <wp:docPr id="1965938483" name="Chart 1965938483">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54C622E" w14:textId="77777777" w:rsidR="0090740B" w:rsidRPr="00C531A2" w:rsidRDefault="0090740B" w:rsidP="0090740B">
      <w:pPr>
        <w:tabs>
          <w:tab w:val="left" w:pos="709"/>
        </w:tabs>
        <w:spacing w:after="120" w:line="276" w:lineRule="auto"/>
        <w:rPr>
          <w:rFonts w:ascii="Times New Roman" w:hAnsi="Times New Roman"/>
        </w:rPr>
      </w:pPr>
    </w:p>
    <w:p w14:paraId="5E5F2D17" w14:textId="77777777" w:rsidR="0090740B" w:rsidRPr="00C531A2" w:rsidRDefault="0090740B" w:rsidP="0090740B">
      <w:pPr>
        <w:tabs>
          <w:tab w:val="left" w:pos="709"/>
        </w:tabs>
        <w:spacing w:after="120" w:line="276" w:lineRule="auto"/>
        <w:rPr>
          <w:rFonts w:ascii="Times New Roman" w:hAnsi="Times New Roman"/>
        </w:rPr>
      </w:pPr>
    </w:p>
    <w:p w14:paraId="0451B5E8" w14:textId="77777777" w:rsidR="0090740B" w:rsidRPr="00C531A2" w:rsidRDefault="0090740B" w:rsidP="0090740B">
      <w:pPr>
        <w:jc w:val="center"/>
        <w:rPr>
          <w:rFonts w:ascii="Times New Roman" w:hAnsi="Times New Roman"/>
          <w:b/>
          <w:i/>
        </w:rPr>
      </w:pPr>
      <w:r w:rsidRPr="00C531A2">
        <w:drawing>
          <wp:inline distT="0" distB="0" distL="0" distR="0" wp14:anchorId="41FCDF54" wp14:editId="1D1072FC">
            <wp:extent cx="5731510" cy="3663462"/>
            <wp:effectExtent l="0" t="0" r="2540" b="13335"/>
            <wp:docPr id="3" name="Chart 3">
              <a:extLst xmlns:a="http://schemas.openxmlformats.org/drawingml/2006/main">
                <a:ext uri="{FF2B5EF4-FFF2-40B4-BE49-F238E27FC236}">
                  <a16:creationId xmlns:a16="http://schemas.microsoft.com/office/drawing/2014/main" id="{00000000-0008-0000-0100-00007604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DBC43FF" w14:textId="77777777" w:rsidR="0090740B" w:rsidRPr="00C531A2" w:rsidRDefault="0090740B" w:rsidP="0090740B">
      <w:pPr>
        <w:keepNext/>
        <w:tabs>
          <w:tab w:val="left" w:pos="709"/>
        </w:tabs>
        <w:spacing w:after="120"/>
        <w:rPr>
          <w:rFonts w:ascii="Times New Roman" w:hAnsi="Times New Roman"/>
          <w:bCs/>
          <w:sz w:val="18"/>
          <w:szCs w:val="18"/>
        </w:rPr>
      </w:pPr>
      <w:r w:rsidRPr="00C531A2">
        <w:rPr>
          <w:rFonts w:ascii="Times New Roman" w:hAnsi="Times New Roman"/>
          <w:b/>
          <w:color w:val="000000"/>
        </w:rPr>
        <w:tab/>
      </w:r>
    </w:p>
    <w:p w14:paraId="5680A765" w14:textId="77777777" w:rsidR="006A53C6" w:rsidRPr="00C531A2" w:rsidRDefault="006A53C6" w:rsidP="0090740B">
      <w:pPr>
        <w:jc w:val="center"/>
        <w:rPr>
          <w:rFonts w:ascii="Times New Roman" w:hAnsi="Times New Roman"/>
          <w:b/>
          <w:i/>
        </w:rPr>
      </w:pPr>
    </w:p>
    <w:p w14:paraId="1C2CD0A1" w14:textId="77777777" w:rsidR="006A53C6" w:rsidRPr="00C531A2" w:rsidRDefault="006A53C6" w:rsidP="0090740B">
      <w:pPr>
        <w:jc w:val="center"/>
        <w:rPr>
          <w:rFonts w:ascii="Times New Roman" w:hAnsi="Times New Roman"/>
          <w:b/>
          <w:i/>
        </w:rPr>
      </w:pPr>
    </w:p>
    <w:p w14:paraId="58555658" w14:textId="77777777" w:rsidR="006A53C6" w:rsidRPr="00C531A2" w:rsidRDefault="006A53C6" w:rsidP="0090740B">
      <w:pPr>
        <w:jc w:val="center"/>
        <w:rPr>
          <w:rFonts w:ascii="Times New Roman" w:hAnsi="Times New Roman"/>
          <w:b/>
          <w:i/>
        </w:rPr>
      </w:pPr>
    </w:p>
    <w:p w14:paraId="56F41C2E" w14:textId="77777777" w:rsidR="006A53C6" w:rsidRPr="00C531A2" w:rsidRDefault="006A53C6" w:rsidP="0090740B">
      <w:pPr>
        <w:jc w:val="center"/>
        <w:rPr>
          <w:rFonts w:ascii="Times New Roman" w:hAnsi="Times New Roman"/>
          <w:b/>
          <w:i/>
        </w:rPr>
      </w:pPr>
    </w:p>
    <w:p w14:paraId="4A8968C0" w14:textId="70F4557A" w:rsidR="0090740B" w:rsidRPr="00C531A2" w:rsidRDefault="0090740B" w:rsidP="0090740B">
      <w:pPr>
        <w:jc w:val="center"/>
        <w:rPr>
          <w:rFonts w:ascii="Times New Roman" w:hAnsi="Times New Roman"/>
          <w:b/>
          <w:i/>
        </w:rPr>
      </w:pPr>
      <w:r w:rsidRPr="00C531A2">
        <w:rPr>
          <w:rFonts w:ascii="Times New Roman" w:hAnsi="Times New Roman"/>
          <w:b/>
          <w:i/>
        </w:rPr>
        <w:lastRenderedPageBreak/>
        <w:t>Фискални резултати на нивоу опште државе у 2026 години</w:t>
      </w:r>
      <w:r w:rsidR="006E0E3C" w:rsidRPr="00C531A2">
        <w:rPr>
          <w:rFonts w:ascii="Times New Roman" w:hAnsi="Times New Roman"/>
          <w:b/>
          <w:i/>
        </w:rPr>
        <w:t xml:space="preserve"> </w:t>
      </w:r>
      <w:r w:rsidRPr="00C531A2">
        <w:rPr>
          <w:rFonts w:ascii="Times New Roman" w:hAnsi="Times New Roman"/>
          <w:b/>
          <w:i/>
        </w:rPr>
        <w:t>и средњорочни фискални оквир</w:t>
      </w:r>
    </w:p>
    <w:p w14:paraId="148462CC" w14:textId="77777777" w:rsidR="0090740B" w:rsidRPr="00C531A2" w:rsidRDefault="0090740B" w:rsidP="0090740B">
      <w:pPr>
        <w:tabs>
          <w:tab w:val="left" w:pos="709"/>
        </w:tabs>
        <w:spacing w:after="120"/>
        <w:ind w:firstLine="720"/>
        <w:rPr>
          <w:rFonts w:ascii="Times New Roman" w:hAnsi="Times New Roman"/>
          <w:b/>
          <w:szCs w:val="24"/>
        </w:rPr>
      </w:pPr>
      <w:r w:rsidRPr="00C531A2">
        <w:rPr>
          <w:rFonts w:ascii="Times New Roman" w:hAnsi="Times New Roman"/>
          <w:b/>
          <w:szCs w:val="24"/>
        </w:rPr>
        <w:t xml:space="preserve">Пројектовани дефицит сектора државе у 2026. години износи 3% БДП, док се јавни дуг на нивоу сектора државе смањује и до краја године задржава на нивоу од 44,5% БДП. </w:t>
      </w:r>
      <w:r w:rsidRPr="00C531A2">
        <w:rPr>
          <w:rFonts w:ascii="Times New Roman" w:hAnsi="Times New Roman"/>
          <w:szCs w:val="24"/>
        </w:rPr>
        <w:t>Средњорочни фискални оквир предвиђа одржавање дефицита сектора државе на нивоу од 3% у 2026. и 2027. години  и постепено смањење на 2,5% у 2028. години. У истом периоду  предвиђен је и пад учешћа јавног дуга на 44,1% БДП. Пројекције фискалних агрегата у периоду од 2026. до 2028. године заснивају се на пројекцијама макроекономских показатеља за наведени период, планираној пореској политици која подразумева даље усаглашавање са законима и директивама ЕУ и фискалним и структурним мерама.</w:t>
      </w:r>
    </w:p>
    <w:p w14:paraId="70932C14" w14:textId="35C7C15E" w:rsidR="001514B1" w:rsidRPr="00C531A2" w:rsidRDefault="0090740B" w:rsidP="008674EB">
      <w:pPr>
        <w:tabs>
          <w:tab w:val="left" w:pos="720"/>
        </w:tabs>
        <w:spacing w:after="120"/>
        <w:ind w:firstLine="720"/>
        <w:rPr>
          <w:rFonts w:ascii="Times New Roman" w:hAnsi="Times New Roman"/>
          <w:bCs/>
          <w:szCs w:val="24"/>
        </w:rPr>
      </w:pPr>
      <w:r w:rsidRPr="00C531A2">
        <w:rPr>
          <w:rFonts w:ascii="Times New Roman" w:hAnsi="Times New Roman"/>
          <w:b/>
          <w:szCs w:val="24"/>
        </w:rPr>
        <w:t xml:space="preserve">Циљеви фискалне политике у средњем року, остају уравнотежење и стабилизација јавних финансија, како би се смањило учешће јавног дуга у БДП и створиле основе за стабилан привредни раст. </w:t>
      </w:r>
      <w:r w:rsidRPr="00C531A2">
        <w:rPr>
          <w:rFonts w:ascii="Times New Roman" w:hAnsi="Times New Roman"/>
          <w:szCs w:val="24"/>
        </w:rPr>
        <w:t>Индикатори фискалне одрживости показују одсуство краткорочног ризика, док је примарни стабилизациони јаз позитиван, што потврђује стабилну силазну путању дуга. На страни расхода приоритет остаје на инвестицијама са највишим мултипликаторима - у саобраћај, енергетику, дигиталну и зелену транзицију - уз строгу контролу текућих расхода. На приходној страни, политика је усмерена на смањење пореског оптерећења рада, проширење пореске базе и унапређење наплате путем дигитализације и модернизације Пореске управе. Фискални ризици се контролишу конзервативним буџетирањем, одржавањем фискалних резерви и активним управљањем дугом. Главни ризици су продубљена глобална фрагментација, трговинске баријере, волатилност цена енергената и климатске политике. Одговор фискалне политике заснива се на одрживим јавним финансијама и убрзању структурних реформи ради очувања стабилности и инвестиционог кредибилитета.</w:t>
      </w:r>
      <w:r w:rsidRPr="00C531A2">
        <w:rPr>
          <w:rFonts w:ascii="Times New Roman" w:hAnsi="Times New Roman"/>
          <w:bCs/>
          <w:szCs w:val="24"/>
        </w:rPr>
        <w:t xml:space="preserve"> У целини, средњорочни фискални оквир спаја стабилност и развој: контролисани дефицити, опадајући јавни дуг, висока капитална улагања и предвидива социјална политика омогућавају да се одржи макрофискална стабилност, подржи раст од око 3,8% просечно  годишње и очува простор за реакцију у случају спољних шокова </w:t>
      </w:r>
      <w:r w:rsidR="006E0E3C" w:rsidRPr="00C531A2">
        <w:rPr>
          <w:rFonts w:ascii="Times New Roman" w:hAnsi="Times New Roman"/>
          <w:bCs/>
          <w:szCs w:val="24"/>
        </w:rPr>
        <w:t>-</w:t>
      </w:r>
      <w:r w:rsidRPr="00C531A2">
        <w:rPr>
          <w:rFonts w:ascii="Times New Roman" w:hAnsi="Times New Roman"/>
          <w:bCs/>
          <w:szCs w:val="24"/>
        </w:rPr>
        <w:t xml:space="preserve"> што Србију позиционира као стабилну, отпорну и развојно оријентисану економију.</w:t>
      </w:r>
    </w:p>
    <w:p w14:paraId="247BA696" w14:textId="77777777" w:rsidR="008674EB" w:rsidRPr="00C531A2" w:rsidRDefault="008674EB" w:rsidP="008674EB">
      <w:pPr>
        <w:tabs>
          <w:tab w:val="left" w:pos="720"/>
        </w:tabs>
        <w:spacing w:after="120"/>
        <w:ind w:firstLine="720"/>
        <w:rPr>
          <w:rFonts w:ascii="Times New Roman" w:hAnsi="Times New Roman"/>
          <w:bCs/>
          <w:szCs w:val="24"/>
        </w:rPr>
      </w:pPr>
    </w:p>
    <w:p w14:paraId="48ABE4D2" w14:textId="70B19519" w:rsidR="00ED3C0C" w:rsidRPr="00C531A2" w:rsidRDefault="007104F0" w:rsidP="00013BBC">
      <w:pPr>
        <w:pStyle w:val="ListParagraph"/>
        <w:numPr>
          <w:ilvl w:val="0"/>
          <w:numId w:val="12"/>
        </w:numPr>
        <w:tabs>
          <w:tab w:val="left" w:pos="720"/>
        </w:tabs>
        <w:spacing w:after="120"/>
        <w:rPr>
          <w:rFonts w:ascii="Times New Roman" w:hAnsi="Times New Roman"/>
          <w:bCs/>
          <w:sz w:val="24"/>
          <w:szCs w:val="28"/>
          <w:lang w:val="sr-Cyrl-RS"/>
        </w:rPr>
      </w:pPr>
      <w:r w:rsidRPr="00C531A2">
        <w:rPr>
          <w:rFonts w:ascii="Times New Roman" w:hAnsi="Times New Roman"/>
          <w:b/>
          <w:bCs/>
          <w:sz w:val="24"/>
          <w:szCs w:val="28"/>
          <w:lang w:val="sr-Cyrl-RS"/>
        </w:rPr>
        <w:t>Образложење расхода и издатака буџета</w:t>
      </w:r>
    </w:p>
    <w:p w14:paraId="0AE4D2D9" w14:textId="4A8D34A8" w:rsidR="006F7707" w:rsidRPr="00C531A2" w:rsidRDefault="006F7707" w:rsidP="006F7707">
      <w:pPr>
        <w:tabs>
          <w:tab w:val="left" w:pos="709"/>
        </w:tabs>
        <w:rPr>
          <w:rFonts w:ascii="Times New Roman" w:hAnsi="Times New Roman"/>
        </w:rPr>
      </w:pPr>
      <w:r w:rsidRPr="00C531A2">
        <w:rPr>
          <w:rFonts w:ascii="Times New Roman" w:hAnsi="Times New Roman"/>
          <w:b/>
          <w:bCs/>
          <w:szCs w:val="24"/>
        </w:rPr>
        <w:tab/>
      </w:r>
      <w:r w:rsidR="00761525" w:rsidRPr="00C531A2">
        <w:rPr>
          <w:rFonts w:ascii="Times New Roman" w:hAnsi="Times New Roman"/>
          <w:szCs w:val="24"/>
        </w:rPr>
        <w:t xml:space="preserve">Приликом планирања расхода и издатака за сваког буџетског корисника, пошло се од важеће организационе, функционалне и програмске структуре, као и надлежности корисника према Закону о министарствима </w:t>
      </w:r>
      <w:r w:rsidR="00761525" w:rsidRPr="00C531A2">
        <w:rPr>
          <w:rFonts w:ascii="Times New Roman" w:hAnsi="Times New Roman"/>
        </w:rPr>
        <w:t>(„Службени гласник РС”, бр. 128/20</w:t>
      </w:r>
      <w:r w:rsidR="005E5F02" w:rsidRPr="00C531A2">
        <w:rPr>
          <w:rFonts w:ascii="Times New Roman" w:hAnsi="Times New Roman"/>
        </w:rPr>
        <w:t xml:space="preserve">, </w:t>
      </w:r>
      <w:r w:rsidR="00761525" w:rsidRPr="00C531A2">
        <w:rPr>
          <w:rFonts w:ascii="Times New Roman" w:hAnsi="Times New Roman"/>
        </w:rPr>
        <w:t>116/22</w:t>
      </w:r>
      <w:r w:rsidR="005E5F02" w:rsidRPr="00C531A2">
        <w:rPr>
          <w:rFonts w:ascii="Times New Roman" w:hAnsi="Times New Roman"/>
        </w:rPr>
        <w:t xml:space="preserve"> и 92/23-др. закон</w:t>
      </w:r>
      <w:r w:rsidR="00761525" w:rsidRPr="00C531A2">
        <w:rPr>
          <w:rFonts w:ascii="Times New Roman" w:hAnsi="Times New Roman"/>
        </w:rPr>
        <w:t>).</w:t>
      </w:r>
    </w:p>
    <w:p w14:paraId="1F0AD568" w14:textId="18E51320" w:rsidR="005821B2" w:rsidRPr="00C531A2" w:rsidRDefault="007104F0" w:rsidP="00CC0F16">
      <w:pPr>
        <w:tabs>
          <w:tab w:val="left" w:pos="709"/>
        </w:tabs>
        <w:rPr>
          <w:rFonts w:ascii="Times New Roman" w:hAnsi="Times New Roman"/>
          <w:szCs w:val="24"/>
        </w:rPr>
      </w:pPr>
      <w:r w:rsidRPr="00C531A2">
        <w:rPr>
          <w:rFonts w:ascii="Times New Roman" w:hAnsi="Times New Roman"/>
          <w:szCs w:val="24"/>
        </w:rPr>
        <w:tab/>
        <w:t>Расходи и издаци приказани по бруто принципу обухватају поред расхода и издатака који се финансирају из општих прихода</w:t>
      </w:r>
      <w:r w:rsidR="008C33C0" w:rsidRPr="00C531A2">
        <w:rPr>
          <w:rFonts w:ascii="Times New Roman" w:hAnsi="Times New Roman"/>
          <w:szCs w:val="24"/>
        </w:rPr>
        <w:t xml:space="preserve"> и примања</w:t>
      </w:r>
      <w:r w:rsidRPr="00C531A2">
        <w:rPr>
          <w:rFonts w:ascii="Times New Roman" w:hAnsi="Times New Roman"/>
          <w:szCs w:val="24"/>
        </w:rPr>
        <w:t xml:space="preserve"> буџета и оне расходе и издатке које корисници буџетских средстава финансирају из донација, домаћих и међународних кредита, као и прихода које корисници остваре продајом добара и услуга</w:t>
      </w:r>
      <w:r w:rsidR="00540346" w:rsidRPr="00C531A2">
        <w:rPr>
          <w:rFonts w:ascii="Times New Roman" w:hAnsi="Times New Roman"/>
          <w:szCs w:val="24"/>
        </w:rPr>
        <w:t xml:space="preserve"> у складу са Законом о буџетском систему </w:t>
      </w:r>
      <w:r w:rsidR="00B2225A" w:rsidRPr="00C531A2">
        <w:rPr>
          <w:rFonts w:ascii="Times New Roman" w:hAnsi="Times New Roman"/>
          <w:bCs/>
          <w:color w:val="000000"/>
          <w:szCs w:val="24"/>
        </w:rPr>
        <w:t xml:space="preserve">(„Службени гласник РС”, бр. 54/09, 73/10, 101/10, 101/11, 93/12, 62/13, 63/13 </w:t>
      </w:r>
      <w:r w:rsidR="00E55B49" w:rsidRPr="00C531A2">
        <w:rPr>
          <w:rFonts w:ascii="Times New Roman" w:hAnsi="Times New Roman"/>
          <w:bCs/>
          <w:color w:val="000000"/>
          <w:szCs w:val="24"/>
        </w:rPr>
        <w:t>-</w:t>
      </w:r>
      <w:r w:rsidR="00B2225A" w:rsidRPr="00C531A2">
        <w:rPr>
          <w:rFonts w:ascii="Times New Roman" w:hAnsi="Times New Roman"/>
          <w:bCs/>
          <w:color w:val="000000"/>
          <w:szCs w:val="24"/>
        </w:rPr>
        <w:t xml:space="preserve"> исправка, 108/13, 142/14, 68/15 </w:t>
      </w:r>
      <w:r w:rsidR="00E55B49" w:rsidRPr="00C531A2">
        <w:rPr>
          <w:rFonts w:ascii="Times New Roman" w:hAnsi="Times New Roman"/>
          <w:bCs/>
          <w:color w:val="000000"/>
          <w:szCs w:val="24"/>
        </w:rPr>
        <w:t>-</w:t>
      </w:r>
      <w:r w:rsidR="00B2225A" w:rsidRPr="00C531A2">
        <w:rPr>
          <w:rFonts w:ascii="Times New Roman" w:hAnsi="Times New Roman"/>
          <w:bCs/>
          <w:color w:val="000000"/>
          <w:szCs w:val="24"/>
        </w:rPr>
        <w:t xml:space="preserve"> др. закон, 103/15, 99/16, 113/17, 95/18, 31/19, 72/19, 149/20, 118/21, 118/21 </w:t>
      </w:r>
      <w:r w:rsidR="00E55B49" w:rsidRPr="00C531A2">
        <w:rPr>
          <w:rFonts w:ascii="Times New Roman" w:hAnsi="Times New Roman"/>
          <w:bCs/>
          <w:color w:val="000000"/>
          <w:szCs w:val="24"/>
        </w:rPr>
        <w:t>-</w:t>
      </w:r>
      <w:r w:rsidR="00B2225A" w:rsidRPr="00C531A2">
        <w:rPr>
          <w:rFonts w:ascii="Times New Roman" w:hAnsi="Times New Roman"/>
          <w:bCs/>
          <w:color w:val="000000"/>
          <w:szCs w:val="24"/>
        </w:rPr>
        <w:t xml:space="preserve"> др. закон</w:t>
      </w:r>
      <w:r w:rsidR="00527DD4" w:rsidRPr="00C531A2">
        <w:rPr>
          <w:rFonts w:ascii="Times New Roman" w:hAnsi="Times New Roman"/>
          <w:bCs/>
          <w:color w:val="000000"/>
          <w:szCs w:val="24"/>
        </w:rPr>
        <w:t xml:space="preserve">, </w:t>
      </w:r>
      <w:r w:rsidR="00B2225A" w:rsidRPr="00C531A2">
        <w:rPr>
          <w:rFonts w:ascii="Times New Roman" w:hAnsi="Times New Roman"/>
          <w:bCs/>
          <w:color w:val="000000"/>
          <w:szCs w:val="24"/>
        </w:rPr>
        <w:t>138/22</w:t>
      </w:r>
      <w:r w:rsidR="009C75BB" w:rsidRPr="00C531A2">
        <w:rPr>
          <w:rFonts w:ascii="Times New Roman" w:hAnsi="Times New Roman"/>
          <w:bCs/>
          <w:color w:val="000000"/>
          <w:szCs w:val="24"/>
        </w:rPr>
        <w:t xml:space="preserve">, </w:t>
      </w:r>
      <w:r w:rsidR="00527DD4" w:rsidRPr="00C531A2">
        <w:rPr>
          <w:rFonts w:ascii="Times New Roman" w:hAnsi="Times New Roman"/>
          <w:bCs/>
          <w:color w:val="000000"/>
          <w:szCs w:val="24"/>
        </w:rPr>
        <w:t>92/23</w:t>
      </w:r>
      <w:r w:rsidR="009C75BB" w:rsidRPr="00C531A2">
        <w:rPr>
          <w:rFonts w:ascii="Times New Roman" w:hAnsi="Times New Roman"/>
          <w:bCs/>
          <w:color w:val="000000"/>
          <w:szCs w:val="24"/>
        </w:rPr>
        <w:t xml:space="preserve"> и 94/24</w:t>
      </w:r>
      <w:r w:rsidR="00B2225A" w:rsidRPr="00C531A2">
        <w:rPr>
          <w:rFonts w:ascii="Times New Roman" w:hAnsi="Times New Roman"/>
          <w:bCs/>
          <w:color w:val="000000"/>
          <w:szCs w:val="24"/>
        </w:rPr>
        <w:t>)</w:t>
      </w:r>
      <w:r w:rsidR="00B2225A" w:rsidRPr="00C531A2">
        <w:rPr>
          <w:rFonts w:ascii="Times New Roman" w:hAnsi="Times New Roman"/>
          <w:szCs w:val="24"/>
        </w:rPr>
        <w:t xml:space="preserve"> </w:t>
      </w:r>
      <w:r w:rsidR="00A11FD8" w:rsidRPr="00C531A2">
        <w:rPr>
          <w:rFonts w:ascii="Times New Roman" w:hAnsi="Times New Roman"/>
          <w:szCs w:val="24"/>
        </w:rPr>
        <w:t>и других извора финансирања.</w:t>
      </w:r>
    </w:p>
    <w:p w14:paraId="045AFD8E" w14:textId="64871E51" w:rsidR="0039795D" w:rsidRPr="00C531A2" w:rsidRDefault="00896DA8" w:rsidP="00CC0F16">
      <w:pPr>
        <w:tabs>
          <w:tab w:val="left" w:pos="709"/>
        </w:tabs>
        <w:rPr>
          <w:rFonts w:ascii="Times New Roman" w:eastAsia="Calibri" w:hAnsi="Times New Roman"/>
          <w:bCs/>
        </w:rPr>
      </w:pPr>
      <w:r w:rsidRPr="00C531A2">
        <w:rPr>
          <w:rFonts w:ascii="Times New Roman" w:hAnsi="Times New Roman"/>
        </w:rPr>
        <w:tab/>
        <w:t>У буџету Републике Србије за 202</w:t>
      </w:r>
      <w:r w:rsidR="009C75BB" w:rsidRPr="00C531A2">
        <w:rPr>
          <w:rFonts w:ascii="Times New Roman" w:hAnsi="Times New Roman"/>
        </w:rPr>
        <w:t>6</w:t>
      </w:r>
      <w:r w:rsidRPr="00C531A2">
        <w:rPr>
          <w:rFonts w:ascii="Times New Roman" w:hAnsi="Times New Roman"/>
        </w:rPr>
        <w:t>. годину, планирана су средства између осталог</w:t>
      </w:r>
      <w:r w:rsidR="005821B2" w:rsidRPr="00C531A2">
        <w:rPr>
          <w:rFonts w:ascii="Times New Roman" w:hAnsi="Times New Roman"/>
        </w:rPr>
        <w:t xml:space="preserve"> и</w:t>
      </w:r>
      <w:r w:rsidRPr="00C531A2">
        <w:rPr>
          <w:rFonts w:ascii="Times New Roman" w:hAnsi="Times New Roman"/>
        </w:rPr>
        <w:t xml:space="preserve"> за повећање плата и пензија,</w:t>
      </w:r>
      <w:r w:rsidR="005821B2" w:rsidRPr="00C531A2">
        <w:rPr>
          <w:rFonts w:ascii="Times New Roman" w:hAnsi="Times New Roman"/>
        </w:rPr>
        <w:t xml:space="preserve"> </w:t>
      </w:r>
      <w:r w:rsidRPr="00C531A2">
        <w:rPr>
          <w:rFonts w:ascii="Times New Roman" w:hAnsi="Times New Roman"/>
        </w:rPr>
        <w:t>изградњу највећих инфраструктурних пројеката</w:t>
      </w:r>
      <w:r w:rsidR="000C0DBE" w:rsidRPr="00C531A2">
        <w:rPr>
          <w:rFonts w:ascii="Times New Roman" w:hAnsi="Times New Roman"/>
        </w:rPr>
        <w:t xml:space="preserve"> </w:t>
      </w:r>
      <w:r w:rsidR="00636D77" w:rsidRPr="00C531A2">
        <w:rPr>
          <w:rFonts w:ascii="Times New Roman" w:eastAsia="Calibri" w:hAnsi="Times New Roman"/>
          <w:bCs/>
        </w:rPr>
        <w:t xml:space="preserve">и </w:t>
      </w:r>
      <w:r w:rsidR="003E7D5C" w:rsidRPr="00C531A2">
        <w:rPr>
          <w:rFonts w:ascii="Times New Roman" w:hAnsi="Times New Roman"/>
        </w:rPr>
        <w:t>остале расходе и издатке у складу са надлежности</w:t>
      </w:r>
      <w:r w:rsidR="005D130C" w:rsidRPr="00C531A2">
        <w:rPr>
          <w:rFonts w:ascii="Times New Roman" w:hAnsi="Times New Roman"/>
        </w:rPr>
        <w:t>ма</w:t>
      </w:r>
      <w:r w:rsidR="003E7D5C" w:rsidRPr="00C531A2">
        <w:rPr>
          <w:rFonts w:ascii="Times New Roman" w:hAnsi="Times New Roman"/>
        </w:rPr>
        <w:t xml:space="preserve"> буџетских корисника</w:t>
      </w:r>
      <w:r w:rsidR="007F13AC" w:rsidRPr="00C531A2">
        <w:rPr>
          <w:rFonts w:ascii="Times New Roman" w:hAnsi="Times New Roman"/>
        </w:rPr>
        <w:t>.</w:t>
      </w:r>
    </w:p>
    <w:p w14:paraId="445DE5DE" w14:textId="77777777" w:rsidR="005D130C" w:rsidRPr="00C531A2" w:rsidRDefault="005D130C" w:rsidP="00CC0F16">
      <w:pPr>
        <w:tabs>
          <w:tab w:val="left" w:pos="709"/>
        </w:tabs>
        <w:rPr>
          <w:rFonts w:ascii="Times New Roman" w:hAnsi="Times New Roman"/>
        </w:rPr>
      </w:pPr>
    </w:p>
    <w:p w14:paraId="4B3E347C" w14:textId="77777777" w:rsidR="00492FA0" w:rsidRPr="00C531A2" w:rsidRDefault="00492FA0" w:rsidP="00CC0F16">
      <w:pPr>
        <w:tabs>
          <w:tab w:val="left" w:pos="709"/>
        </w:tabs>
        <w:rPr>
          <w:rFonts w:ascii="Times New Roman" w:hAnsi="Times New Roman"/>
          <w:b/>
        </w:rPr>
      </w:pPr>
    </w:p>
    <w:p w14:paraId="049AE9A1" w14:textId="57D96D2D" w:rsidR="00593327" w:rsidRPr="00C531A2" w:rsidRDefault="00D46F44" w:rsidP="00CC0F16">
      <w:pPr>
        <w:tabs>
          <w:tab w:val="left" w:pos="709"/>
        </w:tabs>
        <w:rPr>
          <w:rFonts w:ascii="Times New Roman" w:hAnsi="Times New Roman"/>
          <w:b/>
        </w:rPr>
      </w:pPr>
      <w:r w:rsidRPr="00C531A2">
        <w:rPr>
          <w:rFonts w:ascii="Times New Roman" w:hAnsi="Times New Roman"/>
          <w:b/>
        </w:rPr>
        <w:lastRenderedPageBreak/>
        <w:t>Расходи и издаци буџета Републике Србије за 202</w:t>
      </w:r>
      <w:r w:rsidR="009C75BB" w:rsidRPr="00C531A2">
        <w:rPr>
          <w:rFonts w:ascii="Times New Roman" w:hAnsi="Times New Roman"/>
          <w:b/>
        </w:rPr>
        <w:t>6</w:t>
      </w:r>
      <w:r w:rsidRPr="00C531A2">
        <w:rPr>
          <w:rFonts w:ascii="Times New Roman" w:hAnsi="Times New Roman"/>
          <w:b/>
        </w:rPr>
        <w:t>. годину</w:t>
      </w:r>
    </w:p>
    <w:p w14:paraId="397A84B1" w14:textId="77777777" w:rsidR="009A129D" w:rsidRPr="00C531A2" w:rsidRDefault="009A129D" w:rsidP="002201E2">
      <w:pPr>
        <w:tabs>
          <w:tab w:val="left" w:pos="720"/>
        </w:tabs>
        <w:spacing w:after="120"/>
        <w:rPr>
          <w:rFonts w:ascii="Times New Roman" w:hAnsi="Times New Roman"/>
          <w:szCs w:val="24"/>
        </w:rPr>
      </w:pPr>
    </w:p>
    <w:tbl>
      <w:tblPr>
        <w:tblW w:w="0" w:type="auto"/>
        <w:tblLayout w:type="fixed"/>
        <w:tblCellMar>
          <w:left w:w="0" w:type="dxa"/>
          <w:right w:w="0" w:type="dxa"/>
        </w:tblCellMar>
        <w:tblLook w:val="0000" w:firstRow="0" w:lastRow="0" w:firstColumn="0" w:lastColumn="0" w:noHBand="0" w:noVBand="0"/>
      </w:tblPr>
      <w:tblGrid>
        <w:gridCol w:w="5660"/>
        <w:gridCol w:w="1620"/>
        <w:gridCol w:w="1927"/>
      </w:tblGrid>
      <w:tr w:rsidR="00E65FE9" w:rsidRPr="000C0BCB" w14:paraId="18083F29" w14:textId="77777777" w:rsidTr="007267A6">
        <w:trPr>
          <w:trHeight w:val="280"/>
          <w:tblHeader/>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7C622633" w14:textId="77777777" w:rsidR="00E65FE9" w:rsidRPr="000C0BCB" w:rsidRDefault="00E65FE9" w:rsidP="007267A6">
            <w:pPr>
              <w:jc w:val="center"/>
            </w:pPr>
            <w:r w:rsidRPr="000C0BCB">
              <w:rPr>
                <w:color w:val="000000"/>
              </w:rPr>
              <w:t>ОПИС</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5C6065FE" w14:textId="77777777" w:rsidR="00E65FE9" w:rsidRPr="000C0BCB" w:rsidRDefault="00E65FE9" w:rsidP="007267A6">
            <w:pPr>
              <w:jc w:val="center"/>
            </w:pPr>
            <w:r w:rsidRPr="000C0BCB">
              <w:rPr>
                <w:color w:val="000000"/>
              </w:rPr>
              <w:t>Eкономскa класификацијa</w:t>
            </w: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793597AA" w14:textId="77777777" w:rsidR="00E65FE9" w:rsidRPr="000C0BCB" w:rsidRDefault="00E65FE9" w:rsidP="007267A6">
            <w:pPr>
              <w:jc w:val="center"/>
            </w:pPr>
            <w:r w:rsidRPr="000C0BCB">
              <w:rPr>
                <w:color w:val="000000"/>
              </w:rPr>
              <w:t>Износ у динарима</w:t>
            </w:r>
          </w:p>
        </w:tc>
      </w:tr>
      <w:tr w:rsidR="00E65FE9" w:rsidRPr="000C0BCB" w14:paraId="3A3BD528" w14:textId="77777777" w:rsidTr="007267A6">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0F6BB8AD" w14:textId="77777777" w:rsidR="00E65FE9" w:rsidRPr="000C0BCB" w:rsidRDefault="00E65FE9" w:rsidP="007267A6">
            <w:r w:rsidRPr="000C0BCB">
              <w:rPr>
                <w:color w:val="000000"/>
              </w:rPr>
              <w:t>УКУПНИ РАСХОДИ И ИЗДАЦИ</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329881D7" w14:textId="77777777" w:rsidR="00E65FE9" w:rsidRPr="000C0BCB" w:rsidRDefault="00E65FE9" w:rsidP="007267A6"/>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1FB9E967" w14:textId="77777777" w:rsidR="00E65FE9" w:rsidRPr="00B02AE6" w:rsidRDefault="00E65FE9" w:rsidP="007267A6">
            <w:pPr>
              <w:jc w:val="right"/>
              <w:rPr>
                <w:color w:val="000000"/>
                <w:highlight w:val="yellow"/>
              </w:rPr>
            </w:pPr>
            <w:r>
              <w:t>2.751.700.000.000</w:t>
            </w:r>
          </w:p>
        </w:tc>
      </w:tr>
      <w:tr w:rsidR="00E65FE9" w:rsidRPr="000C0BCB" w14:paraId="34E48BF8" w14:textId="77777777" w:rsidTr="007267A6">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200" w:type="dxa"/>
              <w:bottom w:w="40" w:type="dxa"/>
              <w:right w:w="40" w:type="dxa"/>
            </w:tcMar>
            <w:vAlign w:val="bottom"/>
          </w:tcPr>
          <w:p w14:paraId="246D36F9" w14:textId="77777777" w:rsidR="00E65FE9" w:rsidRPr="000C0BCB" w:rsidRDefault="00E65FE9" w:rsidP="007267A6">
            <w:r w:rsidRPr="000C0BCB">
              <w:rPr>
                <w:color w:val="000000"/>
              </w:rPr>
              <w:t>1.Текући расходи</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0CE2C753" w14:textId="77777777" w:rsidR="00E65FE9" w:rsidRPr="000C0BCB" w:rsidRDefault="00E65FE9" w:rsidP="007267A6">
            <w:pPr>
              <w:jc w:val="center"/>
            </w:pPr>
            <w:r w:rsidRPr="000C0BCB">
              <w:rPr>
                <w:color w:val="000000"/>
              </w:rPr>
              <w:t>4</w:t>
            </w: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73057EF6" w14:textId="77777777" w:rsidR="00E65FE9" w:rsidRPr="00B02AE6" w:rsidRDefault="00E65FE9" w:rsidP="007267A6">
            <w:pPr>
              <w:jc w:val="right"/>
              <w:rPr>
                <w:color w:val="000000"/>
                <w:highlight w:val="yellow"/>
              </w:rPr>
            </w:pPr>
            <w:r>
              <w:t>2.111.239.931.000</w:t>
            </w:r>
          </w:p>
        </w:tc>
      </w:tr>
      <w:tr w:rsidR="00E65FE9" w:rsidRPr="000C0BCB" w14:paraId="102495AA" w14:textId="77777777" w:rsidTr="007267A6">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360" w:type="dxa"/>
              <w:bottom w:w="40" w:type="dxa"/>
              <w:right w:w="40" w:type="dxa"/>
            </w:tcMar>
            <w:vAlign w:val="bottom"/>
          </w:tcPr>
          <w:p w14:paraId="3EDA7273" w14:textId="77777777" w:rsidR="00E65FE9" w:rsidRPr="000C0BCB" w:rsidRDefault="00E65FE9" w:rsidP="007267A6">
            <w:r w:rsidRPr="000C0BCB">
              <w:rPr>
                <w:color w:val="000000"/>
              </w:rPr>
              <w:t>1.1. Расходи за запослене</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5D6578F2" w14:textId="77777777" w:rsidR="00E65FE9" w:rsidRPr="000C0BCB" w:rsidRDefault="00E65FE9" w:rsidP="007267A6">
            <w:pPr>
              <w:jc w:val="center"/>
            </w:pPr>
            <w:r w:rsidRPr="000C0BCB">
              <w:rPr>
                <w:color w:val="000000"/>
              </w:rPr>
              <w:t>41</w:t>
            </w: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18DDCD95" w14:textId="77777777" w:rsidR="00E65FE9" w:rsidRPr="00B02AE6" w:rsidRDefault="00E65FE9" w:rsidP="007267A6">
            <w:pPr>
              <w:jc w:val="right"/>
              <w:rPr>
                <w:color w:val="000000"/>
                <w:highlight w:val="yellow"/>
              </w:rPr>
            </w:pPr>
            <w:r>
              <w:t>656.148.250.000</w:t>
            </w:r>
          </w:p>
        </w:tc>
      </w:tr>
      <w:tr w:rsidR="00E65FE9" w:rsidRPr="000C0BCB" w14:paraId="2D4C1101" w14:textId="77777777" w:rsidTr="007267A6">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520" w:type="dxa"/>
              <w:bottom w:w="40" w:type="dxa"/>
              <w:right w:w="40" w:type="dxa"/>
            </w:tcMar>
            <w:vAlign w:val="bottom"/>
          </w:tcPr>
          <w:p w14:paraId="668E47A3" w14:textId="77777777" w:rsidR="00E65FE9" w:rsidRPr="000C0BCB" w:rsidRDefault="00E65FE9" w:rsidP="007267A6">
            <w:r w:rsidRPr="000C0BCB">
              <w:rPr>
                <w:color w:val="000000"/>
              </w:rPr>
              <w:t>- Плате, додаци и накнаде запослених (зараде)</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7B5F30D9" w14:textId="77777777" w:rsidR="00E65FE9" w:rsidRPr="000C0BCB" w:rsidRDefault="00E65FE9" w:rsidP="007267A6">
            <w:pPr>
              <w:jc w:val="center"/>
            </w:pPr>
            <w:r w:rsidRPr="000C0BCB">
              <w:rPr>
                <w:color w:val="000000"/>
              </w:rPr>
              <w:t>411</w:t>
            </w: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0DE1DF9C" w14:textId="77777777" w:rsidR="00E65FE9" w:rsidRPr="00B02AE6" w:rsidRDefault="00E65FE9" w:rsidP="007267A6">
            <w:pPr>
              <w:jc w:val="right"/>
              <w:rPr>
                <w:color w:val="000000"/>
                <w:highlight w:val="yellow"/>
              </w:rPr>
            </w:pPr>
            <w:r>
              <w:t>525.501.570.000</w:t>
            </w:r>
          </w:p>
        </w:tc>
      </w:tr>
      <w:tr w:rsidR="00E65FE9" w:rsidRPr="000C0BCB" w14:paraId="20FE8277" w14:textId="77777777" w:rsidTr="007267A6">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520" w:type="dxa"/>
              <w:bottom w:w="40" w:type="dxa"/>
              <w:right w:w="40" w:type="dxa"/>
            </w:tcMar>
            <w:vAlign w:val="bottom"/>
          </w:tcPr>
          <w:p w14:paraId="5A352914" w14:textId="77777777" w:rsidR="00E65FE9" w:rsidRPr="000C0BCB" w:rsidRDefault="00E65FE9" w:rsidP="007267A6">
            <w:r w:rsidRPr="000C0BCB">
              <w:rPr>
                <w:color w:val="000000"/>
              </w:rPr>
              <w:t>- Социјални доприноси на терет послодавца</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4475DCAD" w14:textId="77777777" w:rsidR="00E65FE9" w:rsidRPr="000C0BCB" w:rsidRDefault="00E65FE9" w:rsidP="007267A6">
            <w:pPr>
              <w:jc w:val="center"/>
            </w:pPr>
            <w:r w:rsidRPr="000C0BCB">
              <w:rPr>
                <w:color w:val="000000"/>
              </w:rPr>
              <w:t>412</w:t>
            </w: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789FAEB6" w14:textId="77777777" w:rsidR="00E65FE9" w:rsidRPr="00B02AE6" w:rsidRDefault="00E65FE9" w:rsidP="007267A6">
            <w:pPr>
              <w:jc w:val="right"/>
              <w:rPr>
                <w:color w:val="000000"/>
                <w:highlight w:val="yellow"/>
              </w:rPr>
            </w:pPr>
            <w:r>
              <w:t>89.873.238.000</w:t>
            </w:r>
          </w:p>
        </w:tc>
      </w:tr>
      <w:tr w:rsidR="00E65FE9" w:rsidRPr="000C0BCB" w14:paraId="7A2E181A" w14:textId="77777777" w:rsidTr="007267A6">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520" w:type="dxa"/>
              <w:bottom w:w="40" w:type="dxa"/>
              <w:right w:w="40" w:type="dxa"/>
            </w:tcMar>
            <w:vAlign w:val="bottom"/>
          </w:tcPr>
          <w:p w14:paraId="5EDFDCEE" w14:textId="77777777" w:rsidR="00E65FE9" w:rsidRPr="000C0BCB" w:rsidRDefault="00E65FE9" w:rsidP="007267A6">
            <w:r w:rsidRPr="000C0BCB">
              <w:rPr>
                <w:color w:val="000000"/>
              </w:rPr>
              <w:t>- Остали расходи за запослене</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4D2B7E29" w14:textId="77777777" w:rsidR="00E65FE9" w:rsidRPr="000C0BCB" w:rsidRDefault="00E65FE9" w:rsidP="007267A6">
            <w:pPr>
              <w:jc w:val="center"/>
            </w:pPr>
            <w:r w:rsidRPr="000C0BCB">
              <w:rPr>
                <w:color w:val="000000"/>
              </w:rPr>
              <w:t>413 до 417</w:t>
            </w: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1893D3B9" w14:textId="77777777" w:rsidR="00E65FE9" w:rsidRPr="00B02AE6" w:rsidRDefault="00E65FE9" w:rsidP="007267A6">
            <w:pPr>
              <w:jc w:val="right"/>
              <w:rPr>
                <w:color w:val="000000"/>
                <w:highlight w:val="yellow"/>
              </w:rPr>
            </w:pPr>
            <w:r>
              <w:t>40.773.442.000</w:t>
            </w:r>
          </w:p>
        </w:tc>
      </w:tr>
      <w:tr w:rsidR="00E65FE9" w:rsidRPr="000C0BCB" w14:paraId="1495D63C" w14:textId="77777777" w:rsidTr="007267A6">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360" w:type="dxa"/>
              <w:bottom w:w="40" w:type="dxa"/>
              <w:right w:w="40" w:type="dxa"/>
            </w:tcMar>
            <w:vAlign w:val="bottom"/>
          </w:tcPr>
          <w:p w14:paraId="555F8A9D" w14:textId="77777777" w:rsidR="00E65FE9" w:rsidRPr="000C0BCB" w:rsidRDefault="00E65FE9" w:rsidP="007267A6">
            <w:r w:rsidRPr="000C0BCB">
              <w:rPr>
                <w:color w:val="000000"/>
              </w:rPr>
              <w:t>1.2. Коришћење услуга и роба</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4D559BE6" w14:textId="77777777" w:rsidR="00E65FE9" w:rsidRPr="000C0BCB" w:rsidRDefault="00E65FE9" w:rsidP="007267A6">
            <w:pPr>
              <w:jc w:val="center"/>
            </w:pPr>
            <w:r w:rsidRPr="000C0BCB">
              <w:rPr>
                <w:color w:val="000000"/>
              </w:rPr>
              <w:t>42</w:t>
            </w: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684AB1DA" w14:textId="77777777" w:rsidR="00E65FE9" w:rsidRPr="00B02AE6" w:rsidRDefault="00E65FE9" w:rsidP="007267A6">
            <w:pPr>
              <w:jc w:val="right"/>
              <w:rPr>
                <w:color w:val="000000"/>
                <w:highlight w:val="yellow"/>
              </w:rPr>
            </w:pPr>
            <w:r>
              <w:t>271.541.876.000</w:t>
            </w:r>
          </w:p>
        </w:tc>
      </w:tr>
      <w:tr w:rsidR="00E65FE9" w:rsidRPr="000C0BCB" w14:paraId="46F583B6" w14:textId="77777777" w:rsidTr="007267A6">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360" w:type="dxa"/>
              <w:bottom w:w="40" w:type="dxa"/>
              <w:right w:w="40" w:type="dxa"/>
            </w:tcMar>
            <w:vAlign w:val="bottom"/>
          </w:tcPr>
          <w:p w14:paraId="53486DB3" w14:textId="77777777" w:rsidR="00E65FE9" w:rsidRPr="000C0BCB" w:rsidRDefault="00E65FE9" w:rsidP="007267A6">
            <w:r w:rsidRPr="000C0BCB">
              <w:rPr>
                <w:color w:val="000000"/>
              </w:rPr>
              <w:t>1.3. Отплата камата и пратећи трошкови задуживања</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1CA544D2" w14:textId="77777777" w:rsidR="00E65FE9" w:rsidRPr="000C0BCB" w:rsidRDefault="00E65FE9" w:rsidP="007267A6">
            <w:pPr>
              <w:jc w:val="center"/>
            </w:pPr>
            <w:r w:rsidRPr="000C0BCB">
              <w:rPr>
                <w:color w:val="000000"/>
              </w:rPr>
              <w:t>44</w:t>
            </w: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0B4DE922" w14:textId="77777777" w:rsidR="00E65FE9" w:rsidRPr="00B02AE6" w:rsidRDefault="00E65FE9" w:rsidP="007267A6">
            <w:pPr>
              <w:jc w:val="right"/>
              <w:rPr>
                <w:color w:val="000000"/>
                <w:highlight w:val="yellow"/>
              </w:rPr>
            </w:pPr>
            <w:r>
              <w:t>212.189.414.000</w:t>
            </w:r>
          </w:p>
        </w:tc>
      </w:tr>
      <w:tr w:rsidR="00E65FE9" w:rsidRPr="000C0BCB" w14:paraId="39EEB8C3" w14:textId="77777777" w:rsidTr="007267A6">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520" w:type="dxa"/>
              <w:bottom w:w="40" w:type="dxa"/>
              <w:right w:w="40" w:type="dxa"/>
            </w:tcMar>
            <w:vAlign w:val="bottom"/>
          </w:tcPr>
          <w:p w14:paraId="53CAA619" w14:textId="77777777" w:rsidR="00E65FE9" w:rsidRPr="000C0BCB" w:rsidRDefault="00E65FE9" w:rsidP="007267A6">
            <w:r w:rsidRPr="000C0BCB">
              <w:rPr>
                <w:color w:val="000000"/>
              </w:rPr>
              <w:t>- Отплата домаћих камата</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2052E3C7" w14:textId="77777777" w:rsidR="00E65FE9" w:rsidRPr="000C0BCB" w:rsidRDefault="00E65FE9" w:rsidP="007267A6">
            <w:pPr>
              <w:jc w:val="center"/>
            </w:pPr>
            <w:r w:rsidRPr="000C0BCB">
              <w:rPr>
                <w:color w:val="000000"/>
              </w:rPr>
              <w:t>441</w:t>
            </w: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26F902D7" w14:textId="77777777" w:rsidR="00E65FE9" w:rsidRPr="00B02AE6" w:rsidRDefault="00E65FE9" w:rsidP="007267A6">
            <w:pPr>
              <w:jc w:val="right"/>
              <w:rPr>
                <w:color w:val="000000"/>
                <w:highlight w:val="yellow"/>
              </w:rPr>
            </w:pPr>
            <w:r>
              <w:t>72.019.117.000</w:t>
            </w:r>
          </w:p>
        </w:tc>
      </w:tr>
      <w:tr w:rsidR="00E65FE9" w:rsidRPr="000C0BCB" w14:paraId="06BFCECF" w14:textId="77777777" w:rsidTr="007267A6">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520" w:type="dxa"/>
              <w:bottom w:w="40" w:type="dxa"/>
              <w:right w:w="40" w:type="dxa"/>
            </w:tcMar>
            <w:vAlign w:val="bottom"/>
          </w:tcPr>
          <w:p w14:paraId="1632F5B2" w14:textId="77777777" w:rsidR="00E65FE9" w:rsidRPr="000C0BCB" w:rsidRDefault="00E65FE9" w:rsidP="007267A6">
            <w:r w:rsidRPr="000C0BCB">
              <w:rPr>
                <w:color w:val="000000"/>
              </w:rPr>
              <w:t>- Отплата страних камата</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3C0873DF" w14:textId="77777777" w:rsidR="00E65FE9" w:rsidRPr="000C0BCB" w:rsidRDefault="00E65FE9" w:rsidP="007267A6">
            <w:pPr>
              <w:jc w:val="center"/>
            </w:pPr>
            <w:r w:rsidRPr="000C0BCB">
              <w:rPr>
                <w:color w:val="000000"/>
              </w:rPr>
              <w:t>442</w:t>
            </w: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2B52136C" w14:textId="77777777" w:rsidR="00E65FE9" w:rsidRPr="00B02AE6" w:rsidRDefault="00E65FE9" w:rsidP="007267A6">
            <w:pPr>
              <w:jc w:val="right"/>
              <w:rPr>
                <w:color w:val="000000"/>
                <w:highlight w:val="yellow"/>
              </w:rPr>
            </w:pPr>
            <w:r>
              <w:t>109.629.000.000</w:t>
            </w:r>
          </w:p>
        </w:tc>
      </w:tr>
      <w:tr w:rsidR="00E65FE9" w:rsidRPr="000C0BCB" w14:paraId="31896B60" w14:textId="77777777" w:rsidTr="007267A6">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520" w:type="dxa"/>
              <w:bottom w:w="40" w:type="dxa"/>
              <w:right w:w="40" w:type="dxa"/>
            </w:tcMar>
            <w:vAlign w:val="bottom"/>
          </w:tcPr>
          <w:p w14:paraId="076D9400" w14:textId="77777777" w:rsidR="00E65FE9" w:rsidRPr="000C0BCB" w:rsidRDefault="00E65FE9" w:rsidP="007267A6">
            <w:r w:rsidRPr="000C0BCB">
              <w:rPr>
                <w:color w:val="000000"/>
              </w:rPr>
              <w:t>- Отплата камата по гаранцијама</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11D36B57" w14:textId="77777777" w:rsidR="00E65FE9" w:rsidRPr="000C0BCB" w:rsidRDefault="00E65FE9" w:rsidP="007267A6">
            <w:pPr>
              <w:jc w:val="center"/>
            </w:pPr>
            <w:r w:rsidRPr="000C0BCB">
              <w:rPr>
                <w:color w:val="000000"/>
              </w:rPr>
              <w:t>443</w:t>
            </w: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76C9A9F1" w14:textId="77777777" w:rsidR="00E65FE9" w:rsidRPr="00B02AE6" w:rsidRDefault="00E65FE9" w:rsidP="007267A6">
            <w:pPr>
              <w:jc w:val="right"/>
              <w:rPr>
                <w:color w:val="000000"/>
                <w:highlight w:val="yellow"/>
              </w:rPr>
            </w:pPr>
            <w:r>
              <w:t>10.963.000.000</w:t>
            </w:r>
          </w:p>
        </w:tc>
      </w:tr>
      <w:tr w:rsidR="00E65FE9" w:rsidRPr="000C0BCB" w14:paraId="251F4A15" w14:textId="77777777" w:rsidTr="007267A6">
        <w:trPr>
          <w:trHeight w:val="273"/>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520" w:type="dxa"/>
              <w:bottom w:w="40" w:type="dxa"/>
              <w:right w:w="40" w:type="dxa"/>
            </w:tcMar>
            <w:vAlign w:val="bottom"/>
          </w:tcPr>
          <w:p w14:paraId="7FE92035" w14:textId="77777777" w:rsidR="00E65FE9" w:rsidRPr="000C0BCB" w:rsidRDefault="00E65FE9" w:rsidP="007267A6">
            <w:r w:rsidRPr="000C0BCB">
              <w:rPr>
                <w:color w:val="000000"/>
              </w:rPr>
              <w:t>- Пратећи трошкови задуживања</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2D858565" w14:textId="77777777" w:rsidR="00E65FE9" w:rsidRPr="000C0BCB" w:rsidRDefault="00E65FE9" w:rsidP="007267A6">
            <w:pPr>
              <w:jc w:val="center"/>
            </w:pPr>
            <w:r w:rsidRPr="000C0BCB">
              <w:rPr>
                <w:color w:val="000000"/>
              </w:rPr>
              <w:t>444</w:t>
            </w: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765B3C25" w14:textId="77777777" w:rsidR="00E65FE9" w:rsidRPr="00B02AE6" w:rsidRDefault="00E65FE9" w:rsidP="007267A6">
            <w:pPr>
              <w:jc w:val="right"/>
              <w:rPr>
                <w:color w:val="000000"/>
                <w:highlight w:val="yellow"/>
              </w:rPr>
            </w:pPr>
            <w:r>
              <w:t>19.578.297.000</w:t>
            </w:r>
          </w:p>
        </w:tc>
      </w:tr>
      <w:tr w:rsidR="00E65FE9" w:rsidRPr="000C0BCB" w14:paraId="212E9A06" w14:textId="77777777" w:rsidTr="007267A6">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360" w:type="dxa"/>
              <w:bottom w:w="40" w:type="dxa"/>
              <w:right w:w="40" w:type="dxa"/>
            </w:tcMar>
            <w:vAlign w:val="bottom"/>
          </w:tcPr>
          <w:p w14:paraId="3C69DE2C" w14:textId="77777777" w:rsidR="00E65FE9" w:rsidRPr="000C0BCB" w:rsidRDefault="00E65FE9" w:rsidP="007267A6">
            <w:r w:rsidRPr="000C0BCB">
              <w:rPr>
                <w:color w:val="000000"/>
              </w:rPr>
              <w:t>1.4. Субвенције</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447D0FF5" w14:textId="77777777" w:rsidR="00E65FE9" w:rsidRPr="000C0BCB" w:rsidRDefault="00E65FE9" w:rsidP="007267A6">
            <w:pPr>
              <w:jc w:val="center"/>
            </w:pPr>
            <w:r w:rsidRPr="000C0BCB">
              <w:rPr>
                <w:color w:val="000000"/>
              </w:rPr>
              <w:t>45</w:t>
            </w: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0CD9F8E8" w14:textId="77777777" w:rsidR="00E65FE9" w:rsidRPr="00B02AE6" w:rsidRDefault="00E65FE9" w:rsidP="007267A6">
            <w:pPr>
              <w:jc w:val="right"/>
              <w:rPr>
                <w:color w:val="000000"/>
                <w:highlight w:val="yellow"/>
              </w:rPr>
            </w:pPr>
            <w:r>
              <w:t>214.459.717.000</w:t>
            </w:r>
          </w:p>
        </w:tc>
      </w:tr>
      <w:tr w:rsidR="00E65FE9" w:rsidRPr="000C0BCB" w14:paraId="0881FBA3" w14:textId="77777777" w:rsidTr="007267A6">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520" w:type="dxa"/>
              <w:bottom w:w="40" w:type="dxa"/>
              <w:right w:w="40" w:type="dxa"/>
            </w:tcMar>
            <w:vAlign w:val="bottom"/>
          </w:tcPr>
          <w:p w14:paraId="13D7A56F" w14:textId="77777777" w:rsidR="00E65FE9" w:rsidRPr="000C0BCB" w:rsidRDefault="00E65FE9" w:rsidP="007267A6">
            <w:r w:rsidRPr="000C0BCB">
              <w:rPr>
                <w:color w:val="000000"/>
              </w:rPr>
              <w:t xml:space="preserve">- Субвенције у области науке </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52F25137" w14:textId="77777777" w:rsidR="00E65FE9" w:rsidRPr="000C0BCB" w:rsidRDefault="00E65FE9" w:rsidP="007267A6">
            <w:r w:rsidRPr="000C0BCB">
              <w:rPr>
                <w:color w:val="000000"/>
              </w:rPr>
              <w:t> </w:t>
            </w: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3522862B" w14:textId="77777777" w:rsidR="00E65FE9" w:rsidRPr="00B02AE6" w:rsidRDefault="00E65FE9" w:rsidP="007267A6">
            <w:pPr>
              <w:jc w:val="right"/>
              <w:rPr>
                <w:color w:val="000000"/>
                <w:highlight w:val="yellow"/>
              </w:rPr>
            </w:pPr>
            <w:r>
              <w:rPr>
                <w:color w:val="000000"/>
              </w:rPr>
              <w:t>4.100.985.000</w:t>
            </w:r>
          </w:p>
        </w:tc>
      </w:tr>
      <w:tr w:rsidR="00E65FE9" w:rsidRPr="000C0BCB" w14:paraId="17CD977B" w14:textId="77777777" w:rsidTr="007267A6">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520" w:type="dxa"/>
              <w:bottom w:w="40" w:type="dxa"/>
              <w:right w:w="40" w:type="dxa"/>
            </w:tcMar>
            <w:vAlign w:val="bottom"/>
          </w:tcPr>
          <w:p w14:paraId="7D9F51C9" w14:textId="77777777" w:rsidR="00E65FE9" w:rsidRPr="000C0BCB" w:rsidRDefault="00E65FE9" w:rsidP="007267A6">
            <w:r w:rsidRPr="000C0BCB">
              <w:rPr>
                <w:color w:val="000000"/>
              </w:rPr>
              <w:t xml:space="preserve">- Субвенције у области рударства и енергетике </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6411875A" w14:textId="77777777" w:rsidR="00E65FE9" w:rsidRPr="000C0BCB" w:rsidRDefault="00E65FE9" w:rsidP="007267A6">
            <w:r w:rsidRPr="000C0BCB">
              <w:rPr>
                <w:color w:val="000000"/>
              </w:rPr>
              <w:t> </w:t>
            </w: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0F8260F0" w14:textId="77777777" w:rsidR="00E65FE9" w:rsidRPr="00B02AE6" w:rsidRDefault="00E65FE9" w:rsidP="007267A6">
            <w:pPr>
              <w:jc w:val="right"/>
              <w:rPr>
                <w:color w:val="000000"/>
                <w:highlight w:val="yellow"/>
              </w:rPr>
            </w:pPr>
            <w:r>
              <w:rPr>
                <w:color w:val="000000"/>
              </w:rPr>
              <w:t>11.500.000.000</w:t>
            </w:r>
          </w:p>
        </w:tc>
      </w:tr>
      <w:tr w:rsidR="00E65FE9" w:rsidRPr="000C0BCB" w14:paraId="499CC596" w14:textId="77777777" w:rsidTr="007267A6">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520" w:type="dxa"/>
              <w:bottom w:w="40" w:type="dxa"/>
              <w:right w:w="40" w:type="dxa"/>
            </w:tcMar>
            <w:vAlign w:val="bottom"/>
          </w:tcPr>
          <w:p w14:paraId="4538F751" w14:textId="77777777" w:rsidR="00E65FE9" w:rsidRPr="000C0BCB" w:rsidRDefault="00E65FE9" w:rsidP="007267A6">
            <w:pPr>
              <w:rPr>
                <w:color w:val="000000"/>
              </w:rPr>
            </w:pPr>
            <w:r w:rsidRPr="000C0BCB">
              <w:rPr>
                <w:color w:val="000000"/>
              </w:rPr>
              <w:t>- Субвенције у области заштите животне средине</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3574A9A8" w14:textId="77777777" w:rsidR="00E65FE9" w:rsidRPr="000C0BCB" w:rsidRDefault="00E65FE9" w:rsidP="007267A6">
            <w:r w:rsidRPr="000C0BCB">
              <w:rPr>
                <w:color w:val="000000"/>
              </w:rPr>
              <w:t> </w:t>
            </w: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579D5398" w14:textId="77777777" w:rsidR="00E65FE9" w:rsidRPr="00B02AE6" w:rsidRDefault="00E65FE9" w:rsidP="007267A6">
            <w:pPr>
              <w:jc w:val="right"/>
              <w:rPr>
                <w:color w:val="000000"/>
                <w:highlight w:val="yellow"/>
              </w:rPr>
            </w:pPr>
            <w:r>
              <w:rPr>
                <w:color w:val="000000"/>
              </w:rPr>
              <w:t>3.969.457.000</w:t>
            </w:r>
          </w:p>
        </w:tc>
      </w:tr>
      <w:tr w:rsidR="00E65FE9" w:rsidRPr="000C0BCB" w14:paraId="6475E8C4" w14:textId="77777777" w:rsidTr="007267A6">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520" w:type="dxa"/>
              <w:bottom w:w="40" w:type="dxa"/>
              <w:right w:w="40" w:type="dxa"/>
            </w:tcMar>
            <w:vAlign w:val="bottom"/>
          </w:tcPr>
          <w:p w14:paraId="1E54DD64" w14:textId="77777777" w:rsidR="00E65FE9" w:rsidRPr="000C0BCB" w:rsidRDefault="00E65FE9" w:rsidP="007267A6">
            <w:pPr>
              <w:rPr>
                <w:color w:val="000000"/>
              </w:rPr>
            </w:pPr>
            <w:r w:rsidRPr="000C0BCB">
              <w:rPr>
                <w:color w:val="000000"/>
              </w:rPr>
              <w:t>- Субвенције за ваздушни саобраћај</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38BE0D43" w14:textId="77777777" w:rsidR="00E65FE9" w:rsidRPr="000C0BCB" w:rsidRDefault="00E65FE9" w:rsidP="007267A6">
            <w:r w:rsidRPr="000C0BCB">
              <w:rPr>
                <w:color w:val="000000"/>
              </w:rPr>
              <w:t> </w:t>
            </w: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6E0F8533" w14:textId="77777777" w:rsidR="00E65FE9" w:rsidRPr="00B02AE6" w:rsidRDefault="00E65FE9" w:rsidP="007267A6">
            <w:pPr>
              <w:jc w:val="right"/>
              <w:rPr>
                <w:color w:val="000000"/>
                <w:highlight w:val="yellow"/>
              </w:rPr>
            </w:pPr>
            <w:r>
              <w:rPr>
                <w:color w:val="000000"/>
              </w:rPr>
              <w:t>605.000.000</w:t>
            </w:r>
          </w:p>
        </w:tc>
      </w:tr>
      <w:tr w:rsidR="00E65FE9" w:rsidRPr="000C0BCB" w14:paraId="43473EEF" w14:textId="77777777" w:rsidTr="007267A6">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520" w:type="dxa"/>
              <w:bottom w:w="40" w:type="dxa"/>
              <w:right w:w="40" w:type="dxa"/>
            </w:tcMar>
            <w:vAlign w:val="bottom"/>
          </w:tcPr>
          <w:p w14:paraId="1A6F8F22" w14:textId="77777777" w:rsidR="00E65FE9" w:rsidRPr="000C0BCB" w:rsidRDefault="00E65FE9" w:rsidP="007267A6">
            <w:pPr>
              <w:rPr>
                <w:color w:val="000000"/>
              </w:rPr>
            </w:pPr>
            <w:r w:rsidRPr="000C0BCB">
              <w:rPr>
                <w:color w:val="000000"/>
              </w:rPr>
              <w:t>- Субвенције у привреди</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44D2BC5B" w14:textId="77777777" w:rsidR="00E65FE9" w:rsidRPr="000C0BCB" w:rsidRDefault="00E65FE9" w:rsidP="007267A6">
            <w:r w:rsidRPr="000C0BCB">
              <w:rPr>
                <w:color w:val="000000"/>
              </w:rPr>
              <w:t> </w:t>
            </w: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6390C0F4" w14:textId="77777777" w:rsidR="00E65FE9" w:rsidRPr="00B02AE6" w:rsidRDefault="00E65FE9" w:rsidP="007267A6">
            <w:pPr>
              <w:jc w:val="right"/>
              <w:rPr>
                <w:color w:val="000000"/>
                <w:highlight w:val="yellow"/>
              </w:rPr>
            </w:pPr>
            <w:r>
              <w:rPr>
                <w:color w:val="000000"/>
              </w:rPr>
              <w:t>27.806.500.000</w:t>
            </w:r>
          </w:p>
        </w:tc>
      </w:tr>
      <w:tr w:rsidR="00E65FE9" w:rsidRPr="000C0BCB" w14:paraId="55EB25DA" w14:textId="77777777" w:rsidTr="007267A6">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520" w:type="dxa"/>
              <w:bottom w:w="40" w:type="dxa"/>
              <w:right w:w="40" w:type="dxa"/>
            </w:tcMar>
            <w:vAlign w:val="bottom"/>
          </w:tcPr>
          <w:p w14:paraId="1F463F0D" w14:textId="77777777" w:rsidR="00E65FE9" w:rsidRPr="000C0BCB" w:rsidRDefault="00E65FE9" w:rsidP="007267A6">
            <w:pPr>
              <w:rPr>
                <w:color w:val="000000"/>
              </w:rPr>
            </w:pPr>
            <w:r w:rsidRPr="000C0BCB">
              <w:rPr>
                <w:color w:val="000000"/>
              </w:rPr>
              <w:t>- Субвенције у пољопривреди</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64EDA299" w14:textId="77777777" w:rsidR="00E65FE9" w:rsidRPr="000C0BCB" w:rsidRDefault="00E65FE9" w:rsidP="007267A6">
            <w:r w:rsidRPr="000C0BCB">
              <w:rPr>
                <w:color w:val="000000"/>
              </w:rPr>
              <w:t> </w:t>
            </w: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0B83AF5C" w14:textId="77777777" w:rsidR="00E65FE9" w:rsidRPr="00B02AE6" w:rsidRDefault="00E65FE9" w:rsidP="007267A6">
            <w:pPr>
              <w:jc w:val="right"/>
              <w:rPr>
                <w:color w:val="000000"/>
                <w:highlight w:val="yellow"/>
              </w:rPr>
            </w:pPr>
            <w:r>
              <w:rPr>
                <w:color w:val="000000"/>
              </w:rPr>
              <w:t>116.500.000.000</w:t>
            </w:r>
          </w:p>
        </w:tc>
      </w:tr>
      <w:tr w:rsidR="00E65FE9" w:rsidRPr="000C0BCB" w14:paraId="6E785296" w14:textId="77777777" w:rsidTr="007267A6">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520" w:type="dxa"/>
              <w:bottom w:w="40" w:type="dxa"/>
              <w:right w:w="40" w:type="dxa"/>
            </w:tcMar>
            <w:vAlign w:val="bottom"/>
          </w:tcPr>
          <w:p w14:paraId="3917F656" w14:textId="77777777" w:rsidR="00E65FE9" w:rsidRPr="000C0BCB" w:rsidRDefault="00E65FE9" w:rsidP="007267A6">
            <w:pPr>
              <w:rPr>
                <w:color w:val="000000"/>
              </w:rPr>
            </w:pPr>
            <w:r w:rsidRPr="000C0BCB">
              <w:rPr>
                <w:color w:val="000000"/>
              </w:rPr>
              <w:t>- Субвенције за железнички саобраћај</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6752086C" w14:textId="77777777" w:rsidR="00E65FE9" w:rsidRPr="000C0BCB" w:rsidRDefault="00E65FE9" w:rsidP="007267A6">
            <w:r w:rsidRPr="000C0BCB">
              <w:rPr>
                <w:color w:val="000000"/>
              </w:rPr>
              <w:t> </w:t>
            </w: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511A0681" w14:textId="77777777" w:rsidR="00E65FE9" w:rsidRPr="00B02AE6" w:rsidRDefault="00E65FE9" w:rsidP="007267A6">
            <w:pPr>
              <w:jc w:val="right"/>
              <w:rPr>
                <w:color w:val="000000"/>
                <w:highlight w:val="yellow"/>
              </w:rPr>
            </w:pPr>
            <w:r>
              <w:rPr>
                <w:color w:val="000000"/>
              </w:rPr>
              <w:t>24.530.000.000</w:t>
            </w:r>
          </w:p>
        </w:tc>
      </w:tr>
      <w:tr w:rsidR="00E65FE9" w:rsidRPr="000C0BCB" w14:paraId="7DD940E0" w14:textId="77777777" w:rsidTr="007267A6">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520" w:type="dxa"/>
              <w:bottom w:w="40" w:type="dxa"/>
              <w:right w:w="40" w:type="dxa"/>
            </w:tcMar>
            <w:vAlign w:val="bottom"/>
          </w:tcPr>
          <w:p w14:paraId="19052886" w14:textId="77777777" w:rsidR="00E65FE9" w:rsidRPr="000C0BCB" w:rsidRDefault="00E65FE9" w:rsidP="007267A6">
            <w:pPr>
              <w:rPr>
                <w:color w:val="000000"/>
              </w:rPr>
            </w:pPr>
            <w:r w:rsidRPr="000C0BCB">
              <w:rPr>
                <w:color w:val="000000"/>
              </w:rPr>
              <w:t>- Субвенције за друмски саобраћај</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75F06309" w14:textId="77777777" w:rsidR="00E65FE9" w:rsidRPr="000C0BCB" w:rsidRDefault="00E65FE9" w:rsidP="007267A6">
            <w:r w:rsidRPr="000C0BCB">
              <w:rPr>
                <w:color w:val="000000"/>
              </w:rPr>
              <w:t> </w:t>
            </w: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22143F9D" w14:textId="77777777" w:rsidR="00E65FE9" w:rsidRPr="00B02AE6" w:rsidRDefault="00E65FE9" w:rsidP="007267A6">
            <w:pPr>
              <w:jc w:val="right"/>
              <w:rPr>
                <w:color w:val="000000"/>
                <w:highlight w:val="yellow"/>
              </w:rPr>
            </w:pPr>
            <w:r>
              <w:rPr>
                <w:color w:val="000000"/>
              </w:rPr>
              <w:t>19.100.000.000</w:t>
            </w:r>
          </w:p>
        </w:tc>
      </w:tr>
      <w:tr w:rsidR="00E65FE9" w:rsidRPr="000C0BCB" w14:paraId="086F0599" w14:textId="77777777" w:rsidTr="007267A6">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520" w:type="dxa"/>
              <w:bottom w:w="40" w:type="dxa"/>
              <w:right w:w="40" w:type="dxa"/>
            </w:tcMar>
            <w:vAlign w:val="bottom"/>
          </w:tcPr>
          <w:p w14:paraId="129ABF39" w14:textId="77777777" w:rsidR="00E65FE9" w:rsidRPr="000C0BCB" w:rsidRDefault="00E65FE9" w:rsidP="007267A6">
            <w:pPr>
              <w:rPr>
                <w:color w:val="000000"/>
              </w:rPr>
            </w:pPr>
            <w:r w:rsidRPr="000C0BCB">
              <w:rPr>
                <w:color w:val="000000"/>
              </w:rPr>
              <w:t>- Субвенције у области туризма</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55A6AC45" w14:textId="77777777" w:rsidR="00E65FE9" w:rsidRPr="000C0BCB" w:rsidRDefault="00E65FE9" w:rsidP="007267A6">
            <w:r w:rsidRPr="000C0BCB">
              <w:rPr>
                <w:color w:val="000000"/>
              </w:rPr>
              <w:t> </w:t>
            </w: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762BC69A" w14:textId="77777777" w:rsidR="00E65FE9" w:rsidRPr="00B02AE6" w:rsidRDefault="00E65FE9" w:rsidP="007267A6">
            <w:pPr>
              <w:jc w:val="right"/>
              <w:rPr>
                <w:color w:val="000000"/>
                <w:highlight w:val="yellow"/>
              </w:rPr>
            </w:pPr>
            <w:r>
              <w:rPr>
                <w:color w:val="000000"/>
              </w:rPr>
              <w:t>1.855.000.000</w:t>
            </w:r>
          </w:p>
        </w:tc>
      </w:tr>
      <w:tr w:rsidR="00E65FE9" w:rsidRPr="000C0BCB" w14:paraId="48C55CE6" w14:textId="77777777" w:rsidTr="007267A6">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520" w:type="dxa"/>
              <w:bottom w:w="40" w:type="dxa"/>
              <w:right w:w="40" w:type="dxa"/>
            </w:tcMar>
            <w:vAlign w:val="bottom"/>
          </w:tcPr>
          <w:p w14:paraId="2636779B" w14:textId="77777777" w:rsidR="00E65FE9" w:rsidRPr="000C0BCB" w:rsidRDefault="00E65FE9" w:rsidP="007267A6">
            <w:r w:rsidRPr="000C0BCB">
              <w:rPr>
                <w:color w:val="000000"/>
              </w:rPr>
              <w:t>- Субвенције у области културе</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1297318E" w14:textId="77777777" w:rsidR="00E65FE9" w:rsidRPr="000C0BCB" w:rsidRDefault="00E65FE9" w:rsidP="007267A6">
            <w:r w:rsidRPr="000C0BCB">
              <w:rPr>
                <w:color w:val="000000"/>
              </w:rPr>
              <w:t> </w:t>
            </w: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4D54C98F" w14:textId="77777777" w:rsidR="00E65FE9" w:rsidRPr="00B02AE6" w:rsidRDefault="00E65FE9" w:rsidP="007267A6">
            <w:pPr>
              <w:jc w:val="right"/>
              <w:rPr>
                <w:color w:val="000000"/>
                <w:highlight w:val="yellow"/>
              </w:rPr>
            </w:pPr>
            <w:r>
              <w:rPr>
                <w:color w:val="000000"/>
              </w:rPr>
              <w:t>1.497.400.000</w:t>
            </w:r>
          </w:p>
        </w:tc>
      </w:tr>
      <w:tr w:rsidR="00E65FE9" w:rsidRPr="000C0BCB" w14:paraId="6AA22605" w14:textId="77777777" w:rsidTr="007267A6">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520" w:type="dxa"/>
              <w:bottom w:w="40" w:type="dxa"/>
              <w:right w:w="40" w:type="dxa"/>
            </w:tcMar>
            <w:vAlign w:val="bottom"/>
          </w:tcPr>
          <w:p w14:paraId="5689B740" w14:textId="77777777" w:rsidR="00E65FE9" w:rsidRPr="000C0BCB" w:rsidRDefault="00E65FE9" w:rsidP="007267A6">
            <w:r w:rsidRPr="000C0BCB">
              <w:rPr>
                <w:color w:val="000000"/>
              </w:rPr>
              <w:t>- Остале субвенције</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7C47E7F7" w14:textId="77777777" w:rsidR="00E65FE9" w:rsidRPr="000C0BCB" w:rsidRDefault="00E65FE9" w:rsidP="007267A6">
            <w:r w:rsidRPr="000C0BCB">
              <w:rPr>
                <w:color w:val="000000"/>
              </w:rPr>
              <w:t> </w:t>
            </w: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6D9AE723" w14:textId="77777777" w:rsidR="00E65FE9" w:rsidRPr="00B02AE6" w:rsidRDefault="00E65FE9" w:rsidP="007267A6">
            <w:pPr>
              <w:jc w:val="right"/>
              <w:rPr>
                <w:color w:val="000000"/>
                <w:highlight w:val="yellow"/>
              </w:rPr>
            </w:pPr>
            <w:r>
              <w:rPr>
                <w:color w:val="000000"/>
              </w:rPr>
              <w:t>2.995.375.000</w:t>
            </w:r>
          </w:p>
        </w:tc>
      </w:tr>
      <w:tr w:rsidR="00E65FE9" w:rsidRPr="000C0BCB" w14:paraId="5316A591" w14:textId="77777777" w:rsidTr="007267A6">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360" w:type="dxa"/>
              <w:bottom w:w="40" w:type="dxa"/>
              <w:right w:w="40" w:type="dxa"/>
            </w:tcMar>
            <w:vAlign w:val="bottom"/>
          </w:tcPr>
          <w:p w14:paraId="699974D7" w14:textId="77777777" w:rsidR="00E65FE9" w:rsidRPr="000C0BCB" w:rsidRDefault="00E65FE9" w:rsidP="007267A6">
            <w:r w:rsidRPr="000C0BCB">
              <w:rPr>
                <w:color w:val="000000"/>
              </w:rPr>
              <w:t>1.5. Донације страним владама</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3F2452F1" w14:textId="77777777" w:rsidR="00E65FE9" w:rsidRPr="000C0BCB" w:rsidRDefault="00E65FE9" w:rsidP="007267A6">
            <w:pPr>
              <w:jc w:val="center"/>
            </w:pPr>
            <w:r w:rsidRPr="000C0BCB">
              <w:rPr>
                <w:color w:val="000000"/>
              </w:rPr>
              <w:t>461</w:t>
            </w: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6F8EC489" w14:textId="77777777" w:rsidR="00E65FE9" w:rsidRPr="00B02AE6" w:rsidRDefault="00E65FE9" w:rsidP="007267A6">
            <w:pPr>
              <w:jc w:val="right"/>
              <w:rPr>
                <w:color w:val="000000"/>
                <w:highlight w:val="yellow"/>
              </w:rPr>
            </w:pPr>
            <w:r>
              <w:t>1.000.000</w:t>
            </w:r>
          </w:p>
        </w:tc>
      </w:tr>
      <w:tr w:rsidR="00E65FE9" w:rsidRPr="000C0BCB" w14:paraId="314968A8" w14:textId="77777777" w:rsidTr="007267A6">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360" w:type="dxa"/>
              <w:bottom w:w="40" w:type="dxa"/>
              <w:right w:w="40" w:type="dxa"/>
            </w:tcMar>
            <w:vAlign w:val="bottom"/>
          </w:tcPr>
          <w:p w14:paraId="26DA97CD" w14:textId="77777777" w:rsidR="00E65FE9" w:rsidRPr="000C0BCB" w:rsidRDefault="00E65FE9" w:rsidP="007267A6">
            <w:r w:rsidRPr="000C0BCB">
              <w:rPr>
                <w:color w:val="000000"/>
              </w:rPr>
              <w:t>1.6. Дотације међународним организацијама</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2AFE4B12" w14:textId="77777777" w:rsidR="00E65FE9" w:rsidRPr="000C0BCB" w:rsidRDefault="00E65FE9" w:rsidP="007267A6">
            <w:pPr>
              <w:jc w:val="center"/>
            </w:pPr>
            <w:r w:rsidRPr="000C0BCB">
              <w:rPr>
                <w:color w:val="000000"/>
              </w:rPr>
              <w:t>462</w:t>
            </w: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7892C2D5" w14:textId="77777777" w:rsidR="00E65FE9" w:rsidRPr="00B02AE6" w:rsidRDefault="00E65FE9" w:rsidP="007267A6">
            <w:pPr>
              <w:jc w:val="right"/>
              <w:rPr>
                <w:color w:val="000000"/>
                <w:highlight w:val="yellow"/>
              </w:rPr>
            </w:pPr>
            <w:r>
              <w:t>10.956.431.000</w:t>
            </w:r>
          </w:p>
        </w:tc>
      </w:tr>
      <w:tr w:rsidR="00E65FE9" w:rsidRPr="000C0BCB" w14:paraId="6A01AE78" w14:textId="77777777" w:rsidTr="007267A6">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360" w:type="dxa"/>
              <w:bottom w:w="40" w:type="dxa"/>
              <w:right w:w="40" w:type="dxa"/>
            </w:tcMar>
            <w:vAlign w:val="bottom"/>
          </w:tcPr>
          <w:p w14:paraId="6840B17F" w14:textId="77777777" w:rsidR="00E65FE9" w:rsidRPr="000C0BCB" w:rsidRDefault="00E65FE9" w:rsidP="007267A6">
            <w:r w:rsidRPr="000C0BCB">
              <w:rPr>
                <w:color w:val="000000"/>
              </w:rPr>
              <w:t>1.7. Трансфери осталим нивоима власти</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14E64562" w14:textId="77777777" w:rsidR="00E65FE9" w:rsidRPr="000C0BCB" w:rsidRDefault="00E65FE9" w:rsidP="007267A6">
            <w:pPr>
              <w:jc w:val="center"/>
            </w:pPr>
            <w:r w:rsidRPr="000C0BCB">
              <w:rPr>
                <w:color w:val="000000"/>
              </w:rPr>
              <w:t>463</w:t>
            </w: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610077D2" w14:textId="77777777" w:rsidR="00E65FE9" w:rsidRPr="00B02AE6" w:rsidRDefault="00E65FE9" w:rsidP="007267A6">
            <w:pPr>
              <w:jc w:val="right"/>
              <w:rPr>
                <w:color w:val="000000"/>
                <w:highlight w:val="yellow"/>
              </w:rPr>
            </w:pPr>
            <w:r>
              <w:t>83.118.102.000</w:t>
            </w:r>
          </w:p>
        </w:tc>
      </w:tr>
      <w:tr w:rsidR="00E65FE9" w:rsidRPr="000C0BCB" w14:paraId="1D972CD8" w14:textId="77777777" w:rsidTr="007267A6">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520" w:type="dxa"/>
              <w:bottom w:w="40" w:type="dxa"/>
              <w:right w:w="40" w:type="dxa"/>
            </w:tcMar>
            <w:vAlign w:val="bottom"/>
          </w:tcPr>
          <w:p w14:paraId="5D8F231C" w14:textId="77777777" w:rsidR="00E65FE9" w:rsidRPr="000C0BCB" w:rsidRDefault="00E65FE9" w:rsidP="007267A6">
            <w:r w:rsidRPr="000C0BCB">
              <w:rPr>
                <w:color w:val="000000"/>
              </w:rPr>
              <w:t>- Ненаменски трансфери општинама и градовима</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5742CA21" w14:textId="77777777" w:rsidR="00E65FE9" w:rsidRPr="000C0BCB" w:rsidRDefault="00E65FE9" w:rsidP="007267A6">
            <w:pPr>
              <w:jc w:val="center"/>
            </w:pPr>
            <w:r w:rsidRPr="000C0BCB">
              <w:rPr>
                <w:color w:val="000000"/>
              </w:rPr>
              <w:t>463</w:t>
            </w: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38512F7A" w14:textId="77777777" w:rsidR="00E65FE9" w:rsidRPr="00B02AE6" w:rsidRDefault="00E65FE9" w:rsidP="007267A6">
            <w:pPr>
              <w:jc w:val="right"/>
              <w:rPr>
                <w:color w:val="000000"/>
                <w:highlight w:val="yellow"/>
              </w:rPr>
            </w:pPr>
            <w:r>
              <w:rPr>
                <w:color w:val="000000"/>
              </w:rPr>
              <w:t>33.327.366.000</w:t>
            </w:r>
          </w:p>
        </w:tc>
      </w:tr>
      <w:tr w:rsidR="00E65FE9" w:rsidRPr="000C0BCB" w14:paraId="510CD236" w14:textId="77777777" w:rsidTr="007267A6">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520" w:type="dxa"/>
              <w:bottom w:w="40" w:type="dxa"/>
              <w:right w:w="40" w:type="dxa"/>
            </w:tcMar>
            <w:vAlign w:val="bottom"/>
          </w:tcPr>
          <w:p w14:paraId="4BA025EC" w14:textId="77777777" w:rsidR="00E65FE9" w:rsidRPr="000C0BCB" w:rsidRDefault="00E65FE9" w:rsidP="007267A6">
            <w:r w:rsidRPr="000C0BCB">
              <w:rPr>
                <w:color w:val="000000"/>
              </w:rPr>
              <w:t>- Остали трансфери</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59DBA533" w14:textId="77777777" w:rsidR="00E65FE9" w:rsidRPr="000C0BCB" w:rsidRDefault="00E65FE9" w:rsidP="007267A6">
            <w:pPr>
              <w:jc w:val="center"/>
            </w:pPr>
            <w:r w:rsidRPr="000C0BCB">
              <w:rPr>
                <w:color w:val="000000"/>
              </w:rPr>
              <w:t>463</w:t>
            </w: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5A5D86E4" w14:textId="77777777" w:rsidR="00E65FE9" w:rsidRPr="00B02AE6" w:rsidRDefault="00E65FE9" w:rsidP="007267A6">
            <w:pPr>
              <w:jc w:val="right"/>
              <w:rPr>
                <w:color w:val="000000"/>
                <w:highlight w:val="yellow"/>
              </w:rPr>
            </w:pPr>
            <w:r>
              <w:rPr>
                <w:color w:val="000000"/>
              </w:rPr>
              <w:t>49.790.736.000</w:t>
            </w:r>
          </w:p>
        </w:tc>
      </w:tr>
      <w:tr w:rsidR="00E65FE9" w:rsidRPr="000C0BCB" w14:paraId="00FCE765" w14:textId="77777777" w:rsidTr="007267A6">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360" w:type="dxa"/>
              <w:bottom w:w="40" w:type="dxa"/>
              <w:right w:w="40" w:type="dxa"/>
            </w:tcMar>
            <w:vAlign w:val="bottom"/>
          </w:tcPr>
          <w:p w14:paraId="73E94558" w14:textId="77777777" w:rsidR="00E65FE9" w:rsidRPr="000C0BCB" w:rsidRDefault="00E65FE9" w:rsidP="007267A6">
            <w:r w:rsidRPr="000C0BCB">
              <w:rPr>
                <w:color w:val="000000"/>
              </w:rPr>
              <w:t>1.8. Дотације организацијама за обавезно социјално осигурање</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5716381B" w14:textId="77777777" w:rsidR="00E65FE9" w:rsidRPr="000C0BCB" w:rsidRDefault="00E65FE9" w:rsidP="007267A6">
            <w:pPr>
              <w:jc w:val="center"/>
            </w:pPr>
            <w:r w:rsidRPr="000C0BCB">
              <w:rPr>
                <w:color w:val="000000"/>
              </w:rPr>
              <w:t>464</w:t>
            </w: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0A733675" w14:textId="77777777" w:rsidR="00E65FE9" w:rsidRPr="00B02AE6" w:rsidRDefault="00E65FE9" w:rsidP="007267A6">
            <w:pPr>
              <w:jc w:val="right"/>
              <w:rPr>
                <w:color w:val="000000"/>
                <w:highlight w:val="yellow"/>
              </w:rPr>
            </w:pPr>
            <w:r>
              <w:t>395.193.703.000</w:t>
            </w:r>
          </w:p>
        </w:tc>
      </w:tr>
      <w:tr w:rsidR="00E65FE9" w:rsidRPr="000C0BCB" w14:paraId="1385FDDA" w14:textId="77777777" w:rsidTr="007267A6">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520" w:type="dxa"/>
              <w:bottom w:w="40" w:type="dxa"/>
              <w:right w:w="40" w:type="dxa"/>
            </w:tcMar>
            <w:vAlign w:val="bottom"/>
          </w:tcPr>
          <w:p w14:paraId="0145CCB6" w14:textId="77777777" w:rsidR="00E65FE9" w:rsidRPr="000C0BCB" w:rsidRDefault="00E65FE9" w:rsidP="007267A6">
            <w:r w:rsidRPr="000C0BCB">
              <w:rPr>
                <w:color w:val="000000"/>
              </w:rPr>
              <w:t>- Републички фонд за пензијско и инвалидско осигурање</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6DCB0C60" w14:textId="77777777" w:rsidR="00E65FE9" w:rsidRPr="000C0BCB" w:rsidRDefault="00E65FE9" w:rsidP="007267A6"/>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21A6B54D" w14:textId="77777777" w:rsidR="00E65FE9" w:rsidRPr="00B02AE6" w:rsidRDefault="00E65FE9" w:rsidP="007267A6">
            <w:pPr>
              <w:jc w:val="right"/>
              <w:rPr>
                <w:color w:val="000000"/>
                <w:highlight w:val="yellow"/>
              </w:rPr>
            </w:pPr>
            <w:r>
              <w:rPr>
                <w:color w:val="000000"/>
              </w:rPr>
              <w:t>301.863.000.000</w:t>
            </w:r>
          </w:p>
        </w:tc>
      </w:tr>
      <w:tr w:rsidR="00E65FE9" w:rsidRPr="000C0BCB" w14:paraId="14F294A3" w14:textId="77777777" w:rsidTr="007267A6">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520" w:type="dxa"/>
              <w:bottom w:w="40" w:type="dxa"/>
              <w:right w:w="40" w:type="dxa"/>
            </w:tcMar>
            <w:vAlign w:val="bottom"/>
          </w:tcPr>
          <w:p w14:paraId="1668547D" w14:textId="77777777" w:rsidR="00E65FE9" w:rsidRPr="000C0BCB" w:rsidRDefault="00E65FE9" w:rsidP="007267A6">
            <w:r w:rsidRPr="000C0BCB">
              <w:rPr>
                <w:color w:val="000000"/>
              </w:rPr>
              <w:t>- Национална служба за запошљавање</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3B7DED0B" w14:textId="77777777" w:rsidR="00E65FE9" w:rsidRPr="000C0BCB" w:rsidRDefault="00E65FE9" w:rsidP="007267A6"/>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68FB8A39" w14:textId="77777777" w:rsidR="00E65FE9" w:rsidRPr="00B02AE6" w:rsidRDefault="00E65FE9" w:rsidP="007267A6">
            <w:pPr>
              <w:jc w:val="right"/>
              <w:rPr>
                <w:color w:val="000000"/>
                <w:highlight w:val="yellow"/>
              </w:rPr>
            </w:pPr>
            <w:r>
              <w:rPr>
                <w:color w:val="000000"/>
              </w:rPr>
              <w:t>750.000.000</w:t>
            </w:r>
          </w:p>
        </w:tc>
      </w:tr>
      <w:tr w:rsidR="00E65FE9" w:rsidRPr="000C0BCB" w14:paraId="6414A45D" w14:textId="77777777" w:rsidTr="007267A6">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520" w:type="dxa"/>
              <w:bottom w:w="40" w:type="dxa"/>
              <w:right w:w="40" w:type="dxa"/>
            </w:tcMar>
            <w:vAlign w:val="bottom"/>
          </w:tcPr>
          <w:p w14:paraId="393CE238" w14:textId="77777777" w:rsidR="00E65FE9" w:rsidRPr="000C0BCB" w:rsidRDefault="00E65FE9" w:rsidP="007267A6">
            <w:r w:rsidRPr="000C0BCB">
              <w:rPr>
                <w:color w:val="000000"/>
              </w:rPr>
              <w:t>- Републички фонд за здравствено осигурање</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6FBF503D" w14:textId="77777777" w:rsidR="00E65FE9" w:rsidRPr="000C0BCB" w:rsidRDefault="00E65FE9" w:rsidP="007267A6"/>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19762275" w14:textId="77777777" w:rsidR="00E65FE9" w:rsidRPr="00B02AE6" w:rsidRDefault="00E65FE9" w:rsidP="007267A6">
            <w:pPr>
              <w:jc w:val="right"/>
              <w:rPr>
                <w:color w:val="000000"/>
                <w:highlight w:val="yellow"/>
              </w:rPr>
            </w:pPr>
            <w:r>
              <w:rPr>
                <w:color w:val="000000"/>
              </w:rPr>
              <w:t>77.800.000.000</w:t>
            </w:r>
          </w:p>
        </w:tc>
      </w:tr>
      <w:tr w:rsidR="00E65FE9" w:rsidRPr="000C0BCB" w14:paraId="5AFC4476" w14:textId="77777777" w:rsidTr="007267A6">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520" w:type="dxa"/>
              <w:bottom w:w="40" w:type="dxa"/>
              <w:right w:w="40" w:type="dxa"/>
            </w:tcMar>
            <w:vAlign w:val="bottom"/>
          </w:tcPr>
          <w:p w14:paraId="06F27707" w14:textId="77777777" w:rsidR="00E65FE9" w:rsidRPr="000C0BCB" w:rsidRDefault="00E65FE9" w:rsidP="007267A6">
            <w:r w:rsidRPr="000C0BCB">
              <w:rPr>
                <w:color w:val="000000"/>
              </w:rPr>
              <w:lastRenderedPageBreak/>
              <w:t>- Фонд за социјално осигурање војних осигураника</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1ECD08F5" w14:textId="77777777" w:rsidR="00E65FE9" w:rsidRPr="000C0BCB" w:rsidRDefault="00E65FE9" w:rsidP="007267A6"/>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3ADD686F" w14:textId="77777777" w:rsidR="00E65FE9" w:rsidRPr="00B02AE6" w:rsidRDefault="00E65FE9" w:rsidP="007267A6">
            <w:pPr>
              <w:jc w:val="right"/>
              <w:rPr>
                <w:color w:val="000000"/>
                <w:highlight w:val="yellow"/>
              </w:rPr>
            </w:pPr>
            <w:r>
              <w:rPr>
                <w:color w:val="000000"/>
              </w:rPr>
              <w:t>300.000.000</w:t>
            </w:r>
          </w:p>
        </w:tc>
      </w:tr>
      <w:tr w:rsidR="00E65FE9" w:rsidRPr="000C0BCB" w14:paraId="0C783877" w14:textId="77777777" w:rsidTr="007267A6">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520" w:type="dxa"/>
              <w:bottom w:w="40" w:type="dxa"/>
              <w:right w:w="40" w:type="dxa"/>
            </w:tcMar>
            <w:vAlign w:val="bottom"/>
          </w:tcPr>
          <w:p w14:paraId="1ADB506A" w14:textId="77777777" w:rsidR="00E65FE9" w:rsidRPr="000C0BCB" w:rsidRDefault="00E65FE9" w:rsidP="007267A6">
            <w:r w:rsidRPr="000C0BCB">
              <w:rPr>
                <w:color w:val="000000"/>
              </w:rPr>
              <w:t>- Остале дотације</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6AA8BB69" w14:textId="77777777" w:rsidR="00E65FE9" w:rsidRPr="000C0BCB" w:rsidRDefault="00E65FE9" w:rsidP="007267A6"/>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662AA13B" w14:textId="77777777" w:rsidR="00E65FE9" w:rsidRPr="00B02AE6" w:rsidRDefault="00E65FE9" w:rsidP="007267A6">
            <w:pPr>
              <w:jc w:val="right"/>
              <w:rPr>
                <w:color w:val="000000"/>
                <w:highlight w:val="yellow"/>
              </w:rPr>
            </w:pPr>
            <w:r>
              <w:rPr>
                <w:color w:val="000000"/>
              </w:rPr>
              <w:t>14.480.703.000</w:t>
            </w:r>
          </w:p>
        </w:tc>
      </w:tr>
      <w:tr w:rsidR="00E65FE9" w:rsidRPr="000C0BCB" w14:paraId="2A4589E7" w14:textId="77777777" w:rsidTr="007267A6">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360" w:type="dxa"/>
              <w:bottom w:w="40" w:type="dxa"/>
              <w:right w:w="40" w:type="dxa"/>
            </w:tcMar>
            <w:vAlign w:val="bottom"/>
          </w:tcPr>
          <w:p w14:paraId="7B1AF383" w14:textId="77777777" w:rsidR="00E65FE9" w:rsidRPr="000C0BCB" w:rsidRDefault="00E65FE9" w:rsidP="007267A6">
            <w:r w:rsidRPr="000C0BCB">
              <w:rPr>
                <w:color w:val="000000"/>
              </w:rPr>
              <w:t>1.9. Остале дотације и трансфери</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53FCD0F7" w14:textId="77777777" w:rsidR="00E65FE9" w:rsidRPr="000C0BCB" w:rsidRDefault="00E65FE9" w:rsidP="007267A6">
            <w:pPr>
              <w:jc w:val="center"/>
            </w:pPr>
            <w:r w:rsidRPr="000C0BCB">
              <w:rPr>
                <w:color w:val="000000"/>
              </w:rPr>
              <w:t>465</w:t>
            </w: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24E96E9F" w14:textId="77777777" w:rsidR="00E65FE9" w:rsidRPr="00B02AE6" w:rsidRDefault="00E65FE9" w:rsidP="007267A6">
            <w:pPr>
              <w:jc w:val="right"/>
              <w:rPr>
                <w:color w:val="000000"/>
                <w:highlight w:val="yellow"/>
              </w:rPr>
            </w:pPr>
            <w:r>
              <w:t>3.600.426.000</w:t>
            </w:r>
          </w:p>
        </w:tc>
      </w:tr>
      <w:tr w:rsidR="00E65FE9" w:rsidRPr="000C0BCB" w14:paraId="76C145DB" w14:textId="77777777" w:rsidTr="007267A6">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360" w:type="dxa"/>
              <w:bottom w:w="40" w:type="dxa"/>
              <w:right w:w="40" w:type="dxa"/>
            </w:tcMar>
            <w:vAlign w:val="bottom"/>
          </w:tcPr>
          <w:p w14:paraId="48C828FA" w14:textId="77777777" w:rsidR="00E65FE9" w:rsidRPr="000C0BCB" w:rsidRDefault="00E65FE9" w:rsidP="007267A6">
            <w:r w:rsidRPr="000C0BCB">
              <w:rPr>
                <w:color w:val="000000"/>
              </w:rPr>
              <w:t>1.10. Социјално осигурање и социјална заштита</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41D8D24A" w14:textId="77777777" w:rsidR="00E65FE9" w:rsidRPr="000C0BCB" w:rsidRDefault="00E65FE9" w:rsidP="007267A6">
            <w:pPr>
              <w:jc w:val="center"/>
            </w:pPr>
            <w:r w:rsidRPr="000C0BCB">
              <w:rPr>
                <w:color w:val="000000"/>
              </w:rPr>
              <w:t>47</w:t>
            </w: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3608480F" w14:textId="77777777" w:rsidR="00E65FE9" w:rsidRPr="00B02AE6" w:rsidRDefault="00E65FE9" w:rsidP="007267A6">
            <w:pPr>
              <w:jc w:val="right"/>
              <w:rPr>
                <w:color w:val="000000"/>
                <w:highlight w:val="yellow"/>
              </w:rPr>
            </w:pPr>
            <w:r>
              <w:t>212.213.841.000</w:t>
            </w:r>
          </w:p>
        </w:tc>
      </w:tr>
      <w:tr w:rsidR="00E65FE9" w:rsidRPr="000C0BCB" w14:paraId="163BFD63" w14:textId="77777777" w:rsidTr="007267A6">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520" w:type="dxa"/>
              <w:bottom w:w="40" w:type="dxa"/>
              <w:right w:w="40" w:type="dxa"/>
            </w:tcMar>
            <w:vAlign w:val="bottom"/>
          </w:tcPr>
          <w:p w14:paraId="6FA1DDAA" w14:textId="77777777" w:rsidR="00E65FE9" w:rsidRPr="000C0BCB" w:rsidRDefault="00E65FE9" w:rsidP="007267A6">
            <w:r w:rsidRPr="000C0BCB">
              <w:rPr>
                <w:color w:val="000000"/>
              </w:rPr>
              <w:t>- Дечја заштита</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2FC1AD62" w14:textId="77777777" w:rsidR="00E65FE9" w:rsidRPr="000C0BCB" w:rsidRDefault="00E65FE9" w:rsidP="007267A6"/>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34254E5C" w14:textId="77777777" w:rsidR="00E65FE9" w:rsidRPr="00B02AE6" w:rsidRDefault="00E65FE9" w:rsidP="007267A6">
            <w:pPr>
              <w:jc w:val="right"/>
              <w:rPr>
                <w:color w:val="000000"/>
                <w:highlight w:val="yellow"/>
              </w:rPr>
            </w:pPr>
            <w:r>
              <w:rPr>
                <w:color w:val="000000"/>
              </w:rPr>
              <w:t>131.183.668.000</w:t>
            </w:r>
          </w:p>
        </w:tc>
      </w:tr>
      <w:tr w:rsidR="00E65FE9" w:rsidRPr="000C0BCB" w14:paraId="670308B1" w14:textId="77777777" w:rsidTr="007267A6">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520" w:type="dxa"/>
              <w:bottom w:w="40" w:type="dxa"/>
              <w:right w:w="40" w:type="dxa"/>
            </w:tcMar>
            <w:vAlign w:val="bottom"/>
          </w:tcPr>
          <w:p w14:paraId="167469E7" w14:textId="77777777" w:rsidR="00E65FE9" w:rsidRPr="000C0BCB" w:rsidRDefault="00E65FE9" w:rsidP="007267A6">
            <w:r w:rsidRPr="000C0BCB">
              <w:rPr>
                <w:color w:val="000000"/>
              </w:rPr>
              <w:t>- Борачко - инвалидска заштита</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0B0F7978" w14:textId="77777777" w:rsidR="00E65FE9" w:rsidRPr="000C0BCB" w:rsidRDefault="00E65FE9" w:rsidP="007267A6"/>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6BB3AD0F" w14:textId="77777777" w:rsidR="00E65FE9" w:rsidRPr="00B02AE6" w:rsidRDefault="00E65FE9" w:rsidP="007267A6">
            <w:pPr>
              <w:jc w:val="right"/>
              <w:rPr>
                <w:color w:val="000000"/>
                <w:highlight w:val="yellow"/>
              </w:rPr>
            </w:pPr>
            <w:r>
              <w:rPr>
                <w:color w:val="000000"/>
              </w:rPr>
              <w:t>24.873.600.000</w:t>
            </w:r>
          </w:p>
        </w:tc>
      </w:tr>
      <w:tr w:rsidR="00E65FE9" w:rsidRPr="000C0BCB" w14:paraId="0BF1CE98" w14:textId="77777777" w:rsidTr="007267A6">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520" w:type="dxa"/>
              <w:bottom w:w="40" w:type="dxa"/>
              <w:right w:w="40" w:type="dxa"/>
            </w:tcMar>
            <w:vAlign w:val="bottom"/>
          </w:tcPr>
          <w:p w14:paraId="7A714C08" w14:textId="77777777" w:rsidR="00E65FE9" w:rsidRPr="000C0BCB" w:rsidRDefault="00E65FE9" w:rsidP="007267A6">
            <w:r w:rsidRPr="000C0BCB">
              <w:rPr>
                <w:color w:val="000000"/>
              </w:rPr>
              <w:t>- Социјална заштита</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677ED806" w14:textId="77777777" w:rsidR="00E65FE9" w:rsidRPr="000C0BCB" w:rsidRDefault="00E65FE9" w:rsidP="007267A6"/>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0832479C" w14:textId="77777777" w:rsidR="00E65FE9" w:rsidRPr="00B02AE6" w:rsidRDefault="00E65FE9" w:rsidP="007267A6">
            <w:pPr>
              <w:jc w:val="right"/>
              <w:rPr>
                <w:color w:val="000000"/>
                <w:highlight w:val="yellow"/>
              </w:rPr>
            </w:pPr>
            <w:r>
              <w:rPr>
                <w:color w:val="000000"/>
              </w:rPr>
              <w:t>40.731.186.000</w:t>
            </w:r>
          </w:p>
        </w:tc>
      </w:tr>
      <w:tr w:rsidR="00E65FE9" w:rsidRPr="000C0BCB" w14:paraId="0079DA2D" w14:textId="77777777" w:rsidTr="007267A6">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520" w:type="dxa"/>
              <w:bottom w:w="40" w:type="dxa"/>
              <w:right w:w="40" w:type="dxa"/>
            </w:tcMar>
            <w:vAlign w:val="bottom"/>
          </w:tcPr>
          <w:p w14:paraId="568F430E" w14:textId="77777777" w:rsidR="00E65FE9" w:rsidRPr="000C0BCB" w:rsidRDefault="00E65FE9" w:rsidP="007267A6">
            <w:r w:rsidRPr="000C0BCB">
              <w:rPr>
                <w:color w:val="000000"/>
              </w:rPr>
              <w:t>- Транзициони фонд</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510C65DF" w14:textId="77777777" w:rsidR="00E65FE9" w:rsidRPr="000C0BCB" w:rsidRDefault="00E65FE9" w:rsidP="007267A6"/>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63AD0A87" w14:textId="77777777" w:rsidR="00E65FE9" w:rsidRPr="00B02AE6" w:rsidRDefault="00E65FE9" w:rsidP="007267A6">
            <w:pPr>
              <w:jc w:val="right"/>
              <w:rPr>
                <w:color w:val="000000"/>
                <w:highlight w:val="yellow"/>
              </w:rPr>
            </w:pPr>
            <w:r>
              <w:rPr>
                <w:color w:val="000000"/>
              </w:rPr>
              <w:t>150.000.000</w:t>
            </w:r>
          </w:p>
        </w:tc>
      </w:tr>
      <w:tr w:rsidR="00E65FE9" w:rsidRPr="000C0BCB" w14:paraId="2D2B9638" w14:textId="77777777" w:rsidTr="007267A6">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520" w:type="dxa"/>
              <w:bottom w:w="40" w:type="dxa"/>
              <w:right w:w="40" w:type="dxa"/>
            </w:tcMar>
            <w:vAlign w:val="bottom"/>
          </w:tcPr>
          <w:p w14:paraId="5DB3B0DC" w14:textId="77777777" w:rsidR="00E65FE9" w:rsidRPr="000C0BCB" w:rsidRDefault="00E65FE9" w:rsidP="007267A6">
            <w:r w:rsidRPr="000C0BCB">
              <w:rPr>
                <w:color w:val="000000"/>
              </w:rPr>
              <w:t>- Ученички стандард</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5194D0D2" w14:textId="77777777" w:rsidR="00E65FE9" w:rsidRPr="000C0BCB" w:rsidRDefault="00E65FE9" w:rsidP="007267A6"/>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551BF8FB" w14:textId="77777777" w:rsidR="00E65FE9" w:rsidRPr="00B02AE6" w:rsidRDefault="00E65FE9" w:rsidP="007267A6">
            <w:pPr>
              <w:jc w:val="right"/>
              <w:rPr>
                <w:color w:val="000000"/>
                <w:highlight w:val="yellow"/>
              </w:rPr>
            </w:pPr>
            <w:r>
              <w:rPr>
                <w:color w:val="000000"/>
              </w:rPr>
              <w:t>1.048.431.000</w:t>
            </w:r>
          </w:p>
        </w:tc>
      </w:tr>
      <w:tr w:rsidR="00E65FE9" w:rsidRPr="000C0BCB" w14:paraId="77831FE3" w14:textId="77777777" w:rsidTr="007267A6">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520" w:type="dxa"/>
              <w:bottom w:w="40" w:type="dxa"/>
              <w:right w:w="40" w:type="dxa"/>
            </w:tcMar>
            <w:vAlign w:val="bottom"/>
          </w:tcPr>
          <w:p w14:paraId="7C2E9E6F" w14:textId="77777777" w:rsidR="00E65FE9" w:rsidRPr="000C0BCB" w:rsidRDefault="00E65FE9" w:rsidP="007267A6">
            <w:r w:rsidRPr="000C0BCB">
              <w:rPr>
                <w:color w:val="000000"/>
              </w:rPr>
              <w:t>- Студентски стандард</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2380FC17" w14:textId="77777777" w:rsidR="00E65FE9" w:rsidRPr="000C0BCB" w:rsidRDefault="00E65FE9" w:rsidP="007267A6"/>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2653CA42" w14:textId="77777777" w:rsidR="00E65FE9" w:rsidRPr="00B02AE6" w:rsidRDefault="00E65FE9" w:rsidP="007267A6">
            <w:pPr>
              <w:jc w:val="right"/>
              <w:rPr>
                <w:color w:val="000000"/>
                <w:highlight w:val="yellow"/>
              </w:rPr>
            </w:pPr>
            <w:r>
              <w:rPr>
                <w:color w:val="000000"/>
              </w:rPr>
              <w:t>1.548.882.000</w:t>
            </w:r>
          </w:p>
        </w:tc>
      </w:tr>
      <w:tr w:rsidR="00E65FE9" w:rsidRPr="000C0BCB" w14:paraId="63B88075" w14:textId="77777777" w:rsidTr="007267A6">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520" w:type="dxa"/>
              <w:bottom w:w="40" w:type="dxa"/>
              <w:right w:w="40" w:type="dxa"/>
            </w:tcMar>
            <w:vAlign w:val="bottom"/>
          </w:tcPr>
          <w:p w14:paraId="7C6B4677" w14:textId="77777777" w:rsidR="00E65FE9" w:rsidRPr="000C0BCB" w:rsidRDefault="00E65FE9" w:rsidP="007267A6">
            <w:r w:rsidRPr="000C0BCB">
              <w:rPr>
                <w:color w:val="000000"/>
              </w:rPr>
              <w:t>- Стипендије за младе таленте</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3A7B3EF0" w14:textId="77777777" w:rsidR="00E65FE9" w:rsidRPr="000C0BCB" w:rsidRDefault="00E65FE9" w:rsidP="007267A6"/>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252A52D5" w14:textId="77777777" w:rsidR="00E65FE9" w:rsidRPr="00B02AE6" w:rsidRDefault="00E65FE9" w:rsidP="007267A6">
            <w:pPr>
              <w:jc w:val="right"/>
              <w:rPr>
                <w:color w:val="000000"/>
                <w:highlight w:val="yellow"/>
              </w:rPr>
            </w:pPr>
            <w:r>
              <w:rPr>
                <w:color w:val="000000"/>
              </w:rPr>
              <w:t>1.119.140.000</w:t>
            </w:r>
          </w:p>
        </w:tc>
      </w:tr>
      <w:tr w:rsidR="00E65FE9" w:rsidRPr="000C0BCB" w14:paraId="74DB07CC" w14:textId="77777777" w:rsidTr="007267A6">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520" w:type="dxa"/>
              <w:bottom w:w="40" w:type="dxa"/>
              <w:right w:w="40" w:type="dxa"/>
            </w:tcMar>
            <w:vAlign w:val="bottom"/>
          </w:tcPr>
          <w:p w14:paraId="3824E27E" w14:textId="77777777" w:rsidR="00E65FE9" w:rsidRPr="000C0BCB" w:rsidRDefault="00E65FE9" w:rsidP="007267A6">
            <w:r w:rsidRPr="000C0BCB">
              <w:rPr>
                <w:color w:val="000000"/>
              </w:rPr>
              <w:t>- Спортске стипендије, награде и признања</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7A11DB61" w14:textId="77777777" w:rsidR="00E65FE9" w:rsidRPr="000C0BCB" w:rsidRDefault="00E65FE9" w:rsidP="007267A6"/>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1A1A0FC0" w14:textId="77777777" w:rsidR="00E65FE9" w:rsidRPr="00B02AE6" w:rsidRDefault="00E65FE9" w:rsidP="007267A6">
            <w:pPr>
              <w:jc w:val="right"/>
              <w:rPr>
                <w:color w:val="000000"/>
                <w:highlight w:val="yellow"/>
              </w:rPr>
            </w:pPr>
            <w:r>
              <w:rPr>
                <w:color w:val="000000"/>
              </w:rPr>
              <w:t>2.369.600.000</w:t>
            </w:r>
          </w:p>
        </w:tc>
      </w:tr>
      <w:tr w:rsidR="00E65FE9" w:rsidRPr="000C0BCB" w14:paraId="141CEBA0" w14:textId="77777777" w:rsidTr="007267A6">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520" w:type="dxa"/>
              <w:bottom w:w="40" w:type="dxa"/>
              <w:right w:w="40" w:type="dxa"/>
            </w:tcMar>
            <w:vAlign w:val="bottom"/>
          </w:tcPr>
          <w:p w14:paraId="11C70F27" w14:textId="77777777" w:rsidR="00E65FE9" w:rsidRPr="000C0BCB" w:rsidRDefault="00E65FE9" w:rsidP="007267A6">
            <w:r w:rsidRPr="000C0BCB">
              <w:rPr>
                <w:color w:val="000000"/>
              </w:rPr>
              <w:t>- Избегла и расељена лица</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1C9D1054" w14:textId="77777777" w:rsidR="00E65FE9" w:rsidRPr="000C0BCB" w:rsidRDefault="00E65FE9" w:rsidP="007267A6"/>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50883317" w14:textId="77777777" w:rsidR="00E65FE9" w:rsidRPr="00B02AE6" w:rsidRDefault="00E65FE9" w:rsidP="007267A6">
            <w:pPr>
              <w:jc w:val="right"/>
              <w:rPr>
                <w:color w:val="000000"/>
                <w:highlight w:val="yellow"/>
              </w:rPr>
            </w:pPr>
            <w:r>
              <w:rPr>
                <w:color w:val="000000"/>
              </w:rPr>
              <w:t>209.147.000</w:t>
            </w:r>
          </w:p>
        </w:tc>
      </w:tr>
      <w:tr w:rsidR="00E65FE9" w:rsidRPr="000C0BCB" w14:paraId="44E81AD0" w14:textId="77777777" w:rsidTr="007267A6">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520" w:type="dxa"/>
              <w:bottom w:w="40" w:type="dxa"/>
              <w:right w:w="40" w:type="dxa"/>
            </w:tcMar>
            <w:vAlign w:val="bottom"/>
          </w:tcPr>
          <w:p w14:paraId="34880CAD" w14:textId="77777777" w:rsidR="00E65FE9" w:rsidRPr="000C0BCB" w:rsidRDefault="00E65FE9" w:rsidP="007267A6">
            <w:r w:rsidRPr="000C0BCB">
              <w:rPr>
                <w:color w:val="000000"/>
              </w:rPr>
              <w:t>- Остала социјална заштита из буџета</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625B217C" w14:textId="77777777" w:rsidR="00E65FE9" w:rsidRPr="000C0BCB" w:rsidRDefault="00E65FE9" w:rsidP="007267A6"/>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5D208DAD" w14:textId="77777777" w:rsidR="00E65FE9" w:rsidRPr="00B02AE6" w:rsidRDefault="00E65FE9" w:rsidP="007267A6">
            <w:pPr>
              <w:jc w:val="right"/>
              <w:rPr>
                <w:color w:val="000000"/>
                <w:highlight w:val="yellow"/>
              </w:rPr>
            </w:pPr>
            <w:r>
              <w:rPr>
                <w:color w:val="000000"/>
              </w:rPr>
              <w:t>8.980.187.000</w:t>
            </w:r>
          </w:p>
        </w:tc>
      </w:tr>
      <w:tr w:rsidR="00E65FE9" w:rsidRPr="000C0BCB" w14:paraId="670C68F6" w14:textId="77777777" w:rsidTr="007267A6">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360" w:type="dxa"/>
              <w:bottom w:w="40" w:type="dxa"/>
              <w:right w:w="40" w:type="dxa"/>
            </w:tcMar>
            <w:vAlign w:val="bottom"/>
          </w:tcPr>
          <w:p w14:paraId="175965CC" w14:textId="77777777" w:rsidR="00E65FE9" w:rsidRPr="000C0BCB" w:rsidRDefault="00E65FE9" w:rsidP="007267A6">
            <w:r w:rsidRPr="000C0BCB">
              <w:rPr>
                <w:color w:val="000000"/>
              </w:rPr>
              <w:t>1.11. Остали текући расходи</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5BA2FA7B" w14:textId="77777777" w:rsidR="00E65FE9" w:rsidRPr="000C0BCB" w:rsidRDefault="00E65FE9" w:rsidP="007267A6">
            <w:pPr>
              <w:jc w:val="center"/>
            </w:pPr>
            <w:r w:rsidRPr="000C0BCB">
              <w:rPr>
                <w:color w:val="000000"/>
              </w:rPr>
              <w:t>43, 48 и 49</w:t>
            </w: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16702371" w14:textId="77777777" w:rsidR="00E65FE9" w:rsidRPr="00B02AE6" w:rsidRDefault="00E65FE9" w:rsidP="007267A6">
            <w:pPr>
              <w:jc w:val="right"/>
              <w:rPr>
                <w:color w:val="000000"/>
                <w:highlight w:val="yellow"/>
              </w:rPr>
            </w:pPr>
            <w:r>
              <w:t>51.817.171.000</w:t>
            </w:r>
          </w:p>
        </w:tc>
      </w:tr>
      <w:tr w:rsidR="00E65FE9" w:rsidRPr="000C0BCB" w14:paraId="2B3C04ED" w14:textId="77777777" w:rsidTr="007267A6">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520" w:type="dxa"/>
              <w:bottom w:w="40" w:type="dxa"/>
              <w:right w:w="40" w:type="dxa"/>
            </w:tcMar>
            <w:vAlign w:val="bottom"/>
          </w:tcPr>
          <w:p w14:paraId="62238712" w14:textId="77777777" w:rsidR="00E65FE9" w:rsidRPr="000C0BCB" w:rsidRDefault="00E65FE9" w:rsidP="007267A6">
            <w:r w:rsidRPr="000C0BCB">
              <w:rPr>
                <w:color w:val="000000"/>
              </w:rPr>
              <w:t>- Средства резерви</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0801B85A" w14:textId="77777777" w:rsidR="00E65FE9" w:rsidRPr="000C0BCB" w:rsidRDefault="00E65FE9" w:rsidP="007267A6">
            <w:pPr>
              <w:jc w:val="center"/>
            </w:pPr>
            <w:r w:rsidRPr="000C0BCB">
              <w:rPr>
                <w:color w:val="000000"/>
              </w:rPr>
              <w:t>499</w:t>
            </w: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4509FD02" w14:textId="77777777" w:rsidR="00E65FE9" w:rsidRPr="00B02AE6" w:rsidRDefault="00E65FE9" w:rsidP="007267A6">
            <w:pPr>
              <w:jc w:val="right"/>
              <w:rPr>
                <w:color w:val="000000"/>
                <w:highlight w:val="yellow"/>
              </w:rPr>
            </w:pPr>
            <w:r>
              <w:t>5.002.000.000</w:t>
            </w:r>
          </w:p>
        </w:tc>
      </w:tr>
      <w:tr w:rsidR="00E65FE9" w:rsidRPr="000C0BCB" w14:paraId="3C08E4AE" w14:textId="77777777" w:rsidTr="007267A6">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520" w:type="dxa"/>
              <w:bottom w:w="40" w:type="dxa"/>
              <w:right w:w="40" w:type="dxa"/>
            </w:tcMar>
            <w:vAlign w:val="bottom"/>
          </w:tcPr>
          <w:p w14:paraId="3895D1B6" w14:textId="77777777" w:rsidR="00E65FE9" w:rsidRPr="000C0BCB" w:rsidRDefault="00E65FE9" w:rsidP="007267A6">
            <w:r w:rsidRPr="000C0BCB">
              <w:rPr>
                <w:color w:val="000000"/>
              </w:rPr>
              <w:t>- Остали текући расходи</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669B163F" w14:textId="77777777" w:rsidR="00E65FE9" w:rsidRPr="000C0BCB" w:rsidRDefault="00E65FE9" w:rsidP="007267A6">
            <w:pPr>
              <w:jc w:val="center"/>
            </w:pPr>
            <w:r w:rsidRPr="000C0BCB">
              <w:rPr>
                <w:color w:val="000000"/>
              </w:rPr>
              <w:t>43 и 48</w:t>
            </w: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66B154A3" w14:textId="77777777" w:rsidR="00E65FE9" w:rsidRPr="00B02AE6" w:rsidRDefault="00E65FE9" w:rsidP="007267A6">
            <w:pPr>
              <w:jc w:val="right"/>
              <w:rPr>
                <w:color w:val="000000"/>
                <w:highlight w:val="yellow"/>
              </w:rPr>
            </w:pPr>
            <w:r>
              <w:t>46.815.171.000</w:t>
            </w:r>
          </w:p>
        </w:tc>
      </w:tr>
      <w:tr w:rsidR="00E65FE9" w:rsidRPr="000C0BCB" w14:paraId="40D46F53" w14:textId="77777777" w:rsidTr="007267A6">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200" w:type="dxa"/>
              <w:bottom w:w="40" w:type="dxa"/>
              <w:right w:w="40" w:type="dxa"/>
            </w:tcMar>
            <w:vAlign w:val="bottom"/>
          </w:tcPr>
          <w:p w14:paraId="3C39BD87" w14:textId="77777777" w:rsidR="00E65FE9" w:rsidRPr="000C0BCB" w:rsidRDefault="00E65FE9" w:rsidP="007267A6">
            <w:r w:rsidRPr="000C0BCB">
              <w:rPr>
                <w:color w:val="000000"/>
              </w:rPr>
              <w:t>2. Издаци за нефинансијску имовину</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0E28C77A" w14:textId="77777777" w:rsidR="00E65FE9" w:rsidRPr="000C0BCB" w:rsidRDefault="00E65FE9" w:rsidP="007267A6">
            <w:pPr>
              <w:jc w:val="center"/>
            </w:pPr>
            <w:r w:rsidRPr="000C0BCB">
              <w:rPr>
                <w:color w:val="000000"/>
              </w:rPr>
              <w:t>5</w:t>
            </w: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4D794838" w14:textId="77777777" w:rsidR="00E65FE9" w:rsidRPr="00B02AE6" w:rsidRDefault="00E65FE9" w:rsidP="007267A6">
            <w:pPr>
              <w:jc w:val="right"/>
              <w:rPr>
                <w:color w:val="000000"/>
                <w:highlight w:val="yellow"/>
              </w:rPr>
            </w:pPr>
            <w:r>
              <w:t>603.282.950.000</w:t>
            </w:r>
          </w:p>
        </w:tc>
      </w:tr>
      <w:tr w:rsidR="00E65FE9" w:rsidRPr="000C0BCB" w14:paraId="70DF4715" w14:textId="77777777" w:rsidTr="007267A6">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200" w:type="dxa"/>
              <w:bottom w:w="40" w:type="dxa"/>
              <w:right w:w="40" w:type="dxa"/>
            </w:tcMar>
            <w:vAlign w:val="bottom"/>
          </w:tcPr>
          <w:p w14:paraId="30BF9AF8" w14:textId="77777777" w:rsidR="00E65FE9" w:rsidRPr="000C0BCB" w:rsidRDefault="00E65FE9" w:rsidP="007267A6">
            <w:r w:rsidRPr="000C0BCB">
              <w:rPr>
                <w:color w:val="000000"/>
              </w:rPr>
              <w:t>3. Издаци за отплату главнице (у циљу спровођења јавних политика)</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41A8F170" w14:textId="77777777" w:rsidR="00E65FE9" w:rsidRPr="000C0BCB" w:rsidRDefault="00E65FE9" w:rsidP="007267A6">
            <w:pPr>
              <w:jc w:val="center"/>
            </w:pPr>
            <w:r w:rsidRPr="000C0BCB">
              <w:rPr>
                <w:color w:val="000000"/>
              </w:rPr>
              <w:t>61</w:t>
            </w: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09432B42" w14:textId="77777777" w:rsidR="00E65FE9" w:rsidRPr="00B02AE6" w:rsidRDefault="00E65FE9" w:rsidP="007267A6">
            <w:pPr>
              <w:jc w:val="right"/>
              <w:rPr>
                <w:color w:val="000000"/>
                <w:highlight w:val="yellow"/>
              </w:rPr>
            </w:pPr>
            <w:r>
              <w:t>23.700.000.000</w:t>
            </w:r>
          </w:p>
        </w:tc>
      </w:tr>
      <w:tr w:rsidR="00E65FE9" w:rsidRPr="000C0BCB" w14:paraId="3D733352" w14:textId="77777777" w:rsidTr="007267A6">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200" w:type="dxa"/>
              <w:bottom w:w="40" w:type="dxa"/>
              <w:right w:w="40" w:type="dxa"/>
            </w:tcMar>
            <w:vAlign w:val="bottom"/>
          </w:tcPr>
          <w:p w14:paraId="40B6F51A" w14:textId="77777777" w:rsidR="00E65FE9" w:rsidRPr="000C0BCB" w:rsidRDefault="00E65FE9" w:rsidP="007267A6">
            <w:r w:rsidRPr="000C0BCB">
              <w:rPr>
                <w:color w:val="000000"/>
              </w:rPr>
              <w:t>4. Издаци за набавку финансијске имовине (у циљу спровођења јавних политика)</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45E5C5AE" w14:textId="77777777" w:rsidR="00E65FE9" w:rsidRPr="000C0BCB" w:rsidRDefault="00E65FE9" w:rsidP="007267A6">
            <w:pPr>
              <w:jc w:val="center"/>
            </w:pPr>
            <w:r w:rsidRPr="000C0BCB">
              <w:rPr>
                <w:color w:val="000000"/>
              </w:rPr>
              <w:t>62</w:t>
            </w: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1ADD78E2" w14:textId="77777777" w:rsidR="00E65FE9" w:rsidRPr="00B02AE6" w:rsidRDefault="00E65FE9" w:rsidP="007267A6">
            <w:pPr>
              <w:jc w:val="right"/>
              <w:rPr>
                <w:color w:val="000000"/>
                <w:highlight w:val="yellow"/>
              </w:rPr>
            </w:pPr>
            <w:r>
              <w:t>13.477.119.000</w:t>
            </w:r>
          </w:p>
        </w:tc>
      </w:tr>
    </w:tbl>
    <w:p w14:paraId="63EDEBD1" w14:textId="77777777" w:rsidR="00AA4DFA" w:rsidRPr="00C531A2" w:rsidRDefault="00AA4DFA" w:rsidP="002201E2">
      <w:pPr>
        <w:tabs>
          <w:tab w:val="left" w:pos="720"/>
        </w:tabs>
        <w:spacing w:after="120"/>
        <w:rPr>
          <w:rFonts w:ascii="Times New Roman" w:hAnsi="Times New Roman"/>
          <w:szCs w:val="24"/>
        </w:rPr>
      </w:pPr>
    </w:p>
    <w:p w14:paraId="796F7B02" w14:textId="3228E0CB" w:rsidR="00330CD3" w:rsidRPr="00C531A2" w:rsidRDefault="009260FB" w:rsidP="002201E2">
      <w:pPr>
        <w:tabs>
          <w:tab w:val="left" w:pos="720"/>
        </w:tabs>
        <w:spacing w:after="120"/>
        <w:rPr>
          <w:rFonts w:ascii="Times New Roman" w:hAnsi="Times New Roman"/>
          <w:bCs/>
          <w:szCs w:val="24"/>
        </w:rPr>
      </w:pPr>
      <w:r w:rsidRPr="00C531A2">
        <w:rPr>
          <w:rFonts w:ascii="Times New Roman" w:hAnsi="Times New Roman"/>
          <w:szCs w:val="24"/>
        </w:rPr>
        <w:tab/>
      </w:r>
      <w:r w:rsidR="0049556C" w:rsidRPr="00C531A2">
        <w:rPr>
          <w:rFonts w:ascii="Times New Roman" w:hAnsi="Times New Roman"/>
          <w:bCs/>
          <w:szCs w:val="24"/>
        </w:rPr>
        <w:t>Буџетом Републике Србије за 202</w:t>
      </w:r>
      <w:r w:rsidR="009C75BB" w:rsidRPr="00C531A2">
        <w:rPr>
          <w:rFonts w:ascii="Times New Roman" w:hAnsi="Times New Roman"/>
          <w:bCs/>
          <w:szCs w:val="24"/>
        </w:rPr>
        <w:t>6</w:t>
      </w:r>
      <w:r w:rsidR="0049556C" w:rsidRPr="00C531A2">
        <w:rPr>
          <w:rFonts w:ascii="Times New Roman" w:hAnsi="Times New Roman"/>
          <w:bCs/>
          <w:szCs w:val="24"/>
        </w:rPr>
        <w:t xml:space="preserve">. годину, планирани су укупни расходи и издаци у износу од </w:t>
      </w:r>
      <w:r w:rsidR="00593CBA" w:rsidRPr="00C531A2">
        <w:rPr>
          <w:rFonts w:ascii="Times New Roman" w:hAnsi="Times New Roman"/>
          <w:bCs/>
          <w:szCs w:val="24"/>
        </w:rPr>
        <w:t>2.</w:t>
      </w:r>
      <w:r w:rsidR="00344155" w:rsidRPr="00C531A2">
        <w:rPr>
          <w:rFonts w:ascii="Times New Roman" w:hAnsi="Times New Roman"/>
          <w:bCs/>
          <w:szCs w:val="24"/>
        </w:rPr>
        <w:t>751</w:t>
      </w:r>
      <w:r w:rsidR="001F6F9F" w:rsidRPr="00C531A2">
        <w:rPr>
          <w:rFonts w:ascii="Times New Roman" w:hAnsi="Times New Roman"/>
          <w:bCs/>
          <w:szCs w:val="24"/>
        </w:rPr>
        <w:t>,</w:t>
      </w:r>
      <w:r w:rsidR="003D544E" w:rsidRPr="00C531A2">
        <w:rPr>
          <w:rFonts w:ascii="Times New Roman" w:hAnsi="Times New Roman"/>
          <w:bCs/>
          <w:szCs w:val="24"/>
        </w:rPr>
        <w:t>70</w:t>
      </w:r>
      <w:r w:rsidR="0049556C" w:rsidRPr="00C531A2">
        <w:rPr>
          <w:rFonts w:ascii="Times New Roman" w:hAnsi="Times New Roman"/>
          <w:bCs/>
          <w:szCs w:val="24"/>
        </w:rPr>
        <w:t xml:space="preserve"> млрд динара</w:t>
      </w:r>
      <w:r w:rsidR="000027E8" w:rsidRPr="00C531A2">
        <w:rPr>
          <w:rFonts w:ascii="Times New Roman" w:hAnsi="Times New Roman"/>
          <w:bCs/>
          <w:szCs w:val="24"/>
        </w:rPr>
        <w:t>.</w:t>
      </w:r>
    </w:p>
    <w:tbl>
      <w:tblPr>
        <w:tblW w:w="5264" w:type="pct"/>
        <w:tblLook w:val="04A0" w:firstRow="1" w:lastRow="0" w:firstColumn="1" w:lastColumn="0" w:noHBand="0" w:noVBand="1"/>
      </w:tblPr>
      <w:tblGrid>
        <w:gridCol w:w="4405"/>
        <w:gridCol w:w="916"/>
        <w:gridCol w:w="916"/>
        <w:gridCol w:w="841"/>
        <w:gridCol w:w="1195"/>
        <w:gridCol w:w="1195"/>
      </w:tblGrid>
      <w:tr w:rsidR="00F41FBC" w:rsidRPr="0090217D" w14:paraId="6472AF4A" w14:textId="77777777" w:rsidTr="00F41FBC">
        <w:trPr>
          <w:trHeight w:val="780"/>
        </w:trPr>
        <w:tc>
          <w:tcPr>
            <w:tcW w:w="2402" w:type="pct"/>
            <w:tcBorders>
              <w:top w:val="single" w:sz="8" w:space="0" w:color="000000"/>
              <w:left w:val="single" w:sz="8" w:space="0" w:color="000000"/>
              <w:bottom w:val="single" w:sz="8" w:space="0" w:color="000000"/>
              <w:right w:val="single" w:sz="8" w:space="0" w:color="000000"/>
            </w:tcBorders>
            <w:shd w:val="clear" w:color="000000" w:fill="C5D9F1"/>
            <w:vAlign w:val="center"/>
            <w:hideMark/>
          </w:tcPr>
          <w:p w14:paraId="21BDC2BE" w14:textId="77777777" w:rsidR="00072FE5" w:rsidRPr="0090217D" w:rsidRDefault="00072FE5" w:rsidP="007267A6">
            <w:pPr>
              <w:jc w:val="center"/>
              <w:rPr>
                <w:rFonts w:ascii="Times New Roman" w:hAnsi="Times New Roman"/>
                <w:b/>
                <w:bCs/>
                <w:color w:val="000000"/>
                <w:sz w:val="20"/>
              </w:rPr>
            </w:pPr>
            <w:r w:rsidRPr="0090217D">
              <w:rPr>
                <w:rFonts w:ascii="Times New Roman" w:hAnsi="Times New Roman"/>
                <w:b/>
                <w:bCs/>
                <w:color w:val="000000"/>
                <w:sz w:val="20"/>
              </w:rPr>
              <w:t>ОПИС</w:t>
            </w:r>
          </w:p>
        </w:tc>
        <w:tc>
          <w:tcPr>
            <w:tcW w:w="499" w:type="pct"/>
            <w:tcBorders>
              <w:top w:val="single" w:sz="8" w:space="0" w:color="000000"/>
              <w:left w:val="nil"/>
              <w:bottom w:val="single" w:sz="8" w:space="0" w:color="000000"/>
              <w:right w:val="single" w:sz="8" w:space="0" w:color="000000"/>
            </w:tcBorders>
            <w:shd w:val="clear" w:color="000000" w:fill="C5D9F1"/>
            <w:vAlign w:val="center"/>
            <w:hideMark/>
          </w:tcPr>
          <w:p w14:paraId="07E4C440" w14:textId="77777777" w:rsidR="00072FE5" w:rsidRPr="0090217D" w:rsidRDefault="00072FE5" w:rsidP="007267A6">
            <w:pPr>
              <w:jc w:val="center"/>
              <w:rPr>
                <w:rFonts w:ascii="Times New Roman" w:hAnsi="Times New Roman"/>
                <w:b/>
                <w:bCs/>
                <w:color w:val="000000"/>
                <w:sz w:val="20"/>
              </w:rPr>
            </w:pPr>
            <w:r w:rsidRPr="0090217D">
              <w:rPr>
                <w:rFonts w:ascii="Times New Roman" w:hAnsi="Times New Roman"/>
                <w:b/>
                <w:bCs/>
                <w:color w:val="000000"/>
                <w:sz w:val="20"/>
              </w:rPr>
              <w:t>Буџет 2025</w:t>
            </w:r>
          </w:p>
        </w:tc>
        <w:tc>
          <w:tcPr>
            <w:tcW w:w="499" w:type="pct"/>
            <w:tcBorders>
              <w:top w:val="single" w:sz="8" w:space="0" w:color="000000"/>
              <w:left w:val="nil"/>
              <w:bottom w:val="single" w:sz="8" w:space="0" w:color="000000"/>
              <w:right w:val="single" w:sz="8" w:space="0" w:color="000000"/>
            </w:tcBorders>
            <w:shd w:val="clear" w:color="000000" w:fill="C5D9F1"/>
            <w:vAlign w:val="center"/>
            <w:hideMark/>
          </w:tcPr>
          <w:p w14:paraId="6E497AD4" w14:textId="77777777" w:rsidR="00072FE5" w:rsidRPr="0090217D" w:rsidRDefault="00072FE5" w:rsidP="007267A6">
            <w:pPr>
              <w:jc w:val="center"/>
              <w:rPr>
                <w:rFonts w:ascii="Times New Roman" w:hAnsi="Times New Roman"/>
                <w:b/>
                <w:bCs/>
                <w:color w:val="000000"/>
                <w:sz w:val="20"/>
              </w:rPr>
            </w:pPr>
            <w:r w:rsidRPr="0090217D">
              <w:rPr>
                <w:rFonts w:ascii="Times New Roman" w:hAnsi="Times New Roman"/>
                <w:b/>
                <w:bCs/>
                <w:color w:val="000000"/>
                <w:sz w:val="20"/>
              </w:rPr>
              <w:t>Буџет 2026</w:t>
            </w:r>
          </w:p>
        </w:tc>
        <w:tc>
          <w:tcPr>
            <w:tcW w:w="459" w:type="pct"/>
            <w:tcBorders>
              <w:top w:val="single" w:sz="8" w:space="0" w:color="000000"/>
              <w:left w:val="nil"/>
              <w:bottom w:val="single" w:sz="8" w:space="0" w:color="000000"/>
              <w:right w:val="single" w:sz="8" w:space="0" w:color="000000"/>
            </w:tcBorders>
            <w:shd w:val="clear" w:color="000000" w:fill="C5D9F1"/>
            <w:vAlign w:val="center"/>
            <w:hideMark/>
          </w:tcPr>
          <w:p w14:paraId="13F9FDF8" w14:textId="77777777" w:rsidR="00072FE5" w:rsidRPr="0090217D" w:rsidRDefault="00072FE5" w:rsidP="007267A6">
            <w:pPr>
              <w:jc w:val="center"/>
              <w:rPr>
                <w:rFonts w:ascii="Times New Roman" w:hAnsi="Times New Roman"/>
                <w:b/>
                <w:bCs/>
                <w:color w:val="000000"/>
                <w:sz w:val="20"/>
              </w:rPr>
            </w:pPr>
            <w:r w:rsidRPr="0090217D">
              <w:rPr>
                <w:rFonts w:ascii="Times New Roman" w:hAnsi="Times New Roman"/>
                <w:b/>
                <w:bCs/>
                <w:color w:val="000000"/>
                <w:sz w:val="20"/>
              </w:rPr>
              <w:t>индекс</w:t>
            </w:r>
          </w:p>
        </w:tc>
        <w:tc>
          <w:tcPr>
            <w:tcW w:w="652" w:type="pct"/>
            <w:tcBorders>
              <w:top w:val="single" w:sz="8" w:space="0" w:color="000000"/>
              <w:left w:val="nil"/>
              <w:bottom w:val="single" w:sz="8" w:space="0" w:color="000000"/>
              <w:right w:val="single" w:sz="8" w:space="0" w:color="000000"/>
            </w:tcBorders>
            <w:shd w:val="clear" w:color="000000" w:fill="C5D9F1"/>
            <w:vAlign w:val="center"/>
            <w:hideMark/>
          </w:tcPr>
          <w:p w14:paraId="7890DCBF" w14:textId="77777777" w:rsidR="00072FE5" w:rsidRPr="0090217D" w:rsidRDefault="00072FE5" w:rsidP="007267A6">
            <w:pPr>
              <w:jc w:val="center"/>
              <w:rPr>
                <w:rFonts w:ascii="Times New Roman" w:hAnsi="Times New Roman"/>
                <w:b/>
                <w:bCs/>
                <w:color w:val="000000"/>
                <w:sz w:val="20"/>
              </w:rPr>
            </w:pPr>
            <w:r w:rsidRPr="0090217D">
              <w:rPr>
                <w:rFonts w:ascii="Times New Roman" w:hAnsi="Times New Roman"/>
                <w:b/>
                <w:bCs/>
                <w:color w:val="000000"/>
                <w:sz w:val="20"/>
              </w:rPr>
              <w:t>Структура расхода Буџет 2025, у %</w:t>
            </w:r>
          </w:p>
        </w:tc>
        <w:tc>
          <w:tcPr>
            <w:tcW w:w="489" w:type="pct"/>
            <w:tcBorders>
              <w:top w:val="single" w:sz="8" w:space="0" w:color="000000"/>
              <w:left w:val="nil"/>
              <w:bottom w:val="single" w:sz="8" w:space="0" w:color="000000"/>
              <w:right w:val="single" w:sz="8" w:space="0" w:color="000000"/>
            </w:tcBorders>
            <w:shd w:val="clear" w:color="000000" w:fill="C5D9F1"/>
            <w:vAlign w:val="center"/>
            <w:hideMark/>
          </w:tcPr>
          <w:p w14:paraId="68717A6E" w14:textId="77777777" w:rsidR="00072FE5" w:rsidRPr="0090217D" w:rsidRDefault="00072FE5" w:rsidP="007267A6">
            <w:pPr>
              <w:jc w:val="center"/>
              <w:rPr>
                <w:rFonts w:ascii="Times New Roman" w:hAnsi="Times New Roman"/>
                <w:b/>
                <w:bCs/>
                <w:color w:val="000000"/>
                <w:sz w:val="20"/>
              </w:rPr>
            </w:pPr>
            <w:r w:rsidRPr="0090217D">
              <w:rPr>
                <w:rFonts w:ascii="Times New Roman" w:hAnsi="Times New Roman"/>
                <w:b/>
                <w:bCs/>
                <w:color w:val="000000"/>
                <w:sz w:val="20"/>
              </w:rPr>
              <w:t>Структура расхода Буџет 2026, у %</w:t>
            </w:r>
          </w:p>
        </w:tc>
      </w:tr>
      <w:tr w:rsidR="00F41FBC" w:rsidRPr="0090217D" w14:paraId="06C5805A" w14:textId="77777777" w:rsidTr="00F41FBC">
        <w:trPr>
          <w:trHeight w:val="315"/>
        </w:trPr>
        <w:tc>
          <w:tcPr>
            <w:tcW w:w="2402" w:type="pct"/>
            <w:tcBorders>
              <w:top w:val="nil"/>
              <w:left w:val="single" w:sz="8" w:space="0" w:color="000000"/>
              <w:bottom w:val="single" w:sz="8" w:space="0" w:color="000000"/>
              <w:right w:val="single" w:sz="8" w:space="0" w:color="000000"/>
            </w:tcBorders>
            <w:shd w:val="clear" w:color="auto" w:fill="auto"/>
            <w:noWrap/>
            <w:vAlign w:val="center"/>
            <w:hideMark/>
          </w:tcPr>
          <w:p w14:paraId="1EBBA837" w14:textId="77777777" w:rsidR="00072FE5" w:rsidRPr="0090217D" w:rsidRDefault="00072FE5" w:rsidP="007267A6">
            <w:pPr>
              <w:rPr>
                <w:rFonts w:ascii="Times New Roman" w:hAnsi="Times New Roman"/>
                <w:b/>
                <w:bCs/>
                <w:color w:val="000000"/>
                <w:sz w:val="20"/>
              </w:rPr>
            </w:pPr>
            <w:r w:rsidRPr="0090217D">
              <w:rPr>
                <w:rFonts w:ascii="Times New Roman" w:hAnsi="Times New Roman"/>
                <w:b/>
                <w:bCs/>
                <w:color w:val="000000"/>
                <w:sz w:val="20"/>
              </w:rPr>
              <w:t>УКУПНИ РАСХОДИ И ИЗДАЦИ</w:t>
            </w:r>
          </w:p>
        </w:tc>
        <w:tc>
          <w:tcPr>
            <w:tcW w:w="499" w:type="pct"/>
            <w:tcBorders>
              <w:top w:val="nil"/>
              <w:left w:val="nil"/>
              <w:bottom w:val="single" w:sz="8" w:space="0" w:color="000000"/>
              <w:right w:val="single" w:sz="8" w:space="0" w:color="000000"/>
            </w:tcBorders>
            <w:shd w:val="clear" w:color="auto" w:fill="auto"/>
            <w:noWrap/>
            <w:vAlign w:val="center"/>
            <w:hideMark/>
          </w:tcPr>
          <w:p w14:paraId="203102E6" w14:textId="77777777" w:rsidR="00072FE5" w:rsidRPr="00F47672" w:rsidRDefault="00072FE5" w:rsidP="007267A6">
            <w:pPr>
              <w:jc w:val="right"/>
              <w:rPr>
                <w:rFonts w:ascii="Times New Roman" w:hAnsi="Times New Roman"/>
                <w:b/>
                <w:bCs/>
                <w:color w:val="000000"/>
                <w:sz w:val="20"/>
              </w:rPr>
            </w:pPr>
            <w:r w:rsidRPr="00F47672">
              <w:rPr>
                <w:rFonts w:ascii="Times New Roman" w:hAnsi="Times New Roman"/>
                <w:b/>
                <w:bCs/>
                <w:color w:val="000000"/>
                <w:sz w:val="20"/>
              </w:rPr>
              <w:t>2.660,20</w:t>
            </w:r>
          </w:p>
        </w:tc>
        <w:tc>
          <w:tcPr>
            <w:tcW w:w="499" w:type="pct"/>
            <w:tcBorders>
              <w:top w:val="nil"/>
              <w:left w:val="nil"/>
              <w:bottom w:val="single" w:sz="8" w:space="0" w:color="000000"/>
              <w:right w:val="single" w:sz="8" w:space="0" w:color="000000"/>
            </w:tcBorders>
            <w:shd w:val="clear" w:color="auto" w:fill="auto"/>
            <w:noWrap/>
            <w:vAlign w:val="center"/>
            <w:hideMark/>
          </w:tcPr>
          <w:p w14:paraId="1348FEE2" w14:textId="77777777" w:rsidR="00072FE5" w:rsidRPr="00F47672" w:rsidRDefault="00072FE5" w:rsidP="007267A6">
            <w:pPr>
              <w:jc w:val="right"/>
              <w:rPr>
                <w:rFonts w:ascii="Times New Roman" w:hAnsi="Times New Roman"/>
                <w:b/>
                <w:bCs/>
                <w:color w:val="000000"/>
                <w:sz w:val="20"/>
              </w:rPr>
            </w:pPr>
            <w:r w:rsidRPr="00F47672">
              <w:rPr>
                <w:rFonts w:ascii="Times New Roman" w:hAnsi="Times New Roman"/>
                <w:b/>
                <w:bCs/>
                <w:color w:val="000000"/>
                <w:sz w:val="20"/>
              </w:rPr>
              <w:t>2.751,70</w:t>
            </w:r>
          </w:p>
        </w:tc>
        <w:tc>
          <w:tcPr>
            <w:tcW w:w="459" w:type="pct"/>
            <w:tcBorders>
              <w:top w:val="nil"/>
              <w:left w:val="nil"/>
              <w:bottom w:val="single" w:sz="8" w:space="0" w:color="000000"/>
              <w:right w:val="single" w:sz="8" w:space="0" w:color="000000"/>
            </w:tcBorders>
            <w:shd w:val="clear" w:color="auto" w:fill="auto"/>
            <w:noWrap/>
            <w:vAlign w:val="center"/>
            <w:hideMark/>
          </w:tcPr>
          <w:p w14:paraId="7266E8F5" w14:textId="77777777" w:rsidR="00072FE5" w:rsidRPr="00F47672" w:rsidRDefault="00072FE5" w:rsidP="007267A6">
            <w:pPr>
              <w:jc w:val="right"/>
              <w:rPr>
                <w:rFonts w:ascii="Times New Roman" w:hAnsi="Times New Roman"/>
                <w:b/>
                <w:bCs/>
                <w:color w:val="000000"/>
                <w:sz w:val="20"/>
              </w:rPr>
            </w:pPr>
            <w:r w:rsidRPr="00F47672">
              <w:rPr>
                <w:rFonts w:ascii="Times New Roman" w:hAnsi="Times New Roman"/>
                <w:b/>
                <w:bCs/>
                <w:color w:val="000000"/>
                <w:sz w:val="20"/>
              </w:rPr>
              <w:t>103,44</w:t>
            </w:r>
          </w:p>
        </w:tc>
        <w:tc>
          <w:tcPr>
            <w:tcW w:w="652" w:type="pct"/>
            <w:tcBorders>
              <w:top w:val="nil"/>
              <w:left w:val="nil"/>
              <w:bottom w:val="single" w:sz="8" w:space="0" w:color="000000"/>
              <w:right w:val="single" w:sz="8" w:space="0" w:color="000000"/>
            </w:tcBorders>
            <w:shd w:val="clear" w:color="auto" w:fill="auto"/>
            <w:noWrap/>
            <w:vAlign w:val="center"/>
            <w:hideMark/>
          </w:tcPr>
          <w:p w14:paraId="7103FC6E" w14:textId="77777777" w:rsidR="00072FE5" w:rsidRPr="00F47672" w:rsidRDefault="00072FE5" w:rsidP="007267A6">
            <w:pPr>
              <w:jc w:val="right"/>
              <w:rPr>
                <w:rFonts w:ascii="Times New Roman" w:hAnsi="Times New Roman"/>
                <w:b/>
                <w:bCs/>
                <w:color w:val="000000"/>
                <w:sz w:val="20"/>
              </w:rPr>
            </w:pPr>
            <w:r w:rsidRPr="00F47672">
              <w:rPr>
                <w:rFonts w:ascii="Times New Roman" w:hAnsi="Times New Roman"/>
                <w:b/>
                <w:bCs/>
                <w:color w:val="000000"/>
                <w:sz w:val="20"/>
              </w:rPr>
              <w:t>100,00%</w:t>
            </w:r>
          </w:p>
        </w:tc>
        <w:tc>
          <w:tcPr>
            <w:tcW w:w="489" w:type="pct"/>
            <w:tcBorders>
              <w:top w:val="nil"/>
              <w:left w:val="nil"/>
              <w:bottom w:val="single" w:sz="8" w:space="0" w:color="000000"/>
              <w:right w:val="single" w:sz="8" w:space="0" w:color="000000"/>
            </w:tcBorders>
            <w:shd w:val="clear" w:color="auto" w:fill="auto"/>
            <w:noWrap/>
            <w:vAlign w:val="center"/>
            <w:hideMark/>
          </w:tcPr>
          <w:p w14:paraId="40F80ADC" w14:textId="77777777" w:rsidR="00072FE5" w:rsidRPr="00F47672" w:rsidRDefault="00072FE5" w:rsidP="007267A6">
            <w:pPr>
              <w:jc w:val="right"/>
              <w:rPr>
                <w:rFonts w:ascii="Times New Roman" w:hAnsi="Times New Roman"/>
                <w:b/>
                <w:bCs/>
                <w:color w:val="000000"/>
                <w:sz w:val="20"/>
              </w:rPr>
            </w:pPr>
            <w:r w:rsidRPr="00F47672">
              <w:rPr>
                <w:rFonts w:ascii="Times New Roman" w:hAnsi="Times New Roman"/>
                <w:b/>
                <w:bCs/>
                <w:color w:val="000000"/>
                <w:sz w:val="20"/>
              </w:rPr>
              <w:t>100,00%</w:t>
            </w:r>
          </w:p>
        </w:tc>
      </w:tr>
      <w:tr w:rsidR="00F41FBC" w:rsidRPr="0090217D" w14:paraId="23EBBE60" w14:textId="77777777" w:rsidTr="00F41FBC">
        <w:trPr>
          <w:trHeight w:val="315"/>
        </w:trPr>
        <w:tc>
          <w:tcPr>
            <w:tcW w:w="2402" w:type="pct"/>
            <w:tcBorders>
              <w:top w:val="nil"/>
              <w:left w:val="single" w:sz="8" w:space="0" w:color="000000"/>
              <w:bottom w:val="single" w:sz="8" w:space="0" w:color="000000"/>
              <w:right w:val="single" w:sz="8" w:space="0" w:color="000000"/>
            </w:tcBorders>
            <w:shd w:val="clear" w:color="auto" w:fill="auto"/>
            <w:noWrap/>
            <w:vAlign w:val="center"/>
            <w:hideMark/>
          </w:tcPr>
          <w:p w14:paraId="61D9BBC8" w14:textId="77777777" w:rsidR="00072FE5" w:rsidRPr="0090217D" w:rsidRDefault="00072FE5" w:rsidP="007267A6">
            <w:pPr>
              <w:rPr>
                <w:rFonts w:ascii="Times New Roman" w:hAnsi="Times New Roman"/>
                <w:b/>
                <w:bCs/>
                <w:color w:val="000000"/>
                <w:sz w:val="20"/>
              </w:rPr>
            </w:pPr>
            <w:r w:rsidRPr="0090217D">
              <w:rPr>
                <w:rFonts w:ascii="Times New Roman" w:hAnsi="Times New Roman"/>
                <w:b/>
                <w:bCs/>
                <w:color w:val="000000"/>
                <w:sz w:val="20"/>
              </w:rPr>
              <w:t>Текући расходи</w:t>
            </w:r>
          </w:p>
        </w:tc>
        <w:tc>
          <w:tcPr>
            <w:tcW w:w="499" w:type="pct"/>
            <w:tcBorders>
              <w:top w:val="nil"/>
              <w:left w:val="nil"/>
              <w:bottom w:val="single" w:sz="8" w:space="0" w:color="000000"/>
              <w:right w:val="single" w:sz="8" w:space="0" w:color="000000"/>
            </w:tcBorders>
            <w:shd w:val="clear" w:color="auto" w:fill="auto"/>
            <w:noWrap/>
            <w:vAlign w:val="center"/>
            <w:hideMark/>
          </w:tcPr>
          <w:p w14:paraId="7905E59C" w14:textId="77777777" w:rsidR="00072FE5" w:rsidRPr="00F47672" w:rsidRDefault="00072FE5" w:rsidP="007267A6">
            <w:pPr>
              <w:jc w:val="right"/>
              <w:rPr>
                <w:rFonts w:ascii="Times New Roman" w:hAnsi="Times New Roman"/>
                <w:b/>
                <w:bCs/>
                <w:color w:val="000000"/>
                <w:sz w:val="20"/>
              </w:rPr>
            </w:pPr>
            <w:r w:rsidRPr="00F47672">
              <w:rPr>
                <w:rFonts w:ascii="Times New Roman" w:hAnsi="Times New Roman"/>
                <w:b/>
                <w:bCs/>
                <w:color w:val="000000"/>
                <w:sz w:val="20"/>
              </w:rPr>
              <w:t>2.002,11</w:t>
            </w:r>
          </w:p>
        </w:tc>
        <w:tc>
          <w:tcPr>
            <w:tcW w:w="499" w:type="pct"/>
            <w:tcBorders>
              <w:top w:val="nil"/>
              <w:left w:val="nil"/>
              <w:bottom w:val="single" w:sz="8" w:space="0" w:color="000000"/>
              <w:right w:val="single" w:sz="8" w:space="0" w:color="000000"/>
            </w:tcBorders>
            <w:shd w:val="clear" w:color="auto" w:fill="auto"/>
            <w:noWrap/>
            <w:vAlign w:val="center"/>
            <w:hideMark/>
          </w:tcPr>
          <w:p w14:paraId="72467879" w14:textId="77777777" w:rsidR="00072FE5" w:rsidRPr="00F47672" w:rsidRDefault="00072FE5" w:rsidP="007267A6">
            <w:pPr>
              <w:jc w:val="right"/>
              <w:rPr>
                <w:rFonts w:ascii="Times New Roman" w:hAnsi="Times New Roman"/>
                <w:b/>
                <w:bCs/>
                <w:color w:val="000000"/>
                <w:sz w:val="20"/>
              </w:rPr>
            </w:pPr>
            <w:r w:rsidRPr="00F47672">
              <w:rPr>
                <w:rFonts w:ascii="Times New Roman" w:hAnsi="Times New Roman"/>
                <w:b/>
                <w:bCs/>
                <w:color w:val="000000"/>
                <w:sz w:val="20"/>
              </w:rPr>
              <w:t>2.111,24</w:t>
            </w:r>
          </w:p>
        </w:tc>
        <w:tc>
          <w:tcPr>
            <w:tcW w:w="459" w:type="pct"/>
            <w:tcBorders>
              <w:top w:val="nil"/>
              <w:left w:val="nil"/>
              <w:bottom w:val="single" w:sz="8" w:space="0" w:color="000000"/>
              <w:right w:val="single" w:sz="8" w:space="0" w:color="000000"/>
            </w:tcBorders>
            <w:shd w:val="clear" w:color="auto" w:fill="auto"/>
            <w:noWrap/>
            <w:vAlign w:val="center"/>
            <w:hideMark/>
          </w:tcPr>
          <w:p w14:paraId="14889BE4" w14:textId="77777777" w:rsidR="00072FE5" w:rsidRPr="00F47672" w:rsidRDefault="00072FE5" w:rsidP="007267A6">
            <w:pPr>
              <w:jc w:val="right"/>
              <w:rPr>
                <w:rFonts w:ascii="Times New Roman" w:hAnsi="Times New Roman"/>
                <w:b/>
                <w:bCs/>
                <w:color w:val="000000"/>
                <w:sz w:val="20"/>
              </w:rPr>
            </w:pPr>
            <w:r w:rsidRPr="00F47672">
              <w:rPr>
                <w:rFonts w:ascii="Times New Roman" w:hAnsi="Times New Roman"/>
                <w:b/>
                <w:bCs/>
                <w:color w:val="000000"/>
                <w:sz w:val="20"/>
              </w:rPr>
              <w:t>105,45</w:t>
            </w:r>
          </w:p>
        </w:tc>
        <w:tc>
          <w:tcPr>
            <w:tcW w:w="652" w:type="pct"/>
            <w:tcBorders>
              <w:top w:val="nil"/>
              <w:left w:val="nil"/>
              <w:bottom w:val="single" w:sz="8" w:space="0" w:color="000000"/>
              <w:right w:val="single" w:sz="8" w:space="0" w:color="000000"/>
            </w:tcBorders>
            <w:shd w:val="clear" w:color="auto" w:fill="auto"/>
            <w:noWrap/>
            <w:vAlign w:val="center"/>
            <w:hideMark/>
          </w:tcPr>
          <w:p w14:paraId="57D13CE3" w14:textId="77777777" w:rsidR="00072FE5" w:rsidRPr="00F47672" w:rsidRDefault="00072FE5" w:rsidP="007267A6">
            <w:pPr>
              <w:jc w:val="right"/>
              <w:rPr>
                <w:rFonts w:ascii="Times New Roman" w:hAnsi="Times New Roman"/>
                <w:b/>
                <w:bCs/>
                <w:color w:val="000000"/>
                <w:sz w:val="20"/>
              </w:rPr>
            </w:pPr>
            <w:r w:rsidRPr="00F47672">
              <w:rPr>
                <w:rFonts w:ascii="Times New Roman" w:hAnsi="Times New Roman"/>
                <w:b/>
                <w:bCs/>
                <w:color w:val="000000"/>
                <w:sz w:val="20"/>
              </w:rPr>
              <w:t>75,26%</w:t>
            </w:r>
          </w:p>
        </w:tc>
        <w:tc>
          <w:tcPr>
            <w:tcW w:w="489" w:type="pct"/>
            <w:tcBorders>
              <w:top w:val="nil"/>
              <w:left w:val="nil"/>
              <w:bottom w:val="single" w:sz="8" w:space="0" w:color="000000"/>
              <w:right w:val="single" w:sz="8" w:space="0" w:color="000000"/>
            </w:tcBorders>
            <w:shd w:val="clear" w:color="auto" w:fill="auto"/>
            <w:noWrap/>
            <w:vAlign w:val="center"/>
            <w:hideMark/>
          </w:tcPr>
          <w:p w14:paraId="1119C01C" w14:textId="77777777" w:rsidR="00072FE5" w:rsidRPr="00F47672" w:rsidRDefault="00072FE5" w:rsidP="007267A6">
            <w:pPr>
              <w:jc w:val="right"/>
              <w:rPr>
                <w:rFonts w:ascii="Times New Roman" w:hAnsi="Times New Roman"/>
                <w:b/>
                <w:bCs/>
                <w:color w:val="000000"/>
                <w:sz w:val="20"/>
              </w:rPr>
            </w:pPr>
            <w:r w:rsidRPr="00F47672">
              <w:rPr>
                <w:rFonts w:ascii="Times New Roman" w:hAnsi="Times New Roman"/>
                <w:b/>
                <w:bCs/>
                <w:color w:val="000000"/>
                <w:sz w:val="20"/>
              </w:rPr>
              <w:t>76,72%</w:t>
            </w:r>
          </w:p>
        </w:tc>
      </w:tr>
      <w:tr w:rsidR="00F41FBC" w:rsidRPr="0090217D" w14:paraId="3630870E" w14:textId="77777777" w:rsidTr="00F41FBC">
        <w:trPr>
          <w:trHeight w:val="315"/>
        </w:trPr>
        <w:tc>
          <w:tcPr>
            <w:tcW w:w="2402" w:type="pct"/>
            <w:tcBorders>
              <w:top w:val="nil"/>
              <w:left w:val="single" w:sz="8" w:space="0" w:color="000000"/>
              <w:bottom w:val="single" w:sz="8" w:space="0" w:color="000000"/>
              <w:right w:val="single" w:sz="8" w:space="0" w:color="000000"/>
            </w:tcBorders>
            <w:shd w:val="clear" w:color="auto" w:fill="auto"/>
            <w:noWrap/>
            <w:vAlign w:val="center"/>
            <w:hideMark/>
          </w:tcPr>
          <w:p w14:paraId="25F3384D" w14:textId="77777777" w:rsidR="00072FE5" w:rsidRPr="0090217D" w:rsidRDefault="00072FE5" w:rsidP="007267A6">
            <w:pPr>
              <w:rPr>
                <w:rFonts w:ascii="Times New Roman" w:hAnsi="Times New Roman"/>
                <w:color w:val="000000"/>
                <w:sz w:val="20"/>
              </w:rPr>
            </w:pPr>
            <w:r w:rsidRPr="0090217D">
              <w:rPr>
                <w:rFonts w:ascii="Times New Roman" w:hAnsi="Times New Roman"/>
                <w:color w:val="000000"/>
                <w:sz w:val="20"/>
              </w:rPr>
              <w:t xml:space="preserve">Расходи за запослене </w:t>
            </w:r>
          </w:p>
        </w:tc>
        <w:tc>
          <w:tcPr>
            <w:tcW w:w="499" w:type="pct"/>
            <w:tcBorders>
              <w:top w:val="nil"/>
              <w:left w:val="nil"/>
              <w:bottom w:val="single" w:sz="8" w:space="0" w:color="000000"/>
              <w:right w:val="single" w:sz="8" w:space="0" w:color="000000"/>
            </w:tcBorders>
            <w:shd w:val="clear" w:color="auto" w:fill="auto"/>
            <w:noWrap/>
            <w:vAlign w:val="center"/>
            <w:hideMark/>
          </w:tcPr>
          <w:p w14:paraId="7EC3AA20" w14:textId="77777777" w:rsidR="00072FE5" w:rsidRPr="00F47672" w:rsidRDefault="00072FE5" w:rsidP="007267A6">
            <w:pPr>
              <w:jc w:val="right"/>
              <w:rPr>
                <w:rFonts w:ascii="Times New Roman" w:hAnsi="Times New Roman"/>
                <w:color w:val="000000"/>
                <w:sz w:val="20"/>
              </w:rPr>
            </w:pPr>
            <w:r w:rsidRPr="00F47672">
              <w:rPr>
                <w:rFonts w:ascii="Times New Roman" w:hAnsi="Times New Roman"/>
                <w:color w:val="000000"/>
                <w:sz w:val="20"/>
              </w:rPr>
              <w:t>588,26</w:t>
            </w:r>
          </w:p>
        </w:tc>
        <w:tc>
          <w:tcPr>
            <w:tcW w:w="499" w:type="pct"/>
            <w:tcBorders>
              <w:top w:val="nil"/>
              <w:left w:val="nil"/>
              <w:bottom w:val="single" w:sz="8" w:space="0" w:color="000000"/>
              <w:right w:val="single" w:sz="8" w:space="0" w:color="000000"/>
            </w:tcBorders>
            <w:shd w:val="clear" w:color="auto" w:fill="auto"/>
            <w:noWrap/>
            <w:vAlign w:val="center"/>
            <w:hideMark/>
          </w:tcPr>
          <w:p w14:paraId="33628AC2" w14:textId="77777777" w:rsidR="00072FE5" w:rsidRPr="00F47672" w:rsidRDefault="00072FE5" w:rsidP="007267A6">
            <w:pPr>
              <w:jc w:val="right"/>
              <w:rPr>
                <w:rFonts w:ascii="Times New Roman" w:hAnsi="Times New Roman"/>
                <w:color w:val="000000"/>
                <w:sz w:val="20"/>
              </w:rPr>
            </w:pPr>
            <w:r w:rsidRPr="00F47672">
              <w:rPr>
                <w:rFonts w:ascii="Times New Roman" w:hAnsi="Times New Roman"/>
                <w:color w:val="000000"/>
                <w:sz w:val="20"/>
              </w:rPr>
              <w:t>656,15</w:t>
            </w:r>
          </w:p>
        </w:tc>
        <w:tc>
          <w:tcPr>
            <w:tcW w:w="459" w:type="pct"/>
            <w:tcBorders>
              <w:top w:val="nil"/>
              <w:left w:val="nil"/>
              <w:bottom w:val="single" w:sz="8" w:space="0" w:color="000000"/>
              <w:right w:val="single" w:sz="8" w:space="0" w:color="000000"/>
            </w:tcBorders>
            <w:shd w:val="clear" w:color="auto" w:fill="auto"/>
            <w:noWrap/>
            <w:vAlign w:val="center"/>
            <w:hideMark/>
          </w:tcPr>
          <w:p w14:paraId="6671F523" w14:textId="77777777" w:rsidR="00072FE5" w:rsidRPr="00F47672" w:rsidRDefault="00072FE5" w:rsidP="007267A6">
            <w:pPr>
              <w:jc w:val="right"/>
              <w:rPr>
                <w:rFonts w:ascii="Times New Roman" w:hAnsi="Times New Roman"/>
                <w:color w:val="000000"/>
                <w:sz w:val="20"/>
              </w:rPr>
            </w:pPr>
            <w:r w:rsidRPr="00F47672">
              <w:rPr>
                <w:rFonts w:ascii="Times New Roman" w:hAnsi="Times New Roman"/>
                <w:color w:val="000000"/>
                <w:sz w:val="20"/>
              </w:rPr>
              <w:t>111,54</w:t>
            </w:r>
          </w:p>
        </w:tc>
        <w:tc>
          <w:tcPr>
            <w:tcW w:w="652" w:type="pct"/>
            <w:tcBorders>
              <w:top w:val="nil"/>
              <w:left w:val="nil"/>
              <w:bottom w:val="single" w:sz="8" w:space="0" w:color="000000"/>
              <w:right w:val="single" w:sz="8" w:space="0" w:color="000000"/>
            </w:tcBorders>
            <w:shd w:val="clear" w:color="auto" w:fill="auto"/>
            <w:noWrap/>
            <w:vAlign w:val="center"/>
            <w:hideMark/>
          </w:tcPr>
          <w:p w14:paraId="3CD6368D" w14:textId="77777777" w:rsidR="00072FE5" w:rsidRPr="00F47672" w:rsidRDefault="00072FE5" w:rsidP="007267A6">
            <w:pPr>
              <w:jc w:val="right"/>
              <w:rPr>
                <w:rFonts w:ascii="Times New Roman" w:hAnsi="Times New Roman"/>
                <w:color w:val="000000"/>
                <w:sz w:val="20"/>
              </w:rPr>
            </w:pPr>
            <w:r w:rsidRPr="00F47672">
              <w:rPr>
                <w:rFonts w:ascii="Times New Roman" w:hAnsi="Times New Roman"/>
                <w:color w:val="000000"/>
                <w:sz w:val="20"/>
              </w:rPr>
              <w:t>22,11%</w:t>
            </w:r>
          </w:p>
        </w:tc>
        <w:tc>
          <w:tcPr>
            <w:tcW w:w="489" w:type="pct"/>
            <w:tcBorders>
              <w:top w:val="nil"/>
              <w:left w:val="nil"/>
              <w:bottom w:val="single" w:sz="8" w:space="0" w:color="000000"/>
              <w:right w:val="single" w:sz="8" w:space="0" w:color="000000"/>
            </w:tcBorders>
            <w:shd w:val="clear" w:color="auto" w:fill="auto"/>
            <w:noWrap/>
            <w:vAlign w:val="center"/>
            <w:hideMark/>
          </w:tcPr>
          <w:p w14:paraId="00F79C36" w14:textId="77777777" w:rsidR="00072FE5" w:rsidRPr="00F47672" w:rsidRDefault="00072FE5" w:rsidP="007267A6">
            <w:pPr>
              <w:jc w:val="right"/>
              <w:rPr>
                <w:rFonts w:ascii="Times New Roman" w:hAnsi="Times New Roman"/>
                <w:color w:val="000000"/>
                <w:sz w:val="20"/>
              </w:rPr>
            </w:pPr>
            <w:r w:rsidRPr="00F47672">
              <w:rPr>
                <w:rFonts w:ascii="Times New Roman" w:hAnsi="Times New Roman"/>
                <w:color w:val="000000"/>
                <w:sz w:val="20"/>
              </w:rPr>
              <w:t>23,85%</w:t>
            </w:r>
          </w:p>
        </w:tc>
      </w:tr>
      <w:tr w:rsidR="00F41FBC" w:rsidRPr="0090217D" w14:paraId="6476EEEB" w14:textId="77777777" w:rsidTr="00F41FBC">
        <w:trPr>
          <w:trHeight w:val="315"/>
        </w:trPr>
        <w:tc>
          <w:tcPr>
            <w:tcW w:w="2402" w:type="pct"/>
            <w:tcBorders>
              <w:top w:val="nil"/>
              <w:left w:val="single" w:sz="8" w:space="0" w:color="000000"/>
              <w:bottom w:val="single" w:sz="8" w:space="0" w:color="000000"/>
              <w:right w:val="single" w:sz="8" w:space="0" w:color="000000"/>
            </w:tcBorders>
            <w:shd w:val="clear" w:color="auto" w:fill="auto"/>
            <w:noWrap/>
            <w:vAlign w:val="center"/>
            <w:hideMark/>
          </w:tcPr>
          <w:p w14:paraId="7EB9E9D8" w14:textId="77777777" w:rsidR="00072FE5" w:rsidRPr="0090217D" w:rsidRDefault="00072FE5" w:rsidP="007267A6">
            <w:pPr>
              <w:rPr>
                <w:rFonts w:ascii="Times New Roman" w:hAnsi="Times New Roman"/>
                <w:color w:val="000000"/>
                <w:sz w:val="20"/>
              </w:rPr>
            </w:pPr>
            <w:r w:rsidRPr="0090217D">
              <w:rPr>
                <w:rFonts w:ascii="Times New Roman" w:hAnsi="Times New Roman"/>
                <w:color w:val="000000"/>
                <w:sz w:val="20"/>
              </w:rPr>
              <w:t xml:space="preserve">Расходи за коришћење услуга и роба </w:t>
            </w:r>
          </w:p>
        </w:tc>
        <w:tc>
          <w:tcPr>
            <w:tcW w:w="499" w:type="pct"/>
            <w:tcBorders>
              <w:top w:val="nil"/>
              <w:left w:val="nil"/>
              <w:bottom w:val="single" w:sz="8" w:space="0" w:color="000000"/>
              <w:right w:val="single" w:sz="8" w:space="0" w:color="000000"/>
            </w:tcBorders>
            <w:shd w:val="clear" w:color="auto" w:fill="auto"/>
            <w:noWrap/>
            <w:vAlign w:val="center"/>
            <w:hideMark/>
          </w:tcPr>
          <w:p w14:paraId="3D4CECE5" w14:textId="77777777" w:rsidR="00072FE5" w:rsidRPr="00F47672" w:rsidRDefault="00072FE5" w:rsidP="007267A6">
            <w:pPr>
              <w:jc w:val="right"/>
              <w:rPr>
                <w:rFonts w:ascii="Times New Roman" w:hAnsi="Times New Roman"/>
                <w:color w:val="000000"/>
                <w:sz w:val="20"/>
              </w:rPr>
            </w:pPr>
            <w:r w:rsidRPr="00F47672">
              <w:rPr>
                <w:rFonts w:ascii="Times New Roman" w:hAnsi="Times New Roman"/>
                <w:color w:val="000000"/>
                <w:sz w:val="20"/>
              </w:rPr>
              <w:t>268,03</w:t>
            </w:r>
          </w:p>
        </w:tc>
        <w:tc>
          <w:tcPr>
            <w:tcW w:w="499" w:type="pct"/>
            <w:tcBorders>
              <w:top w:val="nil"/>
              <w:left w:val="nil"/>
              <w:bottom w:val="single" w:sz="8" w:space="0" w:color="000000"/>
              <w:right w:val="single" w:sz="8" w:space="0" w:color="000000"/>
            </w:tcBorders>
            <w:shd w:val="clear" w:color="auto" w:fill="auto"/>
            <w:noWrap/>
            <w:vAlign w:val="center"/>
            <w:hideMark/>
          </w:tcPr>
          <w:p w14:paraId="4B28D68C" w14:textId="77777777" w:rsidR="00072FE5" w:rsidRPr="00F47672" w:rsidRDefault="00072FE5" w:rsidP="007267A6">
            <w:pPr>
              <w:jc w:val="right"/>
              <w:rPr>
                <w:rFonts w:ascii="Times New Roman" w:hAnsi="Times New Roman"/>
                <w:color w:val="000000"/>
                <w:sz w:val="20"/>
              </w:rPr>
            </w:pPr>
            <w:r w:rsidRPr="00F47672">
              <w:rPr>
                <w:rFonts w:ascii="Times New Roman" w:hAnsi="Times New Roman"/>
                <w:color w:val="000000"/>
                <w:sz w:val="20"/>
              </w:rPr>
              <w:t>271,54</w:t>
            </w:r>
          </w:p>
        </w:tc>
        <w:tc>
          <w:tcPr>
            <w:tcW w:w="459" w:type="pct"/>
            <w:tcBorders>
              <w:top w:val="nil"/>
              <w:left w:val="nil"/>
              <w:bottom w:val="single" w:sz="8" w:space="0" w:color="000000"/>
              <w:right w:val="single" w:sz="8" w:space="0" w:color="000000"/>
            </w:tcBorders>
            <w:shd w:val="clear" w:color="auto" w:fill="auto"/>
            <w:noWrap/>
            <w:vAlign w:val="center"/>
            <w:hideMark/>
          </w:tcPr>
          <w:p w14:paraId="78BB8C07" w14:textId="77777777" w:rsidR="00072FE5" w:rsidRPr="00F47672" w:rsidRDefault="00072FE5" w:rsidP="007267A6">
            <w:pPr>
              <w:jc w:val="right"/>
              <w:rPr>
                <w:rFonts w:ascii="Times New Roman" w:hAnsi="Times New Roman"/>
                <w:color w:val="000000"/>
                <w:sz w:val="20"/>
              </w:rPr>
            </w:pPr>
            <w:r w:rsidRPr="00F47672">
              <w:rPr>
                <w:rFonts w:ascii="Times New Roman" w:hAnsi="Times New Roman"/>
                <w:color w:val="000000"/>
                <w:sz w:val="20"/>
              </w:rPr>
              <w:t>101,31</w:t>
            </w:r>
          </w:p>
        </w:tc>
        <w:tc>
          <w:tcPr>
            <w:tcW w:w="652" w:type="pct"/>
            <w:tcBorders>
              <w:top w:val="nil"/>
              <w:left w:val="nil"/>
              <w:bottom w:val="single" w:sz="8" w:space="0" w:color="000000"/>
              <w:right w:val="single" w:sz="8" w:space="0" w:color="000000"/>
            </w:tcBorders>
            <w:shd w:val="clear" w:color="auto" w:fill="auto"/>
            <w:noWrap/>
            <w:vAlign w:val="center"/>
            <w:hideMark/>
          </w:tcPr>
          <w:p w14:paraId="4DF7DA35" w14:textId="77777777" w:rsidR="00072FE5" w:rsidRPr="00F47672" w:rsidRDefault="00072FE5" w:rsidP="007267A6">
            <w:pPr>
              <w:jc w:val="right"/>
              <w:rPr>
                <w:rFonts w:ascii="Times New Roman" w:hAnsi="Times New Roman"/>
                <w:color w:val="000000"/>
                <w:sz w:val="20"/>
              </w:rPr>
            </w:pPr>
            <w:r w:rsidRPr="00F47672">
              <w:rPr>
                <w:rFonts w:ascii="Times New Roman" w:hAnsi="Times New Roman"/>
                <w:color w:val="000000"/>
                <w:sz w:val="20"/>
              </w:rPr>
              <w:t>10,08%</w:t>
            </w:r>
          </w:p>
        </w:tc>
        <w:tc>
          <w:tcPr>
            <w:tcW w:w="489" w:type="pct"/>
            <w:tcBorders>
              <w:top w:val="nil"/>
              <w:left w:val="nil"/>
              <w:bottom w:val="single" w:sz="8" w:space="0" w:color="000000"/>
              <w:right w:val="single" w:sz="8" w:space="0" w:color="000000"/>
            </w:tcBorders>
            <w:shd w:val="clear" w:color="auto" w:fill="auto"/>
            <w:noWrap/>
            <w:vAlign w:val="center"/>
            <w:hideMark/>
          </w:tcPr>
          <w:p w14:paraId="387B1239" w14:textId="77777777" w:rsidR="00072FE5" w:rsidRPr="00F47672" w:rsidRDefault="00072FE5" w:rsidP="007267A6">
            <w:pPr>
              <w:jc w:val="right"/>
              <w:rPr>
                <w:rFonts w:ascii="Times New Roman" w:hAnsi="Times New Roman"/>
                <w:color w:val="000000"/>
                <w:sz w:val="20"/>
              </w:rPr>
            </w:pPr>
            <w:r w:rsidRPr="00F47672">
              <w:rPr>
                <w:rFonts w:ascii="Times New Roman" w:hAnsi="Times New Roman"/>
                <w:color w:val="000000"/>
                <w:sz w:val="20"/>
              </w:rPr>
              <w:t>9,87%</w:t>
            </w:r>
          </w:p>
        </w:tc>
      </w:tr>
      <w:tr w:rsidR="00F41FBC" w:rsidRPr="0090217D" w14:paraId="749D5381" w14:textId="77777777" w:rsidTr="00F41FBC">
        <w:trPr>
          <w:trHeight w:val="315"/>
        </w:trPr>
        <w:tc>
          <w:tcPr>
            <w:tcW w:w="2402" w:type="pct"/>
            <w:tcBorders>
              <w:top w:val="nil"/>
              <w:left w:val="single" w:sz="8" w:space="0" w:color="000000"/>
              <w:bottom w:val="single" w:sz="8" w:space="0" w:color="000000"/>
              <w:right w:val="single" w:sz="8" w:space="0" w:color="000000"/>
            </w:tcBorders>
            <w:shd w:val="clear" w:color="auto" w:fill="auto"/>
            <w:noWrap/>
            <w:vAlign w:val="center"/>
            <w:hideMark/>
          </w:tcPr>
          <w:p w14:paraId="41B8A1E3" w14:textId="77777777" w:rsidR="00072FE5" w:rsidRPr="0090217D" w:rsidRDefault="00072FE5" w:rsidP="007267A6">
            <w:pPr>
              <w:rPr>
                <w:rFonts w:ascii="Times New Roman" w:hAnsi="Times New Roman"/>
                <w:color w:val="000000"/>
                <w:sz w:val="20"/>
              </w:rPr>
            </w:pPr>
            <w:r w:rsidRPr="0090217D">
              <w:rPr>
                <w:rFonts w:ascii="Times New Roman" w:hAnsi="Times New Roman"/>
                <w:color w:val="000000"/>
                <w:sz w:val="20"/>
              </w:rPr>
              <w:t>Отплата камата и пратећи трошкови задуживања</w:t>
            </w:r>
          </w:p>
        </w:tc>
        <w:tc>
          <w:tcPr>
            <w:tcW w:w="499" w:type="pct"/>
            <w:tcBorders>
              <w:top w:val="nil"/>
              <w:left w:val="nil"/>
              <w:bottom w:val="single" w:sz="8" w:space="0" w:color="000000"/>
              <w:right w:val="single" w:sz="8" w:space="0" w:color="000000"/>
            </w:tcBorders>
            <w:shd w:val="clear" w:color="auto" w:fill="auto"/>
            <w:noWrap/>
            <w:vAlign w:val="center"/>
            <w:hideMark/>
          </w:tcPr>
          <w:p w14:paraId="6327463F" w14:textId="77777777" w:rsidR="00072FE5" w:rsidRPr="00F47672" w:rsidRDefault="00072FE5" w:rsidP="007267A6">
            <w:pPr>
              <w:jc w:val="right"/>
              <w:rPr>
                <w:rFonts w:ascii="Times New Roman" w:hAnsi="Times New Roman"/>
                <w:color w:val="000000"/>
                <w:sz w:val="20"/>
              </w:rPr>
            </w:pPr>
            <w:r w:rsidRPr="00F47672">
              <w:rPr>
                <w:rFonts w:ascii="Times New Roman" w:hAnsi="Times New Roman"/>
                <w:color w:val="000000"/>
                <w:sz w:val="20"/>
              </w:rPr>
              <w:t>220,25</w:t>
            </w:r>
          </w:p>
        </w:tc>
        <w:tc>
          <w:tcPr>
            <w:tcW w:w="499" w:type="pct"/>
            <w:tcBorders>
              <w:top w:val="nil"/>
              <w:left w:val="nil"/>
              <w:bottom w:val="single" w:sz="8" w:space="0" w:color="000000"/>
              <w:right w:val="single" w:sz="8" w:space="0" w:color="000000"/>
            </w:tcBorders>
            <w:shd w:val="clear" w:color="auto" w:fill="auto"/>
            <w:noWrap/>
            <w:vAlign w:val="center"/>
            <w:hideMark/>
          </w:tcPr>
          <w:p w14:paraId="74BED558" w14:textId="77777777" w:rsidR="00072FE5" w:rsidRPr="00F47672" w:rsidRDefault="00072FE5" w:rsidP="007267A6">
            <w:pPr>
              <w:jc w:val="right"/>
              <w:rPr>
                <w:rFonts w:ascii="Times New Roman" w:hAnsi="Times New Roman"/>
                <w:color w:val="000000"/>
                <w:sz w:val="20"/>
              </w:rPr>
            </w:pPr>
            <w:r w:rsidRPr="00F47672">
              <w:rPr>
                <w:rFonts w:ascii="Times New Roman" w:hAnsi="Times New Roman"/>
                <w:color w:val="000000"/>
                <w:sz w:val="20"/>
              </w:rPr>
              <w:t>212,19</w:t>
            </w:r>
          </w:p>
        </w:tc>
        <w:tc>
          <w:tcPr>
            <w:tcW w:w="459" w:type="pct"/>
            <w:tcBorders>
              <w:top w:val="nil"/>
              <w:left w:val="nil"/>
              <w:bottom w:val="single" w:sz="8" w:space="0" w:color="000000"/>
              <w:right w:val="single" w:sz="8" w:space="0" w:color="000000"/>
            </w:tcBorders>
            <w:shd w:val="clear" w:color="auto" w:fill="auto"/>
            <w:noWrap/>
            <w:vAlign w:val="center"/>
            <w:hideMark/>
          </w:tcPr>
          <w:p w14:paraId="580B97D7" w14:textId="77777777" w:rsidR="00072FE5" w:rsidRPr="00F47672" w:rsidRDefault="00072FE5" w:rsidP="007267A6">
            <w:pPr>
              <w:jc w:val="right"/>
              <w:rPr>
                <w:rFonts w:ascii="Times New Roman" w:hAnsi="Times New Roman"/>
                <w:color w:val="000000"/>
                <w:sz w:val="20"/>
              </w:rPr>
            </w:pPr>
            <w:r w:rsidRPr="00F47672">
              <w:rPr>
                <w:rFonts w:ascii="Times New Roman" w:hAnsi="Times New Roman"/>
                <w:color w:val="000000"/>
                <w:sz w:val="20"/>
              </w:rPr>
              <w:t>96,34</w:t>
            </w:r>
          </w:p>
        </w:tc>
        <w:tc>
          <w:tcPr>
            <w:tcW w:w="652" w:type="pct"/>
            <w:tcBorders>
              <w:top w:val="nil"/>
              <w:left w:val="nil"/>
              <w:bottom w:val="single" w:sz="8" w:space="0" w:color="000000"/>
              <w:right w:val="single" w:sz="8" w:space="0" w:color="000000"/>
            </w:tcBorders>
            <w:shd w:val="clear" w:color="auto" w:fill="auto"/>
            <w:noWrap/>
            <w:vAlign w:val="center"/>
            <w:hideMark/>
          </w:tcPr>
          <w:p w14:paraId="4FCCEB25" w14:textId="77777777" w:rsidR="00072FE5" w:rsidRPr="00F47672" w:rsidRDefault="00072FE5" w:rsidP="007267A6">
            <w:pPr>
              <w:jc w:val="right"/>
              <w:rPr>
                <w:rFonts w:ascii="Times New Roman" w:hAnsi="Times New Roman"/>
                <w:color w:val="000000"/>
                <w:sz w:val="20"/>
              </w:rPr>
            </w:pPr>
            <w:r w:rsidRPr="00F47672">
              <w:rPr>
                <w:rFonts w:ascii="Times New Roman" w:hAnsi="Times New Roman"/>
                <w:color w:val="000000"/>
                <w:sz w:val="20"/>
              </w:rPr>
              <w:t>8,28%</w:t>
            </w:r>
          </w:p>
        </w:tc>
        <w:tc>
          <w:tcPr>
            <w:tcW w:w="489" w:type="pct"/>
            <w:tcBorders>
              <w:top w:val="nil"/>
              <w:left w:val="nil"/>
              <w:bottom w:val="single" w:sz="8" w:space="0" w:color="000000"/>
              <w:right w:val="single" w:sz="8" w:space="0" w:color="000000"/>
            </w:tcBorders>
            <w:shd w:val="clear" w:color="auto" w:fill="auto"/>
            <w:noWrap/>
            <w:vAlign w:val="center"/>
            <w:hideMark/>
          </w:tcPr>
          <w:p w14:paraId="0365D4B2" w14:textId="77777777" w:rsidR="00072FE5" w:rsidRPr="00F47672" w:rsidRDefault="00072FE5" w:rsidP="007267A6">
            <w:pPr>
              <w:jc w:val="right"/>
              <w:rPr>
                <w:rFonts w:ascii="Times New Roman" w:hAnsi="Times New Roman"/>
                <w:color w:val="000000"/>
                <w:sz w:val="20"/>
              </w:rPr>
            </w:pPr>
            <w:r w:rsidRPr="00F47672">
              <w:rPr>
                <w:rFonts w:ascii="Times New Roman" w:hAnsi="Times New Roman"/>
                <w:color w:val="000000"/>
                <w:sz w:val="20"/>
              </w:rPr>
              <w:t>7,71%</w:t>
            </w:r>
          </w:p>
        </w:tc>
      </w:tr>
      <w:tr w:rsidR="00F41FBC" w:rsidRPr="0090217D" w14:paraId="296EF553" w14:textId="77777777" w:rsidTr="00F41FBC">
        <w:trPr>
          <w:trHeight w:val="315"/>
        </w:trPr>
        <w:tc>
          <w:tcPr>
            <w:tcW w:w="2402" w:type="pct"/>
            <w:tcBorders>
              <w:top w:val="nil"/>
              <w:left w:val="single" w:sz="8" w:space="0" w:color="000000"/>
              <w:bottom w:val="single" w:sz="8" w:space="0" w:color="000000"/>
              <w:right w:val="single" w:sz="8" w:space="0" w:color="000000"/>
            </w:tcBorders>
            <w:shd w:val="clear" w:color="auto" w:fill="auto"/>
            <w:noWrap/>
            <w:vAlign w:val="center"/>
            <w:hideMark/>
          </w:tcPr>
          <w:p w14:paraId="52996776" w14:textId="77777777" w:rsidR="00072FE5" w:rsidRPr="0090217D" w:rsidRDefault="00072FE5" w:rsidP="007267A6">
            <w:pPr>
              <w:rPr>
                <w:rFonts w:ascii="Times New Roman" w:hAnsi="Times New Roman"/>
                <w:color w:val="000000"/>
                <w:sz w:val="20"/>
              </w:rPr>
            </w:pPr>
            <w:r w:rsidRPr="0090217D">
              <w:rPr>
                <w:rFonts w:ascii="Times New Roman" w:hAnsi="Times New Roman"/>
                <w:color w:val="000000"/>
                <w:sz w:val="20"/>
              </w:rPr>
              <w:t>Субвенције</w:t>
            </w:r>
          </w:p>
        </w:tc>
        <w:tc>
          <w:tcPr>
            <w:tcW w:w="499" w:type="pct"/>
            <w:tcBorders>
              <w:top w:val="nil"/>
              <w:left w:val="nil"/>
              <w:bottom w:val="single" w:sz="8" w:space="0" w:color="000000"/>
              <w:right w:val="single" w:sz="8" w:space="0" w:color="000000"/>
            </w:tcBorders>
            <w:shd w:val="clear" w:color="auto" w:fill="auto"/>
            <w:noWrap/>
            <w:vAlign w:val="center"/>
            <w:hideMark/>
          </w:tcPr>
          <w:p w14:paraId="6222ED69" w14:textId="77777777" w:rsidR="00072FE5" w:rsidRPr="00F47672" w:rsidRDefault="00072FE5" w:rsidP="007267A6">
            <w:pPr>
              <w:jc w:val="right"/>
              <w:rPr>
                <w:rFonts w:ascii="Times New Roman" w:hAnsi="Times New Roman"/>
                <w:color w:val="000000"/>
                <w:sz w:val="20"/>
              </w:rPr>
            </w:pPr>
            <w:r w:rsidRPr="00F47672">
              <w:rPr>
                <w:rFonts w:ascii="Times New Roman" w:hAnsi="Times New Roman"/>
                <w:color w:val="000000"/>
                <w:sz w:val="20"/>
              </w:rPr>
              <w:t>224,04</w:t>
            </w:r>
          </w:p>
        </w:tc>
        <w:tc>
          <w:tcPr>
            <w:tcW w:w="499" w:type="pct"/>
            <w:tcBorders>
              <w:top w:val="nil"/>
              <w:left w:val="nil"/>
              <w:bottom w:val="single" w:sz="8" w:space="0" w:color="000000"/>
              <w:right w:val="single" w:sz="8" w:space="0" w:color="000000"/>
            </w:tcBorders>
            <w:shd w:val="clear" w:color="auto" w:fill="auto"/>
            <w:noWrap/>
            <w:vAlign w:val="center"/>
            <w:hideMark/>
          </w:tcPr>
          <w:p w14:paraId="70FAC349" w14:textId="77777777" w:rsidR="00072FE5" w:rsidRPr="00F47672" w:rsidRDefault="00072FE5" w:rsidP="007267A6">
            <w:pPr>
              <w:jc w:val="right"/>
              <w:rPr>
                <w:rFonts w:ascii="Times New Roman" w:hAnsi="Times New Roman"/>
                <w:color w:val="000000"/>
                <w:sz w:val="20"/>
              </w:rPr>
            </w:pPr>
            <w:r w:rsidRPr="00F47672">
              <w:rPr>
                <w:rFonts w:ascii="Times New Roman" w:hAnsi="Times New Roman"/>
                <w:color w:val="000000"/>
                <w:sz w:val="20"/>
              </w:rPr>
              <w:t>214,46</w:t>
            </w:r>
          </w:p>
        </w:tc>
        <w:tc>
          <w:tcPr>
            <w:tcW w:w="459" w:type="pct"/>
            <w:tcBorders>
              <w:top w:val="nil"/>
              <w:left w:val="nil"/>
              <w:bottom w:val="single" w:sz="8" w:space="0" w:color="000000"/>
              <w:right w:val="single" w:sz="8" w:space="0" w:color="000000"/>
            </w:tcBorders>
            <w:shd w:val="clear" w:color="auto" w:fill="auto"/>
            <w:noWrap/>
            <w:vAlign w:val="center"/>
            <w:hideMark/>
          </w:tcPr>
          <w:p w14:paraId="5F22C82B" w14:textId="77777777" w:rsidR="00072FE5" w:rsidRPr="00F47672" w:rsidRDefault="00072FE5" w:rsidP="007267A6">
            <w:pPr>
              <w:jc w:val="right"/>
              <w:rPr>
                <w:rFonts w:ascii="Times New Roman" w:hAnsi="Times New Roman"/>
                <w:color w:val="000000"/>
                <w:sz w:val="20"/>
              </w:rPr>
            </w:pPr>
            <w:r w:rsidRPr="00F47672">
              <w:rPr>
                <w:rFonts w:ascii="Times New Roman" w:hAnsi="Times New Roman"/>
                <w:color w:val="000000"/>
                <w:sz w:val="20"/>
              </w:rPr>
              <w:t>95,72</w:t>
            </w:r>
          </w:p>
        </w:tc>
        <w:tc>
          <w:tcPr>
            <w:tcW w:w="652" w:type="pct"/>
            <w:tcBorders>
              <w:top w:val="nil"/>
              <w:left w:val="nil"/>
              <w:bottom w:val="single" w:sz="8" w:space="0" w:color="000000"/>
              <w:right w:val="single" w:sz="8" w:space="0" w:color="000000"/>
            </w:tcBorders>
            <w:shd w:val="clear" w:color="auto" w:fill="auto"/>
            <w:noWrap/>
            <w:vAlign w:val="center"/>
            <w:hideMark/>
          </w:tcPr>
          <w:p w14:paraId="5466152D" w14:textId="77777777" w:rsidR="00072FE5" w:rsidRPr="00F47672" w:rsidRDefault="00072FE5" w:rsidP="007267A6">
            <w:pPr>
              <w:jc w:val="right"/>
              <w:rPr>
                <w:rFonts w:ascii="Times New Roman" w:hAnsi="Times New Roman"/>
                <w:color w:val="000000"/>
                <w:sz w:val="20"/>
              </w:rPr>
            </w:pPr>
            <w:r w:rsidRPr="00F47672">
              <w:rPr>
                <w:rFonts w:ascii="Times New Roman" w:hAnsi="Times New Roman"/>
                <w:color w:val="000000"/>
                <w:sz w:val="20"/>
              </w:rPr>
              <w:t>8,42%</w:t>
            </w:r>
          </w:p>
        </w:tc>
        <w:tc>
          <w:tcPr>
            <w:tcW w:w="489" w:type="pct"/>
            <w:tcBorders>
              <w:top w:val="nil"/>
              <w:left w:val="nil"/>
              <w:bottom w:val="single" w:sz="8" w:space="0" w:color="000000"/>
              <w:right w:val="single" w:sz="8" w:space="0" w:color="000000"/>
            </w:tcBorders>
            <w:shd w:val="clear" w:color="auto" w:fill="auto"/>
            <w:noWrap/>
            <w:vAlign w:val="center"/>
            <w:hideMark/>
          </w:tcPr>
          <w:p w14:paraId="6B474D57" w14:textId="77777777" w:rsidR="00072FE5" w:rsidRPr="00F47672" w:rsidRDefault="00072FE5" w:rsidP="007267A6">
            <w:pPr>
              <w:jc w:val="right"/>
              <w:rPr>
                <w:rFonts w:ascii="Times New Roman" w:hAnsi="Times New Roman"/>
                <w:color w:val="000000"/>
                <w:sz w:val="20"/>
              </w:rPr>
            </w:pPr>
            <w:r w:rsidRPr="00F47672">
              <w:rPr>
                <w:rFonts w:ascii="Times New Roman" w:hAnsi="Times New Roman"/>
                <w:color w:val="000000"/>
                <w:sz w:val="20"/>
              </w:rPr>
              <w:t>7,79%</w:t>
            </w:r>
          </w:p>
        </w:tc>
      </w:tr>
      <w:tr w:rsidR="00F41FBC" w:rsidRPr="0090217D" w14:paraId="497DFFC5" w14:textId="77777777" w:rsidTr="00F41FBC">
        <w:trPr>
          <w:trHeight w:val="315"/>
        </w:trPr>
        <w:tc>
          <w:tcPr>
            <w:tcW w:w="2402" w:type="pct"/>
            <w:tcBorders>
              <w:top w:val="nil"/>
              <w:left w:val="single" w:sz="8" w:space="0" w:color="000000"/>
              <w:bottom w:val="single" w:sz="8" w:space="0" w:color="000000"/>
              <w:right w:val="single" w:sz="8" w:space="0" w:color="000000"/>
            </w:tcBorders>
            <w:shd w:val="clear" w:color="auto" w:fill="auto"/>
            <w:noWrap/>
            <w:vAlign w:val="center"/>
            <w:hideMark/>
          </w:tcPr>
          <w:p w14:paraId="20C6283A" w14:textId="77777777" w:rsidR="00072FE5" w:rsidRPr="0090217D" w:rsidRDefault="00072FE5" w:rsidP="007267A6">
            <w:pPr>
              <w:rPr>
                <w:rFonts w:ascii="Times New Roman" w:hAnsi="Times New Roman"/>
                <w:color w:val="000000"/>
                <w:sz w:val="20"/>
              </w:rPr>
            </w:pPr>
            <w:r w:rsidRPr="0090217D">
              <w:rPr>
                <w:rFonts w:ascii="Times New Roman" w:hAnsi="Times New Roman"/>
                <w:color w:val="000000"/>
                <w:sz w:val="20"/>
              </w:rPr>
              <w:t>Донације страним владама</w:t>
            </w:r>
          </w:p>
        </w:tc>
        <w:tc>
          <w:tcPr>
            <w:tcW w:w="499" w:type="pct"/>
            <w:tcBorders>
              <w:top w:val="nil"/>
              <w:left w:val="nil"/>
              <w:bottom w:val="single" w:sz="8" w:space="0" w:color="000000"/>
              <w:right w:val="single" w:sz="8" w:space="0" w:color="000000"/>
            </w:tcBorders>
            <w:shd w:val="clear" w:color="auto" w:fill="auto"/>
            <w:noWrap/>
            <w:vAlign w:val="center"/>
            <w:hideMark/>
          </w:tcPr>
          <w:p w14:paraId="6D01FFF3" w14:textId="77777777" w:rsidR="00072FE5" w:rsidRPr="00F47672" w:rsidRDefault="00072FE5" w:rsidP="007267A6">
            <w:pPr>
              <w:jc w:val="right"/>
              <w:rPr>
                <w:rFonts w:ascii="Times New Roman" w:hAnsi="Times New Roman"/>
                <w:color w:val="000000"/>
                <w:sz w:val="20"/>
              </w:rPr>
            </w:pPr>
            <w:r w:rsidRPr="00F47672">
              <w:rPr>
                <w:rFonts w:ascii="Times New Roman" w:hAnsi="Times New Roman"/>
                <w:color w:val="000000"/>
                <w:sz w:val="20"/>
              </w:rPr>
              <w:t>0,02</w:t>
            </w:r>
          </w:p>
        </w:tc>
        <w:tc>
          <w:tcPr>
            <w:tcW w:w="499" w:type="pct"/>
            <w:tcBorders>
              <w:top w:val="nil"/>
              <w:left w:val="nil"/>
              <w:bottom w:val="single" w:sz="8" w:space="0" w:color="000000"/>
              <w:right w:val="single" w:sz="8" w:space="0" w:color="000000"/>
            </w:tcBorders>
            <w:shd w:val="clear" w:color="auto" w:fill="auto"/>
            <w:noWrap/>
            <w:vAlign w:val="center"/>
            <w:hideMark/>
          </w:tcPr>
          <w:p w14:paraId="00C5070A" w14:textId="77777777" w:rsidR="00072FE5" w:rsidRPr="00F47672" w:rsidRDefault="00072FE5" w:rsidP="007267A6">
            <w:pPr>
              <w:jc w:val="right"/>
              <w:rPr>
                <w:rFonts w:ascii="Times New Roman" w:hAnsi="Times New Roman"/>
                <w:color w:val="000000"/>
                <w:sz w:val="20"/>
              </w:rPr>
            </w:pPr>
            <w:r w:rsidRPr="00F47672">
              <w:rPr>
                <w:rFonts w:ascii="Times New Roman" w:hAnsi="Times New Roman"/>
                <w:color w:val="000000"/>
                <w:sz w:val="20"/>
              </w:rPr>
              <w:t>0,00</w:t>
            </w:r>
          </w:p>
        </w:tc>
        <w:tc>
          <w:tcPr>
            <w:tcW w:w="459" w:type="pct"/>
            <w:tcBorders>
              <w:top w:val="nil"/>
              <w:left w:val="nil"/>
              <w:bottom w:val="single" w:sz="8" w:space="0" w:color="000000"/>
              <w:right w:val="single" w:sz="8" w:space="0" w:color="000000"/>
            </w:tcBorders>
            <w:shd w:val="clear" w:color="auto" w:fill="auto"/>
            <w:noWrap/>
            <w:vAlign w:val="center"/>
            <w:hideMark/>
          </w:tcPr>
          <w:p w14:paraId="21ABC48E" w14:textId="77777777" w:rsidR="00072FE5" w:rsidRPr="00F47672" w:rsidRDefault="00072FE5" w:rsidP="007267A6">
            <w:pPr>
              <w:jc w:val="right"/>
              <w:rPr>
                <w:rFonts w:ascii="Times New Roman" w:hAnsi="Times New Roman"/>
                <w:color w:val="000000"/>
                <w:sz w:val="20"/>
              </w:rPr>
            </w:pPr>
            <w:r w:rsidRPr="00F47672">
              <w:rPr>
                <w:rFonts w:ascii="Times New Roman" w:hAnsi="Times New Roman"/>
                <w:color w:val="000000"/>
                <w:sz w:val="20"/>
              </w:rPr>
              <w:t>6,42</w:t>
            </w:r>
          </w:p>
        </w:tc>
        <w:tc>
          <w:tcPr>
            <w:tcW w:w="652" w:type="pct"/>
            <w:tcBorders>
              <w:top w:val="nil"/>
              <w:left w:val="nil"/>
              <w:bottom w:val="single" w:sz="8" w:space="0" w:color="000000"/>
              <w:right w:val="single" w:sz="8" w:space="0" w:color="000000"/>
            </w:tcBorders>
            <w:shd w:val="clear" w:color="auto" w:fill="auto"/>
            <w:noWrap/>
            <w:vAlign w:val="center"/>
            <w:hideMark/>
          </w:tcPr>
          <w:p w14:paraId="55A03EB9" w14:textId="77777777" w:rsidR="00072FE5" w:rsidRPr="00F47672" w:rsidRDefault="00072FE5" w:rsidP="007267A6">
            <w:pPr>
              <w:jc w:val="right"/>
              <w:rPr>
                <w:rFonts w:ascii="Times New Roman" w:hAnsi="Times New Roman"/>
                <w:color w:val="000000"/>
                <w:sz w:val="20"/>
              </w:rPr>
            </w:pPr>
            <w:r w:rsidRPr="00F47672">
              <w:rPr>
                <w:rFonts w:ascii="Times New Roman" w:hAnsi="Times New Roman"/>
                <w:color w:val="000000"/>
                <w:sz w:val="20"/>
              </w:rPr>
              <w:t>0,00%</w:t>
            </w:r>
          </w:p>
        </w:tc>
        <w:tc>
          <w:tcPr>
            <w:tcW w:w="489" w:type="pct"/>
            <w:tcBorders>
              <w:top w:val="nil"/>
              <w:left w:val="nil"/>
              <w:bottom w:val="single" w:sz="8" w:space="0" w:color="000000"/>
              <w:right w:val="single" w:sz="8" w:space="0" w:color="000000"/>
            </w:tcBorders>
            <w:shd w:val="clear" w:color="auto" w:fill="auto"/>
            <w:noWrap/>
            <w:vAlign w:val="center"/>
            <w:hideMark/>
          </w:tcPr>
          <w:p w14:paraId="7F931AF4" w14:textId="77777777" w:rsidR="00072FE5" w:rsidRPr="00F47672" w:rsidRDefault="00072FE5" w:rsidP="007267A6">
            <w:pPr>
              <w:jc w:val="right"/>
              <w:rPr>
                <w:rFonts w:ascii="Times New Roman" w:hAnsi="Times New Roman"/>
                <w:color w:val="000000"/>
                <w:sz w:val="20"/>
              </w:rPr>
            </w:pPr>
            <w:r w:rsidRPr="00F47672">
              <w:rPr>
                <w:rFonts w:ascii="Times New Roman" w:hAnsi="Times New Roman"/>
                <w:color w:val="000000"/>
                <w:sz w:val="20"/>
              </w:rPr>
              <w:t>0,00%</w:t>
            </w:r>
          </w:p>
        </w:tc>
      </w:tr>
      <w:tr w:rsidR="00F41FBC" w:rsidRPr="0090217D" w14:paraId="2D520DD6" w14:textId="77777777" w:rsidTr="00F41FBC">
        <w:trPr>
          <w:trHeight w:val="315"/>
        </w:trPr>
        <w:tc>
          <w:tcPr>
            <w:tcW w:w="2402" w:type="pct"/>
            <w:tcBorders>
              <w:top w:val="nil"/>
              <w:left w:val="single" w:sz="8" w:space="0" w:color="000000"/>
              <w:bottom w:val="single" w:sz="8" w:space="0" w:color="000000"/>
              <w:right w:val="single" w:sz="8" w:space="0" w:color="000000"/>
            </w:tcBorders>
            <w:shd w:val="clear" w:color="auto" w:fill="auto"/>
            <w:vAlign w:val="center"/>
            <w:hideMark/>
          </w:tcPr>
          <w:p w14:paraId="01CA0F99" w14:textId="77777777" w:rsidR="00072FE5" w:rsidRPr="0090217D" w:rsidRDefault="00072FE5" w:rsidP="007267A6">
            <w:pPr>
              <w:rPr>
                <w:rFonts w:ascii="Times New Roman" w:hAnsi="Times New Roman"/>
                <w:color w:val="000000"/>
                <w:sz w:val="20"/>
              </w:rPr>
            </w:pPr>
            <w:r w:rsidRPr="0090217D">
              <w:rPr>
                <w:rFonts w:ascii="Times New Roman" w:hAnsi="Times New Roman"/>
                <w:color w:val="000000"/>
                <w:sz w:val="20"/>
              </w:rPr>
              <w:t>Дотације међународним организацијама</w:t>
            </w:r>
          </w:p>
        </w:tc>
        <w:tc>
          <w:tcPr>
            <w:tcW w:w="499" w:type="pct"/>
            <w:tcBorders>
              <w:top w:val="nil"/>
              <w:left w:val="nil"/>
              <w:bottom w:val="single" w:sz="8" w:space="0" w:color="000000"/>
              <w:right w:val="single" w:sz="8" w:space="0" w:color="000000"/>
            </w:tcBorders>
            <w:shd w:val="clear" w:color="auto" w:fill="auto"/>
            <w:noWrap/>
            <w:vAlign w:val="center"/>
            <w:hideMark/>
          </w:tcPr>
          <w:p w14:paraId="3FC50AB1" w14:textId="77777777" w:rsidR="00072FE5" w:rsidRPr="00F47672" w:rsidRDefault="00072FE5" w:rsidP="007267A6">
            <w:pPr>
              <w:jc w:val="right"/>
              <w:rPr>
                <w:rFonts w:ascii="Times New Roman" w:hAnsi="Times New Roman"/>
                <w:color w:val="000000"/>
                <w:sz w:val="20"/>
              </w:rPr>
            </w:pPr>
            <w:r w:rsidRPr="00F47672">
              <w:rPr>
                <w:rFonts w:ascii="Times New Roman" w:hAnsi="Times New Roman"/>
                <w:color w:val="000000"/>
                <w:sz w:val="20"/>
              </w:rPr>
              <w:t>9,67</w:t>
            </w:r>
          </w:p>
        </w:tc>
        <w:tc>
          <w:tcPr>
            <w:tcW w:w="499" w:type="pct"/>
            <w:tcBorders>
              <w:top w:val="nil"/>
              <w:left w:val="nil"/>
              <w:bottom w:val="single" w:sz="8" w:space="0" w:color="000000"/>
              <w:right w:val="single" w:sz="8" w:space="0" w:color="000000"/>
            </w:tcBorders>
            <w:shd w:val="clear" w:color="auto" w:fill="auto"/>
            <w:noWrap/>
            <w:vAlign w:val="center"/>
            <w:hideMark/>
          </w:tcPr>
          <w:p w14:paraId="0538054B" w14:textId="77777777" w:rsidR="00072FE5" w:rsidRPr="00F47672" w:rsidRDefault="00072FE5" w:rsidP="007267A6">
            <w:pPr>
              <w:jc w:val="right"/>
              <w:rPr>
                <w:rFonts w:ascii="Times New Roman" w:hAnsi="Times New Roman"/>
                <w:color w:val="000000"/>
                <w:sz w:val="20"/>
              </w:rPr>
            </w:pPr>
            <w:r w:rsidRPr="00F47672">
              <w:rPr>
                <w:rFonts w:ascii="Times New Roman" w:hAnsi="Times New Roman"/>
                <w:color w:val="000000"/>
                <w:sz w:val="20"/>
              </w:rPr>
              <w:t>10,96</w:t>
            </w:r>
          </w:p>
        </w:tc>
        <w:tc>
          <w:tcPr>
            <w:tcW w:w="459" w:type="pct"/>
            <w:tcBorders>
              <w:top w:val="nil"/>
              <w:left w:val="nil"/>
              <w:bottom w:val="single" w:sz="8" w:space="0" w:color="000000"/>
              <w:right w:val="single" w:sz="8" w:space="0" w:color="000000"/>
            </w:tcBorders>
            <w:shd w:val="clear" w:color="auto" w:fill="auto"/>
            <w:noWrap/>
            <w:vAlign w:val="center"/>
            <w:hideMark/>
          </w:tcPr>
          <w:p w14:paraId="512FC252" w14:textId="77777777" w:rsidR="00072FE5" w:rsidRPr="00F47672" w:rsidRDefault="00072FE5" w:rsidP="007267A6">
            <w:pPr>
              <w:jc w:val="right"/>
              <w:rPr>
                <w:rFonts w:ascii="Times New Roman" w:hAnsi="Times New Roman"/>
                <w:color w:val="000000"/>
                <w:sz w:val="20"/>
              </w:rPr>
            </w:pPr>
            <w:r w:rsidRPr="00F47672">
              <w:rPr>
                <w:rFonts w:ascii="Times New Roman" w:hAnsi="Times New Roman"/>
                <w:color w:val="000000"/>
                <w:sz w:val="20"/>
              </w:rPr>
              <w:t>113,33</w:t>
            </w:r>
          </w:p>
        </w:tc>
        <w:tc>
          <w:tcPr>
            <w:tcW w:w="652" w:type="pct"/>
            <w:tcBorders>
              <w:top w:val="nil"/>
              <w:left w:val="nil"/>
              <w:bottom w:val="single" w:sz="8" w:space="0" w:color="000000"/>
              <w:right w:val="single" w:sz="8" w:space="0" w:color="000000"/>
            </w:tcBorders>
            <w:shd w:val="clear" w:color="auto" w:fill="auto"/>
            <w:noWrap/>
            <w:vAlign w:val="center"/>
            <w:hideMark/>
          </w:tcPr>
          <w:p w14:paraId="303EA6D8" w14:textId="77777777" w:rsidR="00072FE5" w:rsidRPr="00F47672" w:rsidRDefault="00072FE5" w:rsidP="007267A6">
            <w:pPr>
              <w:jc w:val="right"/>
              <w:rPr>
                <w:rFonts w:ascii="Times New Roman" w:hAnsi="Times New Roman"/>
                <w:color w:val="000000"/>
                <w:sz w:val="20"/>
              </w:rPr>
            </w:pPr>
            <w:r w:rsidRPr="00F47672">
              <w:rPr>
                <w:rFonts w:ascii="Times New Roman" w:hAnsi="Times New Roman"/>
                <w:color w:val="000000"/>
                <w:sz w:val="20"/>
              </w:rPr>
              <w:t>0,36%</w:t>
            </w:r>
          </w:p>
        </w:tc>
        <w:tc>
          <w:tcPr>
            <w:tcW w:w="489" w:type="pct"/>
            <w:tcBorders>
              <w:top w:val="nil"/>
              <w:left w:val="nil"/>
              <w:bottom w:val="single" w:sz="8" w:space="0" w:color="000000"/>
              <w:right w:val="single" w:sz="8" w:space="0" w:color="000000"/>
            </w:tcBorders>
            <w:shd w:val="clear" w:color="auto" w:fill="auto"/>
            <w:noWrap/>
            <w:vAlign w:val="center"/>
            <w:hideMark/>
          </w:tcPr>
          <w:p w14:paraId="6E938B40" w14:textId="77777777" w:rsidR="00072FE5" w:rsidRPr="00F47672" w:rsidRDefault="00072FE5" w:rsidP="007267A6">
            <w:pPr>
              <w:jc w:val="right"/>
              <w:rPr>
                <w:rFonts w:ascii="Times New Roman" w:hAnsi="Times New Roman"/>
                <w:color w:val="000000"/>
                <w:sz w:val="20"/>
              </w:rPr>
            </w:pPr>
            <w:r w:rsidRPr="00F47672">
              <w:rPr>
                <w:rFonts w:ascii="Times New Roman" w:hAnsi="Times New Roman"/>
                <w:color w:val="000000"/>
                <w:sz w:val="20"/>
              </w:rPr>
              <w:t>0,40%</w:t>
            </w:r>
          </w:p>
        </w:tc>
      </w:tr>
      <w:tr w:rsidR="00F41FBC" w:rsidRPr="0090217D" w14:paraId="64A46C09" w14:textId="77777777" w:rsidTr="00F41FBC">
        <w:trPr>
          <w:trHeight w:val="315"/>
        </w:trPr>
        <w:tc>
          <w:tcPr>
            <w:tcW w:w="2402" w:type="pct"/>
            <w:tcBorders>
              <w:top w:val="nil"/>
              <w:left w:val="single" w:sz="8" w:space="0" w:color="000000"/>
              <w:bottom w:val="single" w:sz="8" w:space="0" w:color="000000"/>
              <w:right w:val="single" w:sz="8" w:space="0" w:color="000000"/>
            </w:tcBorders>
            <w:shd w:val="clear" w:color="auto" w:fill="auto"/>
            <w:vAlign w:val="center"/>
            <w:hideMark/>
          </w:tcPr>
          <w:p w14:paraId="3FE9A0AF" w14:textId="77777777" w:rsidR="00072FE5" w:rsidRPr="0090217D" w:rsidRDefault="00072FE5" w:rsidP="007267A6">
            <w:pPr>
              <w:rPr>
                <w:rFonts w:ascii="Times New Roman" w:hAnsi="Times New Roman"/>
                <w:color w:val="000000"/>
                <w:sz w:val="20"/>
              </w:rPr>
            </w:pPr>
            <w:r w:rsidRPr="0090217D">
              <w:rPr>
                <w:rFonts w:ascii="Times New Roman" w:hAnsi="Times New Roman"/>
                <w:color w:val="000000"/>
                <w:sz w:val="20"/>
              </w:rPr>
              <w:t>Трансфери осталим нивоима власти</w:t>
            </w:r>
          </w:p>
        </w:tc>
        <w:tc>
          <w:tcPr>
            <w:tcW w:w="499" w:type="pct"/>
            <w:tcBorders>
              <w:top w:val="nil"/>
              <w:left w:val="nil"/>
              <w:bottom w:val="single" w:sz="8" w:space="0" w:color="000000"/>
              <w:right w:val="single" w:sz="8" w:space="0" w:color="000000"/>
            </w:tcBorders>
            <w:shd w:val="clear" w:color="auto" w:fill="auto"/>
            <w:noWrap/>
            <w:vAlign w:val="center"/>
            <w:hideMark/>
          </w:tcPr>
          <w:p w14:paraId="00C64088" w14:textId="77777777" w:rsidR="00072FE5" w:rsidRPr="00F47672" w:rsidRDefault="00072FE5" w:rsidP="007267A6">
            <w:pPr>
              <w:jc w:val="right"/>
              <w:rPr>
                <w:rFonts w:ascii="Times New Roman" w:hAnsi="Times New Roman"/>
                <w:color w:val="000000"/>
                <w:sz w:val="20"/>
              </w:rPr>
            </w:pPr>
            <w:r w:rsidRPr="00F47672">
              <w:rPr>
                <w:rFonts w:ascii="Times New Roman" w:hAnsi="Times New Roman"/>
                <w:color w:val="000000"/>
                <w:sz w:val="20"/>
              </w:rPr>
              <w:t>81,43</w:t>
            </w:r>
          </w:p>
        </w:tc>
        <w:tc>
          <w:tcPr>
            <w:tcW w:w="499" w:type="pct"/>
            <w:tcBorders>
              <w:top w:val="nil"/>
              <w:left w:val="nil"/>
              <w:bottom w:val="single" w:sz="8" w:space="0" w:color="000000"/>
              <w:right w:val="single" w:sz="8" w:space="0" w:color="000000"/>
            </w:tcBorders>
            <w:shd w:val="clear" w:color="auto" w:fill="auto"/>
            <w:noWrap/>
            <w:vAlign w:val="center"/>
            <w:hideMark/>
          </w:tcPr>
          <w:p w14:paraId="50A6448C" w14:textId="77777777" w:rsidR="00072FE5" w:rsidRPr="00F47672" w:rsidRDefault="00072FE5" w:rsidP="007267A6">
            <w:pPr>
              <w:jc w:val="right"/>
              <w:rPr>
                <w:rFonts w:ascii="Times New Roman" w:hAnsi="Times New Roman"/>
                <w:color w:val="000000"/>
                <w:sz w:val="20"/>
              </w:rPr>
            </w:pPr>
            <w:r w:rsidRPr="00F47672">
              <w:rPr>
                <w:rFonts w:ascii="Times New Roman" w:hAnsi="Times New Roman"/>
                <w:color w:val="000000"/>
                <w:sz w:val="20"/>
              </w:rPr>
              <w:t>83,12</w:t>
            </w:r>
          </w:p>
        </w:tc>
        <w:tc>
          <w:tcPr>
            <w:tcW w:w="459" w:type="pct"/>
            <w:tcBorders>
              <w:top w:val="nil"/>
              <w:left w:val="nil"/>
              <w:bottom w:val="single" w:sz="8" w:space="0" w:color="000000"/>
              <w:right w:val="single" w:sz="8" w:space="0" w:color="000000"/>
            </w:tcBorders>
            <w:shd w:val="clear" w:color="auto" w:fill="auto"/>
            <w:noWrap/>
            <w:vAlign w:val="center"/>
            <w:hideMark/>
          </w:tcPr>
          <w:p w14:paraId="15A08FF8" w14:textId="77777777" w:rsidR="00072FE5" w:rsidRPr="00F47672" w:rsidRDefault="00072FE5" w:rsidP="007267A6">
            <w:pPr>
              <w:jc w:val="right"/>
              <w:rPr>
                <w:rFonts w:ascii="Times New Roman" w:hAnsi="Times New Roman"/>
                <w:color w:val="000000"/>
                <w:sz w:val="20"/>
              </w:rPr>
            </w:pPr>
            <w:r w:rsidRPr="00F47672">
              <w:rPr>
                <w:rFonts w:ascii="Times New Roman" w:hAnsi="Times New Roman"/>
                <w:color w:val="000000"/>
                <w:sz w:val="20"/>
              </w:rPr>
              <w:t>102,07</w:t>
            </w:r>
          </w:p>
        </w:tc>
        <w:tc>
          <w:tcPr>
            <w:tcW w:w="652" w:type="pct"/>
            <w:tcBorders>
              <w:top w:val="nil"/>
              <w:left w:val="nil"/>
              <w:bottom w:val="single" w:sz="8" w:space="0" w:color="000000"/>
              <w:right w:val="single" w:sz="8" w:space="0" w:color="000000"/>
            </w:tcBorders>
            <w:shd w:val="clear" w:color="auto" w:fill="auto"/>
            <w:noWrap/>
            <w:vAlign w:val="center"/>
            <w:hideMark/>
          </w:tcPr>
          <w:p w14:paraId="4BBFEB9E" w14:textId="77777777" w:rsidR="00072FE5" w:rsidRPr="00F47672" w:rsidRDefault="00072FE5" w:rsidP="007267A6">
            <w:pPr>
              <w:jc w:val="right"/>
              <w:rPr>
                <w:rFonts w:ascii="Times New Roman" w:hAnsi="Times New Roman"/>
                <w:color w:val="000000"/>
                <w:sz w:val="20"/>
              </w:rPr>
            </w:pPr>
            <w:r w:rsidRPr="00F47672">
              <w:rPr>
                <w:rFonts w:ascii="Times New Roman" w:hAnsi="Times New Roman"/>
                <w:color w:val="000000"/>
                <w:sz w:val="20"/>
              </w:rPr>
              <w:t>3,06%</w:t>
            </w:r>
          </w:p>
        </w:tc>
        <w:tc>
          <w:tcPr>
            <w:tcW w:w="489" w:type="pct"/>
            <w:tcBorders>
              <w:top w:val="nil"/>
              <w:left w:val="nil"/>
              <w:bottom w:val="single" w:sz="8" w:space="0" w:color="000000"/>
              <w:right w:val="single" w:sz="8" w:space="0" w:color="000000"/>
            </w:tcBorders>
            <w:shd w:val="clear" w:color="auto" w:fill="auto"/>
            <w:noWrap/>
            <w:vAlign w:val="center"/>
            <w:hideMark/>
          </w:tcPr>
          <w:p w14:paraId="1CBEF407" w14:textId="77777777" w:rsidR="00072FE5" w:rsidRPr="00F47672" w:rsidRDefault="00072FE5" w:rsidP="007267A6">
            <w:pPr>
              <w:jc w:val="right"/>
              <w:rPr>
                <w:rFonts w:ascii="Times New Roman" w:hAnsi="Times New Roman"/>
                <w:color w:val="000000"/>
                <w:sz w:val="20"/>
              </w:rPr>
            </w:pPr>
            <w:r w:rsidRPr="00F47672">
              <w:rPr>
                <w:rFonts w:ascii="Times New Roman" w:hAnsi="Times New Roman"/>
                <w:color w:val="000000"/>
                <w:sz w:val="20"/>
              </w:rPr>
              <w:t>3,02%</w:t>
            </w:r>
          </w:p>
        </w:tc>
      </w:tr>
      <w:tr w:rsidR="00F41FBC" w:rsidRPr="0090217D" w14:paraId="05573398" w14:textId="77777777" w:rsidTr="00F41FBC">
        <w:trPr>
          <w:trHeight w:val="315"/>
        </w:trPr>
        <w:tc>
          <w:tcPr>
            <w:tcW w:w="2402" w:type="pct"/>
            <w:tcBorders>
              <w:top w:val="nil"/>
              <w:left w:val="single" w:sz="8" w:space="0" w:color="000000"/>
              <w:bottom w:val="single" w:sz="8" w:space="0" w:color="000000"/>
              <w:right w:val="single" w:sz="8" w:space="0" w:color="000000"/>
            </w:tcBorders>
            <w:shd w:val="clear" w:color="auto" w:fill="auto"/>
            <w:vAlign w:val="center"/>
            <w:hideMark/>
          </w:tcPr>
          <w:p w14:paraId="12D177A7" w14:textId="77777777" w:rsidR="00072FE5" w:rsidRPr="0090217D" w:rsidRDefault="00072FE5" w:rsidP="007267A6">
            <w:pPr>
              <w:rPr>
                <w:rFonts w:ascii="Times New Roman" w:hAnsi="Times New Roman"/>
                <w:color w:val="000000"/>
                <w:sz w:val="20"/>
              </w:rPr>
            </w:pPr>
            <w:r w:rsidRPr="0090217D">
              <w:rPr>
                <w:rFonts w:ascii="Times New Roman" w:hAnsi="Times New Roman"/>
                <w:color w:val="000000"/>
                <w:sz w:val="20"/>
              </w:rPr>
              <w:t xml:space="preserve">Дотације организацијама за обавезно социјално осигурање </w:t>
            </w:r>
          </w:p>
        </w:tc>
        <w:tc>
          <w:tcPr>
            <w:tcW w:w="499" w:type="pct"/>
            <w:tcBorders>
              <w:top w:val="nil"/>
              <w:left w:val="nil"/>
              <w:bottom w:val="single" w:sz="8" w:space="0" w:color="000000"/>
              <w:right w:val="single" w:sz="8" w:space="0" w:color="000000"/>
            </w:tcBorders>
            <w:shd w:val="clear" w:color="auto" w:fill="auto"/>
            <w:noWrap/>
            <w:vAlign w:val="center"/>
            <w:hideMark/>
          </w:tcPr>
          <w:p w14:paraId="08E8081B" w14:textId="77777777" w:rsidR="00072FE5" w:rsidRPr="00F47672" w:rsidRDefault="00072FE5" w:rsidP="007267A6">
            <w:pPr>
              <w:jc w:val="right"/>
              <w:rPr>
                <w:rFonts w:ascii="Times New Roman" w:hAnsi="Times New Roman"/>
                <w:color w:val="000000"/>
                <w:sz w:val="20"/>
              </w:rPr>
            </w:pPr>
            <w:r w:rsidRPr="00F47672">
              <w:rPr>
                <w:rFonts w:ascii="Times New Roman" w:hAnsi="Times New Roman"/>
                <w:color w:val="000000"/>
                <w:sz w:val="20"/>
              </w:rPr>
              <w:t>355,72</w:t>
            </w:r>
          </w:p>
        </w:tc>
        <w:tc>
          <w:tcPr>
            <w:tcW w:w="499" w:type="pct"/>
            <w:tcBorders>
              <w:top w:val="nil"/>
              <w:left w:val="nil"/>
              <w:bottom w:val="single" w:sz="8" w:space="0" w:color="000000"/>
              <w:right w:val="single" w:sz="8" w:space="0" w:color="000000"/>
            </w:tcBorders>
            <w:shd w:val="clear" w:color="auto" w:fill="auto"/>
            <w:noWrap/>
            <w:vAlign w:val="center"/>
            <w:hideMark/>
          </w:tcPr>
          <w:p w14:paraId="488B9D65" w14:textId="77777777" w:rsidR="00072FE5" w:rsidRPr="00F47672" w:rsidRDefault="00072FE5" w:rsidP="007267A6">
            <w:pPr>
              <w:jc w:val="right"/>
              <w:rPr>
                <w:rFonts w:ascii="Times New Roman" w:hAnsi="Times New Roman"/>
                <w:color w:val="000000"/>
                <w:sz w:val="20"/>
              </w:rPr>
            </w:pPr>
            <w:r w:rsidRPr="00F47672">
              <w:rPr>
                <w:rFonts w:ascii="Times New Roman" w:hAnsi="Times New Roman"/>
                <w:color w:val="000000"/>
                <w:sz w:val="20"/>
              </w:rPr>
              <w:t>395,19</w:t>
            </w:r>
          </w:p>
        </w:tc>
        <w:tc>
          <w:tcPr>
            <w:tcW w:w="459" w:type="pct"/>
            <w:tcBorders>
              <w:top w:val="nil"/>
              <w:left w:val="nil"/>
              <w:bottom w:val="single" w:sz="8" w:space="0" w:color="000000"/>
              <w:right w:val="single" w:sz="8" w:space="0" w:color="000000"/>
            </w:tcBorders>
            <w:shd w:val="clear" w:color="auto" w:fill="auto"/>
            <w:noWrap/>
            <w:vAlign w:val="center"/>
            <w:hideMark/>
          </w:tcPr>
          <w:p w14:paraId="2F21FE44" w14:textId="77777777" w:rsidR="00072FE5" w:rsidRPr="00F47672" w:rsidRDefault="00072FE5" w:rsidP="007267A6">
            <w:pPr>
              <w:jc w:val="right"/>
              <w:rPr>
                <w:rFonts w:ascii="Times New Roman" w:hAnsi="Times New Roman"/>
                <w:color w:val="000000"/>
                <w:sz w:val="20"/>
              </w:rPr>
            </w:pPr>
            <w:r w:rsidRPr="00F47672">
              <w:rPr>
                <w:rFonts w:ascii="Times New Roman" w:hAnsi="Times New Roman"/>
                <w:color w:val="000000"/>
                <w:sz w:val="20"/>
              </w:rPr>
              <w:t>111,10</w:t>
            </w:r>
          </w:p>
        </w:tc>
        <w:tc>
          <w:tcPr>
            <w:tcW w:w="652" w:type="pct"/>
            <w:tcBorders>
              <w:top w:val="nil"/>
              <w:left w:val="nil"/>
              <w:bottom w:val="single" w:sz="8" w:space="0" w:color="000000"/>
              <w:right w:val="single" w:sz="8" w:space="0" w:color="000000"/>
            </w:tcBorders>
            <w:shd w:val="clear" w:color="auto" w:fill="auto"/>
            <w:noWrap/>
            <w:vAlign w:val="center"/>
            <w:hideMark/>
          </w:tcPr>
          <w:p w14:paraId="4624309F" w14:textId="77777777" w:rsidR="00072FE5" w:rsidRPr="00F47672" w:rsidRDefault="00072FE5" w:rsidP="007267A6">
            <w:pPr>
              <w:jc w:val="right"/>
              <w:rPr>
                <w:rFonts w:ascii="Times New Roman" w:hAnsi="Times New Roman"/>
                <w:color w:val="000000"/>
                <w:sz w:val="20"/>
              </w:rPr>
            </w:pPr>
            <w:r w:rsidRPr="00F47672">
              <w:rPr>
                <w:rFonts w:ascii="Times New Roman" w:hAnsi="Times New Roman"/>
                <w:color w:val="000000"/>
                <w:sz w:val="20"/>
              </w:rPr>
              <w:t>13,37%</w:t>
            </w:r>
          </w:p>
        </w:tc>
        <w:tc>
          <w:tcPr>
            <w:tcW w:w="489" w:type="pct"/>
            <w:tcBorders>
              <w:top w:val="nil"/>
              <w:left w:val="nil"/>
              <w:bottom w:val="single" w:sz="8" w:space="0" w:color="000000"/>
              <w:right w:val="single" w:sz="8" w:space="0" w:color="000000"/>
            </w:tcBorders>
            <w:shd w:val="clear" w:color="auto" w:fill="auto"/>
            <w:noWrap/>
            <w:vAlign w:val="center"/>
            <w:hideMark/>
          </w:tcPr>
          <w:p w14:paraId="756A2D42" w14:textId="77777777" w:rsidR="00072FE5" w:rsidRPr="00F47672" w:rsidRDefault="00072FE5" w:rsidP="007267A6">
            <w:pPr>
              <w:jc w:val="right"/>
              <w:rPr>
                <w:rFonts w:ascii="Times New Roman" w:hAnsi="Times New Roman"/>
                <w:color w:val="000000"/>
                <w:sz w:val="20"/>
              </w:rPr>
            </w:pPr>
            <w:r w:rsidRPr="00F47672">
              <w:rPr>
                <w:rFonts w:ascii="Times New Roman" w:hAnsi="Times New Roman"/>
                <w:color w:val="000000"/>
                <w:sz w:val="20"/>
              </w:rPr>
              <w:t>14,36%</w:t>
            </w:r>
          </w:p>
        </w:tc>
      </w:tr>
      <w:tr w:rsidR="00F41FBC" w:rsidRPr="0090217D" w14:paraId="080630B3" w14:textId="77777777" w:rsidTr="00F41FBC">
        <w:trPr>
          <w:trHeight w:val="315"/>
        </w:trPr>
        <w:tc>
          <w:tcPr>
            <w:tcW w:w="2402" w:type="pct"/>
            <w:tcBorders>
              <w:top w:val="nil"/>
              <w:left w:val="single" w:sz="8" w:space="0" w:color="000000"/>
              <w:bottom w:val="single" w:sz="8" w:space="0" w:color="000000"/>
              <w:right w:val="single" w:sz="8" w:space="0" w:color="000000"/>
            </w:tcBorders>
            <w:shd w:val="clear" w:color="auto" w:fill="auto"/>
            <w:vAlign w:val="center"/>
            <w:hideMark/>
          </w:tcPr>
          <w:p w14:paraId="7D62F002" w14:textId="77777777" w:rsidR="00072FE5" w:rsidRPr="0090217D" w:rsidRDefault="00072FE5" w:rsidP="007267A6">
            <w:pPr>
              <w:rPr>
                <w:rFonts w:ascii="Times New Roman" w:hAnsi="Times New Roman"/>
                <w:color w:val="000000"/>
                <w:sz w:val="20"/>
              </w:rPr>
            </w:pPr>
            <w:r w:rsidRPr="0090217D">
              <w:rPr>
                <w:rFonts w:ascii="Times New Roman" w:hAnsi="Times New Roman"/>
                <w:color w:val="000000"/>
                <w:sz w:val="20"/>
              </w:rPr>
              <w:lastRenderedPageBreak/>
              <w:t>Остале дотације и трансфери</w:t>
            </w:r>
          </w:p>
        </w:tc>
        <w:tc>
          <w:tcPr>
            <w:tcW w:w="499" w:type="pct"/>
            <w:tcBorders>
              <w:top w:val="nil"/>
              <w:left w:val="nil"/>
              <w:bottom w:val="single" w:sz="8" w:space="0" w:color="000000"/>
              <w:right w:val="single" w:sz="8" w:space="0" w:color="000000"/>
            </w:tcBorders>
            <w:shd w:val="clear" w:color="auto" w:fill="auto"/>
            <w:noWrap/>
            <w:vAlign w:val="center"/>
            <w:hideMark/>
          </w:tcPr>
          <w:p w14:paraId="579E79DB" w14:textId="77777777" w:rsidR="00072FE5" w:rsidRPr="00F47672" w:rsidRDefault="00072FE5" w:rsidP="007267A6">
            <w:pPr>
              <w:jc w:val="right"/>
              <w:rPr>
                <w:rFonts w:ascii="Times New Roman" w:hAnsi="Times New Roman"/>
                <w:color w:val="000000"/>
                <w:sz w:val="20"/>
              </w:rPr>
            </w:pPr>
            <w:r w:rsidRPr="00F47672">
              <w:rPr>
                <w:rFonts w:ascii="Times New Roman" w:hAnsi="Times New Roman"/>
                <w:color w:val="000000"/>
                <w:sz w:val="20"/>
              </w:rPr>
              <w:t>3,55</w:t>
            </w:r>
          </w:p>
        </w:tc>
        <w:tc>
          <w:tcPr>
            <w:tcW w:w="499" w:type="pct"/>
            <w:tcBorders>
              <w:top w:val="nil"/>
              <w:left w:val="nil"/>
              <w:bottom w:val="single" w:sz="8" w:space="0" w:color="000000"/>
              <w:right w:val="single" w:sz="8" w:space="0" w:color="000000"/>
            </w:tcBorders>
            <w:shd w:val="clear" w:color="auto" w:fill="auto"/>
            <w:noWrap/>
            <w:vAlign w:val="center"/>
            <w:hideMark/>
          </w:tcPr>
          <w:p w14:paraId="75B5AD95" w14:textId="77777777" w:rsidR="00072FE5" w:rsidRPr="00F47672" w:rsidRDefault="00072FE5" w:rsidP="007267A6">
            <w:pPr>
              <w:jc w:val="right"/>
              <w:rPr>
                <w:rFonts w:ascii="Times New Roman" w:hAnsi="Times New Roman"/>
                <w:color w:val="000000"/>
                <w:sz w:val="20"/>
              </w:rPr>
            </w:pPr>
            <w:r w:rsidRPr="00F47672">
              <w:rPr>
                <w:rFonts w:ascii="Times New Roman" w:hAnsi="Times New Roman"/>
                <w:color w:val="000000"/>
                <w:sz w:val="20"/>
              </w:rPr>
              <w:t>3,60</w:t>
            </w:r>
          </w:p>
        </w:tc>
        <w:tc>
          <w:tcPr>
            <w:tcW w:w="459" w:type="pct"/>
            <w:tcBorders>
              <w:top w:val="nil"/>
              <w:left w:val="nil"/>
              <w:bottom w:val="single" w:sz="8" w:space="0" w:color="000000"/>
              <w:right w:val="single" w:sz="8" w:space="0" w:color="000000"/>
            </w:tcBorders>
            <w:shd w:val="clear" w:color="auto" w:fill="auto"/>
            <w:noWrap/>
            <w:vAlign w:val="center"/>
            <w:hideMark/>
          </w:tcPr>
          <w:p w14:paraId="55D123F7" w14:textId="77777777" w:rsidR="00072FE5" w:rsidRPr="00F47672" w:rsidRDefault="00072FE5" w:rsidP="007267A6">
            <w:pPr>
              <w:jc w:val="right"/>
              <w:rPr>
                <w:rFonts w:ascii="Times New Roman" w:hAnsi="Times New Roman"/>
                <w:color w:val="000000"/>
                <w:sz w:val="20"/>
              </w:rPr>
            </w:pPr>
            <w:r w:rsidRPr="00F47672">
              <w:rPr>
                <w:rFonts w:ascii="Times New Roman" w:hAnsi="Times New Roman"/>
                <w:color w:val="000000"/>
                <w:sz w:val="20"/>
              </w:rPr>
              <w:t>101,38</w:t>
            </w:r>
          </w:p>
        </w:tc>
        <w:tc>
          <w:tcPr>
            <w:tcW w:w="652" w:type="pct"/>
            <w:tcBorders>
              <w:top w:val="nil"/>
              <w:left w:val="nil"/>
              <w:bottom w:val="single" w:sz="8" w:space="0" w:color="000000"/>
              <w:right w:val="single" w:sz="8" w:space="0" w:color="000000"/>
            </w:tcBorders>
            <w:shd w:val="clear" w:color="auto" w:fill="auto"/>
            <w:noWrap/>
            <w:vAlign w:val="center"/>
            <w:hideMark/>
          </w:tcPr>
          <w:p w14:paraId="535D97DE" w14:textId="77777777" w:rsidR="00072FE5" w:rsidRPr="00F47672" w:rsidRDefault="00072FE5" w:rsidP="007267A6">
            <w:pPr>
              <w:jc w:val="right"/>
              <w:rPr>
                <w:rFonts w:ascii="Times New Roman" w:hAnsi="Times New Roman"/>
                <w:color w:val="000000"/>
                <w:sz w:val="20"/>
              </w:rPr>
            </w:pPr>
            <w:r w:rsidRPr="00F47672">
              <w:rPr>
                <w:rFonts w:ascii="Times New Roman" w:hAnsi="Times New Roman"/>
                <w:color w:val="000000"/>
                <w:sz w:val="20"/>
              </w:rPr>
              <w:t>0,13%</w:t>
            </w:r>
          </w:p>
        </w:tc>
        <w:tc>
          <w:tcPr>
            <w:tcW w:w="489" w:type="pct"/>
            <w:tcBorders>
              <w:top w:val="nil"/>
              <w:left w:val="nil"/>
              <w:bottom w:val="single" w:sz="8" w:space="0" w:color="000000"/>
              <w:right w:val="single" w:sz="8" w:space="0" w:color="000000"/>
            </w:tcBorders>
            <w:shd w:val="clear" w:color="auto" w:fill="auto"/>
            <w:noWrap/>
            <w:vAlign w:val="center"/>
            <w:hideMark/>
          </w:tcPr>
          <w:p w14:paraId="4897F105" w14:textId="77777777" w:rsidR="00072FE5" w:rsidRPr="00F47672" w:rsidRDefault="00072FE5" w:rsidP="007267A6">
            <w:pPr>
              <w:jc w:val="right"/>
              <w:rPr>
                <w:rFonts w:ascii="Times New Roman" w:hAnsi="Times New Roman"/>
                <w:color w:val="000000"/>
                <w:sz w:val="20"/>
              </w:rPr>
            </w:pPr>
            <w:r w:rsidRPr="00F47672">
              <w:rPr>
                <w:rFonts w:ascii="Times New Roman" w:hAnsi="Times New Roman"/>
                <w:color w:val="000000"/>
                <w:sz w:val="20"/>
              </w:rPr>
              <w:t>0,13%</w:t>
            </w:r>
          </w:p>
        </w:tc>
      </w:tr>
      <w:tr w:rsidR="00F41FBC" w:rsidRPr="0090217D" w14:paraId="75348C40" w14:textId="77777777" w:rsidTr="00F41FBC">
        <w:trPr>
          <w:trHeight w:val="315"/>
        </w:trPr>
        <w:tc>
          <w:tcPr>
            <w:tcW w:w="2402" w:type="pct"/>
            <w:tcBorders>
              <w:top w:val="nil"/>
              <w:left w:val="single" w:sz="8" w:space="0" w:color="000000"/>
              <w:bottom w:val="single" w:sz="8" w:space="0" w:color="000000"/>
              <w:right w:val="single" w:sz="8" w:space="0" w:color="000000"/>
            </w:tcBorders>
            <w:shd w:val="clear" w:color="auto" w:fill="auto"/>
            <w:vAlign w:val="center"/>
            <w:hideMark/>
          </w:tcPr>
          <w:p w14:paraId="7086FB5F" w14:textId="77777777" w:rsidR="00072FE5" w:rsidRPr="0090217D" w:rsidRDefault="00072FE5" w:rsidP="007267A6">
            <w:pPr>
              <w:rPr>
                <w:rFonts w:ascii="Times New Roman" w:hAnsi="Times New Roman"/>
                <w:color w:val="000000"/>
                <w:sz w:val="20"/>
              </w:rPr>
            </w:pPr>
            <w:r w:rsidRPr="0090217D">
              <w:rPr>
                <w:rFonts w:ascii="Times New Roman" w:hAnsi="Times New Roman"/>
                <w:color w:val="000000"/>
                <w:sz w:val="20"/>
              </w:rPr>
              <w:t>Социјално осигурање и социјална заштита</w:t>
            </w:r>
          </w:p>
        </w:tc>
        <w:tc>
          <w:tcPr>
            <w:tcW w:w="499" w:type="pct"/>
            <w:tcBorders>
              <w:top w:val="nil"/>
              <w:left w:val="nil"/>
              <w:bottom w:val="single" w:sz="8" w:space="0" w:color="000000"/>
              <w:right w:val="single" w:sz="8" w:space="0" w:color="000000"/>
            </w:tcBorders>
            <w:shd w:val="clear" w:color="auto" w:fill="auto"/>
            <w:noWrap/>
            <w:vAlign w:val="center"/>
            <w:hideMark/>
          </w:tcPr>
          <w:p w14:paraId="05665C22" w14:textId="77777777" w:rsidR="00072FE5" w:rsidRPr="00F47672" w:rsidRDefault="00072FE5" w:rsidP="007267A6">
            <w:pPr>
              <w:jc w:val="right"/>
              <w:rPr>
                <w:rFonts w:ascii="Times New Roman" w:hAnsi="Times New Roman"/>
                <w:color w:val="000000"/>
                <w:sz w:val="20"/>
              </w:rPr>
            </w:pPr>
            <w:r w:rsidRPr="00F47672">
              <w:rPr>
                <w:rFonts w:ascii="Times New Roman" w:hAnsi="Times New Roman"/>
                <w:color w:val="000000"/>
                <w:sz w:val="20"/>
              </w:rPr>
              <w:t>197,40</w:t>
            </w:r>
          </w:p>
        </w:tc>
        <w:tc>
          <w:tcPr>
            <w:tcW w:w="499" w:type="pct"/>
            <w:tcBorders>
              <w:top w:val="nil"/>
              <w:left w:val="nil"/>
              <w:bottom w:val="single" w:sz="8" w:space="0" w:color="000000"/>
              <w:right w:val="single" w:sz="8" w:space="0" w:color="000000"/>
            </w:tcBorders>
            <w:shd w:val="clear" w:color="auto" w:fill="auto"/>
            <w:noWrap/>
            <w:vAlign w:val="center"/>
            <w:hideMark/>
          </w:tcPr>
          <w:p w14:paraId="42E93821" w14:textId="77777777" w:rsidR="00072FE5" w:rsidRPr="00F47672" w:rsidRDefault="00072FE5" w:rsidP="007267A6">
            <w:pPr>
              <w:jc w:val="right"/>
              <w:rPr>
                <w:rFonts w:ascii="Times New Roman" w:hAnsi="Times New Roman"/>
                <w:color w:val="000000"/>
                <w:sz w:val="20"/>
              </w:rPr>
            </w:pPr>
            <w:r w:rsidRPr="00F47672">
              <w:rPr>
                <w:rFonts w:ascii="Times New Roman" w:hAnsi="Times New Roman"/>
                <w:color w:val="000000"/>
                <w:sz w:val="20"/>
              </w:rPr>
              <w:t>212,21</w:t>
            </w:r>
          </w:p>
        </w:tc>
        <w:tc>
          <w:tcPr>
            <w:tcW w:w="459" w:type="pct"/>
            <w:tcBorders>
              <w:top w:val="nil"/>
              <w:left w:val="nil"/>
              <w:bottom w:val="single" w:sz="8" w:space="0" w:color="000000"/>
              <w:right w:val="single" w:sz="8" w:space="0" w:color="000000"/>
            </w:tcBorders>
            <w:shd w:val="clear" w:color="auto" w:fill="auto"/>
            <w:noWrap/>
            <w:vAlign w:val="center"/>
            <w:hideMark/>
          </w:tcPr>
          <w:p w14:paraId="081B112D" w14:textId="77777777" w:rsidR="00072FE5" w:rsidRPr="00F47672" w:rsidRDefault="00072FE5" w:rsidP="007267A6">
            <w:pPr>
              <w:jc w:val="right"/>
              <w:rPr>
                <w:rFonts w:ascii="Times New Roman" w:hAnsi="Times New Roman"/>
                <w:color w:val="000000"/>
                <w:sz w:val="20"/>
              </w:rPr>
            </w:pPr>
            <w:r w:rsidRPr="00F47672">
              <w:rPr>
                <w:rFonts w:ascii="Times New Roman" w:hAnsi="Times New Roman"/>
                <w:color w:val="000000"/>
                <w:sz w:val="20"/>
              </w:rPr>
              <w:t>107,50</w:t>
            </w:r>
          </w:p>
        </w:tc>
        <w:tc>
          <w:tcPr>
            <w:tcW w:w="652" w:type="pct"/>
            <w:tcBorders>
              <w:top w:val="nil"/>
              <w:left w:val="nil"/>
              <w:bottom w:val="single" w:sz="8" w:space="0" w:color="000000"/>
              <w:right w:val="single" w:sz="8" w:space="0" w:color="000000"/>
            </w:tcBorders>
            <w:shd w:val="clear" w:color="auto" w:fill="auto"/>
            <w:noWrap/>
            <w:vAlign w:val="center"/>
            <w:hideMark/>
          </w:tcPr>
          <w:p w14:paraId="116E8DE5" w14:textId="77777777" w:rsidR="00072FE5" w:rsidRPr="00F47672" w:rsidRDefault="00072FE5" w:rsidP="007267A6">
            <w:pPr>
              <w:jc w:val="right"/>
              <w:rPr>
                <w:rFonts w:ascii="Times New Roman" w:hAnsi="Times New Roman"/>
                <w:color w:val="000000"/>
                <w:sz w:val="20"/>
              </w:rPr>
            </w:pPr>
            <w:r w:rsidRPr="00F47672">
              <w:rPr>
                <w:rFonts w:ascii="Times New Roman" w:hAnsi="Times New Roman"/>
                <w:color w:val="000000"/>
                <w:sz w:val="20"/>
              </w:rPr>
              <w:t>7,42%</w:t>
            </w:r>
          </w:p>
        </w:tc>
        <w:tc>
          <w:tcPr>
            <w:tcW w:w="489" w:type="pct"/>
            <w:tcBorders>
              <w:top w:val="nil"/>
              <w:left w:val="nil"/>
              <w:bottom w:val="single" w:sz="8" w:space="0" w:color="000000"/>
              <w:right w:val="single" w:sz="8" w:space="0" w:color="000000"/>
            </w:tcBorders>
            <w:shd w:val="clear" w:color="auto" w:fill="auto"/>
            <w:noWrap/>
            <w:vAlign w:val="center"/>
            <w:hideMark/>
          </w:tcPr>
          <w:p w14:paraId="5946338D" w14:textId="77777777" w:rsidR="00072FE5" w:rsidRPr="00F47672" w:rsidRDefault="00072FE5" w:rsidP="007267A6">
            <w:pPr>
              <w:jc w:val="right"/>
              <w:rPr>
                <w:rFonts w:ascii="Times New Roman" w:hAnsi="Times New Roman"/>
                <w:color w:val="000000"/>
                <w:sz w:val="20"/>
              </w:rPr>
            </w:pPr>
            <w:r w:rsidRPr="00F47672">
              <w:rPr>
                <w:rFonts w:ascii="Times New Roman" w:hAnsi="Times New Roman"/>
                <w:color w:val="000000"/>
                <w:sz w:val="20"/>
              </w:rPr>
              <w:t>7,71%</w:t>
            </w:r>
          </w:p>
        </w:tc>
      </w:tr>
      <w:tr w:rsidR="00F41FBC" w:rsidRPr="0090217D" w14:paraId="3B230371" w14:textId="77777777" w:rsidTr="00F41FBC">
        <w:trPr>
          <w:trHeight w:val="315"/>
        </w:trPr>
        <w:tc>
          <w:tcPr>
            <w:tcW w:w="2402" w:type="pct"/>
            <w:tcBorders>
              <w:top w:val="nil"/>
              <w:left w:val="single" w:sz="8" w:space="0" w:color="000000"/>
              <w:bottom w:val="single" w:sz="8" w:space="0" w:color="000000"/>
              <w:right w:val="single" w:sz="8" w:space="0" w:color="000000"/>
            </w:tcBorders>
            <w:shd w:val="clear" w:color="auto" w:fill="auto"/>
            <w:vAlign w:val="center"/>
            <w:hideMark/>
          </w:tcPr>
          <w:p w14:paraId="7BF55FE5" w14:textId="77777777" w:rsidR="00072FE5" w:rsidRPr="0090217D" w:rsidRDefault="00072FE5" w:rsidP="007267A6">
            <w:pPr>
              <w:rPr>
                <w:rFonts w:ascii="Times New Roman" w:hAnsi="Times New Roman"/>
                <w:color w:val="000000"/>
                <w:sz w:val="20"/>
              </w:rPr>
            </w:pPr>
            <w:r w:rsidRPr="0090217D">
              <w:rPr>
                <w:rFonts w:ascii="Times New Roman" w:hAnsi="Times New Roman"/>
                <w:color w:val="000000"/>
                <w:sz w:val="20"/>
              </w:rPr>
              <w:t>Остали текући расходи</w:t>
            </w:r>
          </w:p>
        </w:tc>
        <w:tc>
          <w:tcPr>
            <w:tcW w:w="499" w:type="pct"/>
            <w:tcBorders>
              <w:top w:val="nil"/>
              <w:left w:val="nil"/>
              <w:bottom w:val="single" w:sz="8" w:space="0" w:color="000000"/>
              <w:right w:val="single" w:sz="8" w:space="0" w:color="000000"/>
            </w:tcBorders>
            <w:shd w:val="clear" w:color="auto" w:fill="auto"/>
            <w:noWrap/>
            <w:vAlign w:val="center"/>
            <w:hideMark/>
          </w:tcPr>
          <w:p w14:paraId="0F6CBCB8" w14:textId="77777777" w:rsidR="00072FE5" w:rsidRPr="00F47672" w:rsidRDefault="00072FE5" w:rsidP="007267A6">
            <w:pPr>
              <w:jc w:val="right"/>
              <w:rPr>
                <w:rFonts w:ascii="Times New Roman" w:hAnsi="Times New Roman"/>
                <w:color w:val="000000"/>
                <w:sz w:val="20"/>
              </w:rPr>
            </w:pPr>
            <w:r w:rsidRPr="00F47672">
              <w:rPr>
                <w:rFonts w:ascii="Times New Roman" w:hAnsi="Times New Roman"/>
                <w:color w:val="000000"/>
                <w:sz w:val="20"/>
              </w:rPr>
              <w:t>53,73</w:t>
            </w:r>
          </w:p>
        </w:tc>
        <w:tc>
          <w:tcPr>
            <w:tcW w:w="499" w:type="pct"/>
            <w:tcBorders>
              <w:top w:val="nil"/>
              <w:left w:val="nil"/>
              <w:bottom w:val="single" w:sz="8" w:space="0" w:color="000000"/>
              <w:right w:val="single" w:sz="8" w:space="0" w:color="000000"/>
            </w:tcBorders>
            <w:shd w:val="clear" w:color="auto" w:fill="auto"/>
            <w:noWrap/>
            <w:vAlign w:val="center"/>
            <w:hideMark/>
          </w:tcPr>
          <w:p w14:paraId="5990A14E" w14:textId="77777777" w:rsidR="00072FE5" w:rsidRPr="00F47672" w:rsidRDefault="00072FE5" w:rsidP="007267A6">
            <w:pPr>
              <w:jc w:val="right"/>
              <w:rPr>
                <w:rFonts w:ascii="Times New Roman" w:hAnsi="Times New Roman"/>
                <w:color w:val="000000"/>
                <w:sz w:val="20"/>
              </w:rPr>
            </w:pPr>
            <w:r w:rsidRPr="00F47672">
              <w:rPr>
                <w:rFonts w:ascii="Times New Roman" w:hAnsi="Times New Roman"/>
                <w:color w:val="000000"/>
                <w:sz w:val="20"/>
              </w:rPr>
              <w:t>51,82</w:t>
            </w:r>
          </w:p>
        </w:tc>
        <w:tc>
          <w:tcPr>
            <w:tcW w:w="459" w:type="pct"/>
            <w:tcBorders>
              <w:top w:val="nil"/>
              <w:left w:val="nil"/>
              <w:bottom w:val="single" w:sz="8" w:space="0" w:color="000000"/>
              <w:right w:val="single" w:sz="8" w:space="0" w:color="000000"/>
            </w:tcBorders>
            <w:shd w:val="clear" w:color="auto" w:fill="auto"/>
            <w:noWrap/>
            <w:vAlign w:val="center"/>
            <w:hideMark/>
          </w:tcPr>
          <w:p w14:paraId="1C890B99" w14:textId="77777777" w:rsidR="00072FE5" w:rsidRPr="00F47672" w:rsidRDefault="00072FE5" w:rsidP="007267A6">
            <w:pPr>
              <w:jc w:val="right"/>
              <w:rPr>
                <w:rFonts w:ascii="Times New Roman" w:hAnsi="Times New Roman"/>
                <w:color w:val="000000"/>
                <w:sz w:val="20"/>
              </w:rPr>
            </w:pPr>
            <w:r w:rsidRPr="00F47672">
              <w:rPr>
                <w:rFonts w:ascii="Times New Roman" w:hAnsi="Times New Roman"/>
                <w:color w:val="000000"/>
                <w:sz w:val="20"/>
              </w:rPr>
              <w:t>96,45</w:t>
            </w:r>
          </w:p>
        </w:tc>
        <w:tc>
          <w:tcPr>
            <w:tcW w:w="652" w:type="pct"/>
            <w:tcBorders>
              <w:top w:val="nil"/>
              <w:left w:val="nil"/>
              <w:bottom w:val="single" w:sz="8" w:space="0" w:color="000000"/>
              <w:right w:val="single" w:sz="8" w:space="0" w:color="000000"/>
            </w:tcBorders>
            <w:shd w:val="clear" w:color="auto" w:fill="auto"/>
            <w:noWrap/>
            <w:vAlign w:val="center"/>
            <w:hideMark/>
          </w:tcPr>
          <w:p w14:paraId="508EB363" w14:textId="77777777" w:rsidR="00072FE5" w:rsidRPr="00F47672" w:rsidRDefault="00072FE5" w:rsidP="007267A6">
            <w:pPr>
              <w:jc w:val="right"/>
              <w:rPr>
                <w:rFonts w:ascii="Times New Roman" w:hAnsi="Times New Roman"/>
                <w:color w:val="000000"/>
                <w:sz w:val="20"/>
              </w:rPr>
            </w:pPr>
            <w:r w:rsidRPr="00F47672">
              <w:rPr>
                <w:rFonts w:ascii="Times New Roman" w:hAnsi="Times New Roman"/>
                <w:color w:val="000000"/>
                <w:sz w:val="20"/>
              </w:rPr>
              <w:t>2,02%</w:t>
            </w:r>
          </w:p>
        </w:tc>
        <w:tc>
          <w:tcPr>
            <w:tcW w:w="489" w:type="pct"/>
            <w:tcBorders>
              <w:top w:val="nil"/>
              <w:left w:val="nil"/>
              <w:bottom w:val="single" w:sz="8" w:space="0" w:color="000000"/>
              <w:right w:val="single" w:sz="8" w:space="0" w:color="000000"/>
            </w:tcBorders>
            <w:shd w:val="clear" w:color="auto" w:fill="auto"/>
            <w:noWrap/>
            <w:vAlign w:val="center"/>
            <w:hideMark/>
          </w:tcPr>
          <w:p w14:paraId="0D84CFC2" w14:textId="77777777" w:rsidR="00072FE5" w:rsidRPr="00F47672" w:rsidRDefault="00072FE5" w:rsidP="007267A6">
            <w:pPr>
              <w:jc w:val="right"/>
              <w:rPr>
                <w:rFonts w:ascii="Times New Roman" w:hAnsi="Times New Roman"/>
                <w:color w:val="000000"/>
                <w:sz w:val="20"/>
              </w:rPr>
            </w:pPr>
            <w:r w:rsidRPr="00F47672">
              <w:rPr>
                <w:rFonts w:ascii="Times New Roman" w:hAnsi="Times New Roman"/>
                <w:color w:val="000000"/>
                <w:sz w:val="20"/>
              </w:rPr>
              <w:t>1,88%</w:t>
            </w:r>
          </w:p>
        </w:tc>
      </w:tr>
      <w:tr w:rsidR="00F41FBC" w:rsidRPr="0090217D" w14:paraId="193476A9" w14:textId="77777777" w:rsidTr="00F41FBC">
        <w:trPr>
          <w:trHeight w:val="315"/>
        </w:trPr>
        <w:tc>
          <w:tcPr>
            <w:tcW w:w="2402" w:type="pct"/>
            <w:tcBorders>
              <w:top w:val="nil"/>
              <w:left w:val="single" w:sz="8" w:space="0" w:color="000000"/>
              <w:bottom w:val="single" w:sz="8" w:space="0" w:color="000000"/>
              <w:right w:val="single" w:sz="8" w:space="0" w:color="000000"/>
            </w:tcBorders>
            <w:shd w:val="clear" w:color="auto" w:fill="auto"/>
            <w:noWrap/>
            <w:vAlign w:val="center"/>
            <w:hideMark/>
          </w:tcPr>
          <w:p w14:paraId="4947E835" w14:textId="77777777" w:rsidR="00072FE5" w:rsidRPr="0090217D" w:rsidRDefault="00072FE5" w:rsidP="007267A6">
            <w:pPr>
              <w:rPr>
                <w:rFonts w:ascii="Times New Roman" w:hAnsi="Times New Roman"/>
                <w:b/>
                <w:bCs/>
                <w:color w:val="000000"/>
                <w:sz w:val="20"/>
              </w:rPr>
            </w:pPr>
            <w:r w:rsidRPr="0090217D">
              <w:rPr>
                <w:rFonts w:ascii="Times New Roman" w:hAnsi="Times New Roman"/>
                <w:b/>
                <w:bCs/>
                <w:color w:val="000000"/>
                <w:sz w:val="20"/>
              </w:rPr>
              <w:t>Издаци за нефинансијску имовину</w:t>
            </w:r>
          </w:p>
        </w:tc>
        <w:tc>
          <w:tcPr>
            <w:tcW w:w="499" w:type="pct"/>
            <w:tcBorders>
              <w:top w:val="nil"/>
              <w:left w:val="nil"/>
              <w:bottom w:val="single" w:sz="8" w:space="0" w:color="000000"/>
              <w:right w:val="single" w:sz="8" w:space="0" w:color="000000"/>
            </w:tcBorders>
            <w:shd w:val="clear" w:color="auto" w:fill="auto"/>
            <w:noWrap/>
            <w:vAlign w:val="center"/>
            <w:hideMark/>
          </w:tcPr>
          <w:p w14:paraId="66A41125" w14:textId="77777777" w:rsidR="00072FE5" w:rsidRPr="00F47672" w:rsidRDefault="00072FE5" w:rsidP="007267A6">
            <w:pPr>
              <w:jc w:val="right"/>
              <w:rPr>
                <w:rFonts w:ascii="Times New Roman" w:hAnsi="Times New Roman"/>
                <w:b/>
                <w:bCs/>
                <w:color w:val="000000"/>
                <w:sz w:val="20"/>
              </w:rPr>
            </w:pPr>
            <w:r w:rsidRPr="00F47672">
              <w:rPr>
                <w:rFonts w:ascii="Times New Roman" w:hAnsi="Times New Roman"/>
                <w:b/>
                <w:bCs/>
                <w:color w:val="000000"/>
                <w:sz w:val="20"/>
              </w:rPr>
              <w:t>612,59</w:t>
            </w:r>
          </w:p>
        </w:tc>
        <w:tc>
          <w:tcPr>
            <w:tcW w:w="499" w:type="pct"/>
            <w:tcBorders>
              <w:top w:val="nil"/>
              <w:left w:val="nil"/>
              <w:bottom w:val="single" w:sz="8" w:space="0" w:color="000000"/>
              <w:right w:val="single" w:sz="8" w:space="0" w:color="000000"/>
            </w:tcBorders>
            <w:shd w:val="clear" w:color="auto" w:fill="auto"/>
            <w:noWrap/>
            <w:vAlign w:val="center"/>
            <w:hideMark/>
          </w:tcPr>
          <w:p w14:paraId="3F3294C1" w14:textId="77777777" w:rsidR="00072FE5" w:rsidRPr="00F47672" w:rsidRDefault="00072FE5" w:rsidP="007267A6">
            <w:pPr>
              <w:jc w:val="right"/>
              <w:rPr>
                <w:rFonts w:ascii="Times New Roman" w:hAnsi="Times New Roman"/>
                <w:b/>
                <w:bCs/>
                <w:color w:val="000000"/>
                <w:sz w:val="20"/>
              </w:rPr>
            </w:pPr>
            <w:r w:rsidRPr="00F47672">
              <w:rPr>
                <w:rFonts w:ascii="Times New Roman" w:hAnsi="Times New Roman"/>
                <w:b/>
                <w:bCs/>
                <w:color w:val="000000"/>
                <w:sz w:val="20"/>
              </w:rPr>
              <w:t>603,28</w:t>
            </w:r>
          </w:p>
        </w:tc>
        <w:tc>
          <w:tcPr>
            <w:tcW w:w="459" w:type="pct"/>
            <w:tcBorders>
              <w:top w:val="nil"/>
              <w:left w:val="nil"/>
              <w:bottom w:val="single" w:sz="8" w:space="0" w:color="000000"/>
              <w:right w:val="single" w:sz="8" w:space="0" w:color="000000"/>
            </w:tcBorders>
            <w:shd w:val="clear" w:color="auto" w:fill="auto"/>
            <w:noWrap/>
            <w:vAlign w:val="center"/>
            <w:hideMark/>
          </w:tcPr>
          <w:p w14:paraId="12818190" w14:textId="77777777" w:rsidR="00072FE5" w:rsidRPr="00F47672" w:rsidRDefault="00072FE5" w:rsidP="007267A6">
            <w:pPr>
              <w:jc w:val="right"/>
              <w:rPr>
                <w:rFonts w:ascii="Times New Roman" w:hAnsi="Times New Roman"/>
                <w:b/>
                <w:bCs/>
                <w:color w:val="000000"/>
                <w:sz w:val="20"/>
              </w:rPr>
            </w:pPr>
            <w:r w:rsidRPr="00F47672">
              <w:rPr>
                <w:rFonts w:ascii="Times New Roman" w:hAnsi="Times New Roman"/>
                <w:b/>
                <w:bCs/>
                <w:color w:val="000000"/>
                <w:sz w:val="20"/>
              </w:rPr>
              <w:t>98,48</w:t>
            </w:r>
          </w:p>
        </w:tc>
        <w:tc>
          <w:tcPr>
            <w:tcW w:w="652" w:type="pct"/>
            <w:tcBorders>
              <w:top w:val="nil"/>
              <w:left w:val="nil"/>
              <w:bottom w:val="single" w:sz="8" w:space="0" w:color="000000"/>
              <w:right w:val="single" w:sz="8" w:space="0" w:color="000000"/>
            </w:tcBorders>
            <w:shd w:val="clear" w:color="auto" w:fill="auto"/>
            <w:noWrap/>
            <w:vAlign w:val="center"/>
            <w:hideMark/>
          </w:tcPr>
          <w:p w14:paraId="0D5435CD" w14:textId="77777777" w:rsidR="00072FE5" w:rsidRPr="00F47672" w:rsidRDefault="00072FE5" w:rsidP="007267A6">
            <w:pPr>
              <w:jc w:val="right"/>
              <w:rPr>
                <w:rFonts w:ascii="Times New Roman" w:hAnsi="Times New Roman"/>
                <w:b/>
                <w:bCs/>
                <w:color w:val="000000"/>
                <w:sz w:val="20"/>
              </w:rPr>
            </w:pPr>
            <w:r w:rsidRPr="00F47672">
              <w:rPr>
                <w:rFonts w:ascii="Times New Roman" w:hAnsi="Times New Roman"/>
                <w:b/>
                <w:bCs/>
                <w:color w:val="000000"/>
                <w:sz w:val="20"/>
              </w:rPr>
              <w:t>23,03%</w:t>
            </w:r>
          </w:p>
        </w:tc>
        <w:tc>
          <w:tcPr>
            <w:tcW w:w="489" w:type="pct"/>
            <w:tcBorders>
              <w:top w:val="nil"/>
              <w:left w:val="nil"/>
              <w:bottom w:val="single" w:sz="8" w:space="0" w:color="000000"/>
              <w:right w:val="single" w:sz="8" w:space="0" w:color="000000"/>
            </w:tcBorders>
            <w:shd w:val="clear" w:color="auto" w:fill="auto"/>
            <w:noWrap/>
            <w:vAlign w:val="center"/>
            <w:hideMark/>
          </w:tcPr>
          <w:p w14:paraId="72A0ADB2" w14:textId="77777777" w:rsidR="00072FE5" w:rsidRPr="00F47672" w:rsidRDefault="00072FE5" w:rsidP="007267A6">
            <w:pPr>
              <w:jc w:val="right"/>
              <w:rPr>
                <w:rFonts w:ascii="Times New Roman" w:hAnsi="Times New Roman"/>
                <w:b/>
                <w:bCs/>
                <w:color w:val="000000"/>
                <w:sz w:val="20"/>
              </w:rPr>
            </w:pPr>
            <w:r w:rsidRPr="00F47672">
              <w:rPr>
                <w:rFonts w:ascii="Times New Roman" w:hAnsi="Times New Roman"/>
                <w:b/>
                <w:bCs/>
                <w:color w:val="000000"/>
                <w:sz w:val="20"/>
              </w:rPr>
              <w:t>21,92%</w:t>
            </w:r>
          </w:p>
        </w:tc>
      </w:tr>
      <w:tr w:rsidR="00F41FBC" w:rsidRPr="0090217D" w14:paraId="18208B3B" w14:textId="77777777" w:rsidTr="00F41FBC">
        <w:trPr>
          <w:trHeight w:val="525"/>
        </w:trPr>
        <w:tc>
          <w:tcPr>
            <w:tcW w:w="2402" w:type="pct"/>
            <w:tcBorders>
              <w:top w:val="nil"/>
              <w:left w:val="single" w:sz="8" w:space="0" w:color="000000"/>
              <w:bottom w:val="single" w:sz="8" w:space="0" w:color="000000"/>
              <w:right w:val="single" w:sz="8" w:space="0" w:color="000000"/>
            </w:tcBorders>
            <w:shd w:val="clear" w:color="auto" w:fill="auto"/>
            <w:vAlign w:val="center"/>
            <w:hideMark/>
          </w:tcPr>
          <w:p w14:paraId="0CB8E194" w14:textId="77777777" w:rsidR="00072FE5" w:rsidRPr="0090217D" w:rsidRDefault="00072FE5" w:rsidP="007267A6">
            <w:pPr>
              <w:rPr>
                <w:rFonts w:ascii="Times New Roman" w:hAnsi="Times New Roman"/>
                <w:b/>
                <w:bCs/>
                <w:color w:val="000000"/>
                <w:sz w:val="20"/>
              </w:rPr>
            </w:pPr>
            <w:r w:rsidRPr="0090217D">
              <w:rPr>
                <w:rFonts w:ascii="Times New Roman" w:hAnsi="Times New Roman"/>
                <w:b/>
                <w:bCs/>
                <w:color w:val="000000"/>
                <w:sz w:val="20"/>
              </w:rPr>
              <w:t xml:space="preserve">Издаци за отплату главнице (у циљу спровођења јавних политика)                                           </w:t>
            </w:r>
          </w:p>
        </w:tc>
        <w:tc>
          <w:tcPr>
            <w:tcW w:w="499" w:type="pct"/>
            <w:tcBorders>
              <w:top w:val="nil"/>
              <w:left w:val="nil"/>
              <w:bottom w:val="single" w:sz="8" w:space="0" w:color="000000"/>
              <w:right w:val="single" w:sz="8" w:space="0" w:color="000000"/>
            </w:tcBorders>
            <w:shd w:val="clear" w:color="auto" w:fill="auto"/>
            <w:noWrap/>
            <w:vAlign w:val="center"/>
            <w:hideMark/>
          </w:tcPr>
          <w:p w14:paraId="2BB29660" w14:textId="77777777" w:rsidR="00072FE5" w:rsidRPr="00F47672" w:rsidRDefault="00072FE5" w:rsidP="007267A6">
            <w:pPr>
              <w:jc w:val="right"/>
              <w:rPr>
                <w:rFonts w:ascii="Times New Roman" w:hAnsi="Times New Roman"/>
                <w:b/>
                <w:bCs/>
                <w:color w:val="000000"/>
                <w:sz w:val="20"/>
              </w:rPr>
            </w:pPr>
            <w:r w:rsidRPr="00F47672">
              <w:rPr>
                <w:rFonts w:ascii="Times New Roman" w:hAnsi="Times New Roman"/>
                <w:b/>
                <w:bCs/>
                <w:color w:val="000000"/>
                <w:sz w:val="20"/>
              </w:rPr>
              <w:t>22,05</w:t>
            </w:r>
          </w:p>
        </w:tc>
        <w:tc>
          <w:tcPr>
            <w:tcW w:w="499" w:type="pct"/>
            <w:tcBorders>
              <w:top w:val="nil"/>
              <w:left w:val="nil"/>
              <w:bottom w:val="single" w:sz="8" w:space="0" w:color="000000"/>
              <w:right w:val="single" w:sz="8" w:space="0" w:color="000000"/>
            </w:tcBorders>
            <w:shd w:val="clear" w:color="auto" w:fill="auto"/>
            <w:noWrap/>
            <w:vAlign w:val="center"/>
            <w:hideMark/>
          </w:tcPr>
          <w:p w14:paraId="7D3FAFC5" w14:textId="77777777" w:rsidR="00072FE5" w:rsidRPr="00F47672" w:rsidRDefault="00072FE5" w:rsidP="007267A6">
            <w:pPr>
              <w:jc w:val="right"/>
              <w:rPr>
                <w:rFonts w:ascii="Times New Roman" w:hAnsi="Times New Roman"/>
                <w:b/>
                <w:bCs/>
                <w:color w:val="000000"/>
                <w:sz w:val="20"/>
              </w:rPr>
            </w:pPr>
            <w:r w:rsidRPr="00F47672">
              <w:rPr>
                <w:rFonts w:ascii="Times New Roman" w:hAnsi="Times New Roman"/>
                <w:b/>
                <w:bCs/>
                <w:color w:val="000000"/>
                <w:sz w:val="20"/>
              </w:rPr>
              <w:t>23,70</w:t>
            </w:r>
          </w:p>
        </w:tc>
        <w:tc>
          <w:tcPr>
            <w:tcW w:w="459" w:type="pct"/>
            <w:tcBorders>
              <w:top w:val="nil"/>
              <w:left w:val="nil"/>
              <w:bottom w:val="single" w:sz="8" w:space="0" w:color="000000"/>
              <w:right w:val="single" w:sz="8" w:space="0" w:color="000000"/>
            </w:tcBorders>
            <w:shd w:val="clear" w:color="auto" w:fill="auto"/>
            <w:noWrap/>
            <w:vAlign w:val="center"/>
            <w:hideMark/>
          </w:tcPr>
          <w:p w14:paraId="0F47230A" w14:textId="77777777" w:rsidR="00072FE5" w:rsidRPr="00F47672" w:rsidRDefault="00072FE5" w:rsidP="007267A6">
            <w:pPr>
              <w:jc w:val="right"/>
              <w:rPr>
                <w:rFonts w:ascii="Times New Roman" w:hAnsi="Times New Roman"/>
                <w:b/>
                <w:bCs/>
                <w:color w:val="000000"/>
                <w:sz w:val="20"/>
              </w:rPr>
            </w:pPr>
            <w:r w:rsidRPr="00F47672">
              <w:rPr>
                <w:rFonts w:ascii="Times New Roman" w:hAnsi="Times New Roman"/>
                <w:b/>
                <w:bCs/>
                <w:color w:val="000000"/>
                <w:sz w:val="20"/>
              </w:rPr>
              <w:t>107,46</w:t>
            </w:r>
          </w:p>
        </w:tc>
        <w:tc>
          <w:tcPr>
            <w:tcW w:w="652" w:type="pct"/>
            <w:tcBorders>
              <w:top w:val="nil"/>
              <w:left w:val="nil"/>
              <w:bottom w:val="single" w:sz="8" w:space="0" w:color="000000"/>
              <w:right w:val="single" w:sz="8" w:space="0" w:color="000000"/>
            </w:tcBorders>
            <w:shd w:val="clear" w:color="auto" w:fill="auto"/>
            <w:noWrap/>
            <w:vAlign w:val="center"/>
            <w:hideMark/>
          </w:tcPr>
          <w:p w14:paraId="3717DD85" w14:textId="77777777" w:rsidR="00072FE5" w:rsidRPr="00F47672" w:rsidRDefault="00072FE5" w:rsidP="007267A6">
            <w:pPr>
              <w:jc w:val="right"/>
              <w:rPr>
                <w:rFonts w:ascii="Times New Roman" w:hAnsi="Times New Roman"/>
                <w:b/>
                <w:bCs/>
                <w:color w:val="000000"/>
                <w:sz w:val="20"/>
              </w:rPr>
            </w:pPr>
            <w:r w:rsidRPr="00F47672">
              <w:rPr>
                <w:rFonts w:ascii="Times New Roman" w:hAnsi="Times New Roman"/>
                <w:b/>
                <w:bCs/>
                <w:color w:val="000000"/>
                <w:sz w:val="20"/>
              </w:rPr>
              <w:t>0,83%</w:t>
            </w:r>
          </w:p>
        </w:tc>
        <w:tc>
          <w:tcPr>
            <w:tcW w:w="489" w:type="pct"/>
            <w:tcBorders>
              <w:top w:val="nil"/>
              <w:left w:val="nil"/>
              <w:bottom w:val="single" w:sz="8" w:space="0" w:color="000000"/>
              <w:right w:val="single" w:sz="8" w:space="0" w:color="000000"/>
            </w:tcBorders>
            <w:shd w:val="clear" w:color="auto" w:fill="auto"/>
            <w:noWrap/>
            <w:vAlign w:val="center"/>
            <w:hideMark/>
          </w:tcPr>
          <w:p w14:paraId="299A1B92" w14:textId="77777777" w:rsidR="00072FE5" w:rsidRPr="00F47672" w:rsidRDefault="00072FE5" w:rsidP="007267A6">
            <w:pPr>
              <w:jc w:val="right"/>
              <w:rPr>
                <w:rFonts w:ascii="Times New Roman" w:hAnsi="Times New Roman"/>
                <w:b/>
                <w:bCs/>
                <w:color w:val="000000"/>
                <w:sz w:val="20"/>
              </w:rPr>
            </w:pPr>
            <w:r w:rsidRPr="00F47672">
              <w:rPr>
                <w:rFonts w:ascii="Times New Roman" w:hAnsi="Times New Roman"/>
                <w:b/>
                <w:bCs/>
                <w:color w:val="000000"/>
                <w:sz w:val="20"/>
              </w:rPr>
              <w:t>0,86%</w:t>
            </w:r>
          </w:p>
        </w:tc>
      </w:tr>
      <w:tr w:rsidR="00F41FBC" w:rsidRPr="0090217D" w14:paraId="1FC2147B" w14:textId="77777777" w:rsidTr="00F41FBC">
        <w:trPr>
          <w:trHeight w:val="525"/>
        </w:trPr>
        <w:tc>
          <w:tcPr>
            <w:tcW w:w="2402" w:type="pct"/>
            <w:tcBorders>
              <w:top w:val="nil"/>
              <w:left w:val="single" w:sz="8" w:space="0" w:color="000000"/>
              <w:bottom w:val="single" w:sz="8" w:space="0" w:color="000000"/>
              <w:right w:val="single" w:sz="8" w:space="0" w:color="000000"/>
            </w:tcBorders>
            <w:shd w:val="clear" w:color="auto" w:fill="auto"/>
            <w:vAlign w:val="center"/>
            <w:hideMark/>
          </w:tcPr>
          <w:p w14:paraId="338A0C15" w14:textId="77777777" w:rsidR="00072FE5" w:rsidRPr="0090217D" w:rsidRDefault="00072FE5" w:rsidP="007267A6">
            <w:pPr>
              <w:rPr>
                <w:rFonts w:ascii="Times New Roman" w:hAnsi="Times New Roman"/>
                <w:b/>
                <w:bCs/>
                <w:color w:val="000000"/>
                <w:sz w:val="20"/>
              </w:rPr>
            </w:pPr>
            <w:r w:rsidRPr="0090217D">
              <w:rPr>
                <w:rFonts w:ascii="Times New Roman" w:hAnsi="Times New Roman"/>
                <w:b/>
                <w:bCs/>
                <w:color w:val="000000"/>
                <w:sz w:val="20"/>
              </w:rPr>
              <w:t xml:space="preserve">Издаци за набавку финансијске имовине  (у циљу спровођења јавних политика)                                           </w:t>
            </w:r>
          </w:p>
        </w:tc>
        <w:tc>
          <w:tcPr>
            <w:tcW w:w="499" w:type="pct"/>
            <w:tcBorders>
              <w:top w:val="nil"/>
              <w:left w:val="nil"/>
              <w:bottom w:val="single" w:sz="8" w:space="0" w:color="000000"/>
              <w:right w:val="single" w:sz="8" w:space="0" w:color="000000"/>
            </w:tcBorders>
            <w:shd w:val="clear" w:color="auto" w:fill="auto"/>
            <w:noWrap/>
            <w:vAlign w:val="center"/>
            <w:hideMark/>
          </w:tcPr>
          <w:p w14:paraId="51FE5D91" w14:textId="77777777" w:rsidR="00072FE5" w:rsidRPr="00F47672" w:rsidRDefault="00072FE5" w:rsidP="007267A6">
            <w:pPr>
              <w:jc w:val="right"/>
              <w:rPr>
                <w:rFonts w:ascii="Times New Roman" w:hAnsi="Times New Roman"/>
                <w:b/>
                <w:bCs/>
                <w:color w:val="000000"/>
                <w:sz w:val="20"/>
              </w:rPr>
            </w:pPr>
            <w:r w:rsidRPr="00F47672">
              <w:rPr>
                <w:rFonts w:ascii="Times New Roman" w:hAnsi="Times New Roman"/>
                <w:b/>
                <w:bCs/>
                <w:color w:val="000000"/>
                <w:sz w:val="20"/>
              </w:rPr>
              <w:t>23,45</w:t>
            </w:r>
          </w:p>
        </w:tc>
        <w:tc>
          <w:tcPr>
            <w:tcW w:w="499" w:type="pct"/>
            <w:tcBorders>
              <w:top w:val="nil"/>
              <w:left w:val="nil"/>
              <w:bottom w:val="single" w:sz="8" w:space="0" w:color="000000"/>
              <w:right w:val="single" w:sz="8" w:space="0" w:color="000000"/>
            </w:tcBorders>
            <w:shd w:val="clear" w:color="auto" w:fill="auto"/>
            <w:noWrap/>
            <w:vAlign w:val="center"/>
            <w:hideMark/>
          </w:tcPr>
          <w:p w14:paraId="265858A5" w14:textId="77777777" w:rsidR="00072FE5" w:rsidRPr="00F47672" w:rsidRDefault="00072FE5" w:rsidP="007267A6">
            <w:pPr>
              <w:jc w:val="right"/>
              <w:rPr>
                <w:rFonts w:ascii="Times New Roman" w:hAnsi="Times New Roman"/>
                <w:b/>
                <w:bCs/>
                <w:color w:val="000000"/>
                <w:sz w:val="20"/>
              </w:rPr>
            </w:pPr>
            <w:r w:rsidRPr="00F47672">
              <w:rPr>
                <w:rFonts w:ascii="Times New Roman" w:hAnsi="Times New Roman"/>
                <w:b/>
                <w:bCs/>
                <w:color w:val="000000"/>
                <w:sz w:val="20"/>
              </w:rPr>
              <w:t>13,48</w:t>
            </w:r>
          </w:p>
        </w:tc>
        <w:tc>
          <w:tcPr>
            <w:tcW w:w="459" w:type="pct"/>
            <w:tcBorders>
              <w:top w:val="nil"/>
              <w:left w:val="nil"/>
              <w:bottom w:val="single" w:sz="8" w:space="0" w:color="000000"/>
              <w:right w:val="single" w:sz="8" w:space="0" w:color="000000"/>
            </w:tcBorders>
            <w:shd w:val="clear" w:color="auto" w:fill="auto"/>
            <w:noWrap/>
            <w:vAlign w:val="center"/>
            <w:hideMark/>
          </w:tcPr>
          <w:p w14:paraId="264D8B08" w14:textId="77777777" w:rsidR="00072FE5" w:rsidRPr="00F47672" w:rsidRDefault="00072FE5" w:rsidP="007267A6">
            <w:pPr>
              <w:jc w:val="right"/>
              <w:rPr>
                <w:rFonts w:ascii="Times New Roman" w:hAnsi="Times New Roman"/>
                <w:b/>
                <w:bCs/>
                <w:color w:val="000000"/>
                <w:sz w:val="20"/>
              </w:rPr>
            </w:pPr>
            <w:r w:rsidRPr="00F47672">
              <w:rPr>
                <w:rFonts w:ascii="Times New Roman" w:hAnsi="Times New Roman"/>
                <w:b/>
                <w:bCs/>
                <w:color w:val="000000"/>
                <w:sz w:val="20"/>
              </w:rPr>
              <w:t>57,46</w:t>
            </w:r>
          </w:p>
        </w:tc>
        <w:tc>
          <w:tcPr>
            <w:tcW w:w="652" w:type="pct"/>
            <w:tcBorders>
              <w:top w:val="nil"/>
              <w:left w:val="nil"/>
              <w:bottom w:val="single" w:sz="8" w:space="0" w:color="000000"/>
              <w:right w:val="single" w:sz="8" w:space="0" w:color="000000"/>
            </w:tcBorders>
            <w:shd w:val="clear" w:color="auto" w:fill="auto"/>
            <w:noWrap/>
            <w:vAlign w:val="center"/>
            <w:hideMark/>
          </w:tcPr>
          <w:p w14:paraId="07DB8AA0" w14:textId="77777777" w:rsidR="00072FE5" w:rsidRPr="00F47672" w:rsidRDefault="00072FE5" w:rsidP="007267A6">
            <w:pPr>
              <w:jc w:val="right"/>
              <w:rPr>
                <w:rFonts w:ascii="Times New Roman" w:hAnsi="Times New Roman"/>
                <w:b/>
                <w:bCs/>
                <w:color w:val="000000"/>
                <w:sz w:val="20"/>
              </w:rPr>
            </w:pPr>
            <w:r w:rsidRPr="00F47672">
              <w:rPr>
                <w:rFonts w:ascii="Times New Roman" w:hAnsi="Times New Roman"/>
                <w:b/>
                <w:bCs/>
                <w:color w:val="000000"/>
                <w:sz w:val="20"/>
              </w:rPr>
              <w:t>0,88%</w:t>
            </w:r>
          </w:p>
        </w:tc>
        <w:tc>
          <w:tcPr>
            <w:tcW w:w="489" w:type="pct"/>
            <w:tcBorders>
              <w:top w:val="nil"/>
              <w:left w:val="nil"/>
              <w:bottom w:val="single" w:sz="8" w:space="0" w:color="000000"/>
              <w:right w:val="single" w:sz="8" w:space="0" w:color="000000"/>
            </w:tcBorders>
            <w:shd w:val="clear" w:color="auto" w:fill="auto"/>
            <w:noWrap/>
            <w:vAlign w:val="center"/>
            <w:hideMark/>
          </w:tcPr>
          <w:p w14:paraId="0C61D200" w14:textId="77777777" w:rsidR="00072FE5" w:rsidRPr="00F47672" w:rsidRDefault="00072FE5" w:rsidP="007267A6">
            <w:pPr>
              <w:jc w:val="right"/>
              <w:rPr>
                <w:rFonts w:ascii="Times New Roman" w:hAnsi="Times New Roman"/>
                <w:b/>
                <w:bCs/>
                <w:color w:val="000000"/>
                <w:sz w:val="20"/>
              </w:rPr>
            </w:pPr>
            <w:r w:rsidRPr="00F47672">
              <w:rPr>
                <w:rFonts w:ascii="Times New Roman" w:hAnsi="Times New Roman"/>
                <w:b/>
                <w:bCs/>
                <w:color w:val="000000"/>
                <w:sz w:val="20"/>
              </w:rPr>
              <w:t>0,49%</w:t>
            </w:r>
          </w:p>
        </w:tc>
      </w:tr>
    </w:tbl>
    <w:p w14:paraId="04090D5C" w14:textId="77777777" w:rsidR="00433778" w:rsidRPr="00433778" w:rsidRDefault="00433778" w:rsidP="00761E0F">
      <w:pPr>
        <w:tabs>
          <w:tab w:val="left" w:pos="720"/>
        </w:tabs>
        <w:spacing w:after="120"/>
        <w:rPr>
          <w:rFonts w:ascii="Times New Roman" w:hAnsi="Times New Roman"/>
          <w:b/>
          <w:bCs/>
          <w:szCs w:val="24"/>
          <w:lang w:val="en-US"/>
        </w:rPr>
      </w:pPr>
    </w:p>
    <w:p w14:paraId="7588B5CD" w14:textId="1B94D171" w:rsidR="00A85EA2" w:rsidRPr="00C531A2" w:rsidRDefault="00EF196B" w:rsidP="00761E0F">
      <w:pPr>
        <w:tabs>
          <w:tab w:val="left" w:pos="720"/>
        </w:tabs>
        <w:spacing w:after="120"/>
        <w:rPr>
          <w:rFonts w:ascii="Times New Roman" w:hAnsi="Times New Roman"/>
          <w:b/>
          <w:bCs/>
          <w:szCs w:val="24"/>
        </w:rPr>
      </w:pPr>
      <w:r w:rsidRPr="00C531A2">
        <w:rPr>
          <w:rFonts w:ascii="Times New Roman" w:hAnsi="Times New Roman"/>
          <w:b/>
          <w:bCs/>
          <w:szCs w:val="24"/>
        </w:rPr>
        <w:t xml:space="preserve">Расходи и издаци буџета </w:t>
      </w:r>
      <w:r w:rsidR="00493E41" w:rsidRPr="00C531A2">
        <w:rPr>
          <w:rFonts w:ascii="Times New Roman" w:hAnsi="Times New Roman"/>
          <w:b/>
          <w:bCs/>
          <w:szCs w:val="24"/>
        </w:rPr>
        <w:t>202</w:t>
      </w:r>
      <w:r w:rsidR="009C75BB" w:rsidRPr="00C531A2">
        <w:rPr>
          <w:rFonts w:ascii="Times New Roman" w:hAnsi="Times New Roman"/>
          <w:b/>
          <w:bCs/>
          <w:szCs w:val="24"/>
        </w:rPr>
        <w:t>6</w:t>
      </w:r>
      <w:r w:rsidRPr="00C531A2">
        <w:rPr>
          <w:rFonts w:ascii="Times New Roman" w:hAnsi="Times New Roman"/>
          <w:b/>
          <w:bCs/>
          <w:szCs w:val="24"/>
        </w:rPr>
        <w:t>. години (у млрд динара)</w:t>
      </w:r>
    </w:p>
    <w:p w14:paraId="028B1944" w14:textId="10520884" w:rsidR="00AE51F8" w:rsidRPr="00C531A2" w:rsidRDefault="00AE51F8" w:rsidP="00A85EA2">
      <w:pPr>
        <w:spacing w:after="120"/>
        <w:ind w:firstLine="720"/>
        <w:contextualSpacing/>
        <w:rPr>
          <w:rFonts w:ascii="Times New Roman" w:eastAsia="Calibri" w:hAnsi="Times New Roman"/>
          <w:szCs w:val="24"/>
        </w:rPr>
      </w:pPr>
      <w:r w:rsidRPr="00C531A2">
        <w:rPr>
          <w:rFonts w:ascii="Times New Roman" w:eastAsia="Calibri" w:hAnsi="Times New Roman"/>
          <w:szCs w:val="24"/>
        </w:rPr>
        <w:t xml:space="preserve">У структури укупних расхода и издатака текући расходи износе </w:t>
      </w:r>
      <w:r w:rsidR="00C52189" w:rsidRPr="00C531A2">
        <w:rPr>
          <w:rFonts w:ascii="Times New Roman" w:eastAsia="Calibri" w:hAnsi="Times New Roman"/>
          <w:szCs w:val="24"/>
        </w:rPr>
        <w:t>2.</w:t>
      </w:r>
      <w:r w:rsidR="008674EB" w:rsidRPr="00C531A2">
        <w:rPr>
          <w:rFonts w:ascii="Times New Roman" w:eastAsia="Calibri" w:hAnsi="Times New Roman"/>
          <w:szCs w:val="24"/>
        </w:rPr>
        <w:t>111,</w:t>
      </w:r>
      <w:r w:rsidR="008C2AA3">
        <w:rPr>
          <w:rFonts w:ascii="Times New Roman" w:eastAsia="Calibri" w:hAnsi="Times New Roman"/>
          <w:szCs w:val="24"/>
        </w:rPr>
        <w:t>24</w:t>
      </w:r>
      <w:r w:rsidRPr="00C531A2">
        <w:rPr>
          <w:rFonts w:ascii="Times New Roman" w:eastAsia="Calibri" w:hAnsi="Times New Roman"/>
          <w:szCs w:val="24"/>
        </w:rPr>
        <w:t xml:space="preserve"> млрд динара или </w:t>
      </w:r>
      <w:r w:rsidR="00344155" w:rsidRPr="00C531A2">
        <w:rPr>
          <w:rFonts w:ascii="Times New Roman" w:eastAsia="Calibri" w:hAnsi="Times New Roman"/>
          <w:szCs w:val="24"/>
        </w:rPr>
        <w:t>76,7</w:t>
      </w:r>
      <w:r w:rsidR="008C2AA3">
        <w:rPr>
          <w:rFonts w:ascii="Times New Roman" w:eastAsia="Calibri" w:hAnsi="Times New Roman"/>
          <w:szCs w:val="24"/>
        </w:rPr>
        <w:t>2</w:t>
      </w:r>
      <w:r w:rsidR="005F2B5F" w:rsidRPr="00C531A2">
        <w:rPr>
          <w:rFonts w:ascii="Times New Roman" w:eastAsia="Calibri" w:hAnsi="Times New Roman"/>
          <w:szCs w:val="24"/>
        </w:rPr>
        <w:t>%</w:t>
      </w:r>
      <w:r w:rsidR="00725D9F" w:rsidRPr="00C531A2">
        <w:rPr>
          <w:rFonts w:ascii="Times New Roman" w:eastAsia="Calibri" w:hAnsi="Times New Roman"/>
          <w:szCs w:val="24"/>
        </w:rPr>
        <w:t>,</w:t>
      </w:r>
      <w:r w:rsidRPr="00C531A2">
        <w:rPr>
          <w:rFonts w:ascii="Times New Roman" w:eastAsia="Calibri" w:hAnsi="Times New Roman"/>
          <w:szCs w:val="24"/>
        </w:rPr>
        <w:t xml:space="preserve"> издаци за нефинансијску имовину износе </w:t>
      </w:r>
      <w:r w:rsidR="00344155" w:rsidRPr="00C531A2">
        <w:rPr>
          <w:rFonts w:ascii="Times New Roman" w:eastAsia="Calibri" w:hAnsi="Times New Roman"/>
          <w:szCs w:val="24"/>
        </w:rPr>
        <w:t>6</w:t>
      </w:r>
      <w:r w:rsidR="008674EB" w:rsidRPr="00C531A2">
        <w:rPr>
          <w:rFonts w:ascii="Times New Roman" w:eastAsia="Calibri" w:hAnsi="Times New Roman"/>
          <w:szCs w:val="24"/>
        </w:rPr>
        <w:t>03,</w:t>
      </w:r>
      <w:r w:rsidR="008C2AA3">
        <w:rPr>
          <w:rFonts w:ascii="Times New Roman" w:eastAsia="Calibri" w:hAnsi="Times New Roman"/>
          <w:szCs w:val="24"/>
        </w:rPr>
        <w:t>28</w:t>
      </w:r>
      <w:r w:rsidR="009C41BA" w:rsidRPr="00C531A2">
        <w:rPr>
          <w:rFonts w:ascii="Times New Roman" w:eastAsia="Calibri" w:hAnsi="Times New Roman"/>
          <w:szCs w:val="24"/>
        </w:rPr>
        <w:t xml:space="preserve"> </w:t>
      </w:r>
      <w:r w:rsidRPr="00C531A2">
        <w:rPr>
          <w:rFonts w:ascii="Times New Roman" w:eastAsia="Calibri" w:hAnsi="Times New Roman"/>
          <w:szCs w:val="24"/>
        </w:rPr>
        <w:t xml:space="preserve">млрд динара или </w:t>
      </w:r>
      <w:r w:rsidR="00805D83" w:rsidRPr="00C531A2">
        <w:rPr>
          <w:rFonts w:ascii="Times New Roman" w:eastAsia="Calibri" w:hAnsi="Times New Roman"/>
          <w:szCs w:val="24"/>
        </w:rPr>
        <w:t>2</w:t>
      </w:r>
      <w:r w:rsidR="00344155" w:rsidRPr="00C531A2">
        <w:rPr>
          <w:rFonts w:ascii="Times New Roman" w:eastAsia="Calibri" w:hAnsi="Times New Roman"/>
          <w:szCs w:val="24"/>
        </w:rPr>
        <w:t>1,</w:t>
      </w:r>
      <w:r w:rsidR="008674EB" w:rsidRPr="00C531A2">
        <w:rPr>
          <w:rFonts w:ascii="Times New Roman" w:eastAsia="Calibri" w:hAnsi="Times New Roman"/>
          <w:szCs w:val="24"/>
        </w:rPr>
        <w:t>92</w:t>
      </w:r>
      <w:r w:rsidRPr="00C531A2">
        <w:rPr>
          <w:rFonts w:ascii="Times New Roman" w:eastAsia="Calibri" w:hAnsi="Times New Roman"/>
          <w:szCs w:val="24"/>
        </w:rPr>
        <w:t xml:space="preserve">%. Остатак чине издаци за отплату главнице у циљу спровођења јавних политика у износу од </w:t>
      </w:r>
      <w:r w:rsidR="009C41BA" w:rsidRPr="00C531A2">
        <w:rPr>
          <w:rFonts w:ascii="Times New Roman" w:eastAsia="Calibri" w:hAnsi="Times New Roman"/>
          <w:szCs w:val="24"/>
        </w:rPr>
        <w:t>23,70</w:t>
      </w:r>
      <w:r w:rsidRPr="00C531A2">
        <w:rPr>
          <w:rFonts w:ascii="Times New Roman" w:eastAsia="Calibri" w:hAnsi="Times New Roman"/>
          <w:szCs w:val="24"/>
        </w:rPr>
        <w:t xml:space="preserve"> млрд динара или </w:t>
      </w:r>
      <w:r w:rsidR="005F2B5F" w:rsidRPr="00C531A2">
        <w:rPr>
          <w:rFonts w:ascii="Times New Roman" w:eastAsia="Calibri" w:hAnsi="Times New Roman"/>
          <w:szCs w:val="24"/>
        </w:rPr>
        <w:t>0,8</w:t>
      </w:r>
      <w:r w:rsidR="009C41BA" w:rsidRPr="00C531A2">
        <w:rPr>
          <w:rFonts w:ascii="Times New Roman" w:eastAsia="Calibri" w:hAnsi="Times New Roman"/>
          <w:szCs w:val="24"/>
        </w:rPr>
        <w:t>6</w:t>
      </w:r>
      <w:r w:rsidRPr="00C531A2">
        <w:rPr>
          <w:rFonts w:ascii="Times New Roman" w:eastAsia="Calibri" w:hAnsi="Times New Roman"/>
          <w:szCs w:val="24"/>
        </w:rPr>
        <w:t xml:space="preserve">% укупних расхода и издатака и издаци за набавку финансијске имовине у циљу спровођења јавних политика у износу од </w:t>
      </w:r>
      <w:r w:rsidR="009C41BA" w:rsidRPr="00C531A2">
        <w:rPr>
          <w:rFonts w:ascii="Times New Roman" w:eastAsia="Calibri" w:hAnsi="Times New Roman"/>
          <w:szCs w:val="24"/>
        </w:rPr>
        <w:t>13,48</w:t>
      </w:r>
      <w:r w:rsidRPr="00C531A2">
        <w:rPr>
          <w:rFonts w:ascii="Times New Roman" w:eastAsia="Calibri" w:hAnsi="Times New Roman"/>
          <w:szCs w:val="24"/>
        </w:rPr>
        <w:t xml:space="preserve"> млрд динара или </w:t>
      </w:r>
      <w:r w:rsidR="005F2B5F" w:rsidRPr="00C531A2">
        <w:rPr>
          <w:rFonts w:ascii="Times New Roman" w:eastAsia="Calibri" w:hAnsi="Times New Roman"/>
          <w:szCs w:val="24"/>
        </w:rPr>
        <w:t>0,</w:t>
      </w:r>
      <w:r w:rsidR="009C41BA" w:rsidRPr="00C531A2">
        <w:rPr>
          <w:rFonts w:ascii="Times New Roman" w:eastAsia="Calibri" w:hAnsi="Times New Roman"/>
          <w:szCs w:val="24"/>
        </w:rPr>
        <w:t>49</w:t>
      </w:r>
      <w:r w:rsidRPr="00C531A2">
        <w:rPr>
          <w:rFonts w:ascii="Times New Roman" w:eastAsia="Calibri" w:hAnsi="Times New Roman"/>
          <w:szCs w:val="24"/>
        </w:rPr>
        <w:t xml:space="preserve">% укупних расхода и издатака. </w:t>
      </w:r>
    </w:p>
    <w:p w14:paraId="3143AEBB" w14:textId="68133678" w:rsidR="0055204A" w:rsidRPr="00C531A2" w:rsidRDefault="0055204A" w:rsidP="0055204A">
      <w:pPr>
        <w:spacing w:after="120"/>
        <w:contextualSpacing/>
        <w:rPr>
          <w:rFonts w:ascii="Times New Roman" w:eastAsia="Calibri" w:hAnsi="Times New Roman"/>
          <w:szCs w:val="24"/>
        </w:rPr>
      </w:pPr>
    </w:p>
    <w:p w14:paraId="3E3817B1" w14:textId="371EED92" w:rsidR="008647C1" w:rsidRPr="00C531A2" w:rsidRDefault="00072FE5" w:rsidP="008647C1">
      <w:pPr>
        <w:spacing w:after="120"/>
        <w:contextualSpacing/>
        <w:rPr>
          <w:rFonts w:ascii="Times New Roman" w:hAnsi="Times New Roman"/>
          <w:b/>
          <w:szCs w:val="24"/>
        </w:rPr>
      </w:pPr>
      <w:r>
        <w:drawing>
          <wp:inline distT="0" distB="0" distL="0" distR="0" wp14:anchorId="388CC472" wp14:editId="2A403B7C">
            <wp:extent cx="5543550" cy="4000469"/>
            <wp:effectExtent l="0" t="0" r="0" b="635"/>
            <wp:docPr id="546629472" name="Picture 1" descr="A pie chart with different colored secti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629472" name="Picture 1" descr="A pie chart with different colored sections&#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43550" cy="4000469"/>
                    </a:xfrm>
                    <a:prstGeom prst="rect">
                      <a:avLst/>
                    </a:prstGeom>
                    <a:noFill/>
                  </pic:spPr>
                </pic:pic>
              </a:graphicData>
            </a:graphic>
          </wp:inline>
        </w:drawing>
      </w:r>
    </w:p>
    <w:p w14:paraId="5BCCC1A5" w14:textId="77777777" w:rsidR="00452507" w:rsidRPr="00C531A2" w:rsidRDefault="00452507" w:rsidP="00B42CFC">
      <w:pPr>
        <w:spacing w:after="120"/>
        <w:contextualSpacing/>
        <w:rPr>
          <w:rFonts w:ascii="Times New Roman" w:hAnsi="Times New Roman"/>
          <w:b/>
          <w:szCs w:val="24"/>
        </w:rPr>
      </w:pPr>
    </w:p>
    <w:p w14:paraId="486B2AF1" w14:textId="353DD3F8" w:rsidR="004270CD" w:rsidRPr="00C531A2" w:rsidRDefault="004270CD" w:rsidP="004270CD">
      <w:pPr>
        <w:spacing w:after="120"/>
        <w:ind w:firstLine="720"/>
        <w:contextualSpacing/>
        <w:rPr>
          <w:rFonts w:ascii="Times New Roman" w:eastAsia="Calibri" w:hAnsi="Times New Roman"/>
          <w:szCs w:val="24"/>
        </w:rPr>
      </w:pPr>
      <w:r w:rsidRPr="00C531A2">
        <w:rPr>
          <w:rFonts w:ascii="Times New Roman" w:hAnsi="Times New Roman"/>
          <w:b/>
          <w:szCs w:val="24"/>
        </w:rPr>
        <w:t>Расходи за запослене</w:t>
      </w:r>
      <w:r w:rsidRPr="00C531A2">
        <w:rPr>
          <w:rFonts w:ascii="Times New Roman" w:hAnsi="Times New Roman"/>
          <w:color w:val="000000"/>
          <w:szCs w:val="24"/>
        </w:rPr>
        <w:t xml:space="preserve"> износе </w:t>
      </w:r>
      <w:r w:rsidR="00354AE5" w:rsidRPr="00C531A2">
        <w:rPr>
          <w:rFonts w:ascii="Times New Roman" w:hAnsi="Times New Roman"/>
          <w:color w:val="000000"/>
          <w:szCs w:val="24"/>
        </w:rPr>
        <w:t>656,1</w:t>
      </w:r>
      <w:r w:rsidR="008C2AA3">
        <w:rPr>
          <w:rFonts w:ascii="Times New Roman" w:hAnsi="Times New Roman"/>
          <w:color w:val="000000"/>
          <w:szCs w:val="24"/>
        </w:rPr>
        <w:t>5</w:t>
      </w:r>
      <w:r w:rsidRPr="00C531A2">
        <w:rPr>
          <w:rFonts w:ascii="Times New Roman" w:hAnsi="Times New Roman"/>
          <w:color w:val="000000"/>
          <w:szCs w:val="24"/>
        </w:rPr>
        <w:t xml:space="preserve"> млрд динара. Учешће ових расхода у укупним расходима и издацима је </w:t>
      </w:r>
      <w:r w:rsidR="00E303E7" w:rsidRPr="00C531A2">
        <w:rPr>
          <w:rFonts w:ascii="Times New Roman" w:hAnsi="Times New Roman"/>
          <w:color w:val="000000"/>
          <w:szCs w:val="24"/>
        </w:rPr>
        <w:t>23</w:t>
      </w:r>
      <w:r w:rsidR="00677F96" w:rsidRPr="00C531A2">
        <w:rPr>
          <w:rFonts w:ascii="Times New Roman" w:hAnsi="Times New Roman"/>
          <w:color w:val="000000"/>
          <w:szCs w:val="24"/>
        </w:rPr>
        <w:t>,</w:t>
      </w:r>
      <w:r w:rsidR="00E303E7" w:rsidRPr="00C531A2">
        <w:rPr>
          <w:rFonts w:ascii="Times New Roman" w:hAnsi="Times New Roman"/>
          <w:color w:val="000000"/>
          <w:szCs w:val="24"/>
        </w:rPr>
        <w:t>8</w:t>
      </w:r>
      <w:r w:rsidR="008C2AA3">
        <w:rPr>
          <w:rFonts w:ascii="Times New Roman" w:hAnsi="Times New Roman"/>
          <w:color w:val="000000"/>
          <w:szCs w:val="24"/>
        </w:rPr>
        <w:t>5</w:t>
      </w:r>
      <w:r w:rsidRPr="00C531A2">
        <w:rPr>
          <w:rFonts w:ascii="Times New Roman" w:hAnsi="Times New Roman"/>
          <w:color w:val="000000"/>
          <w:szCs w:val="24"/>
        </w:rPr>
        <w:t xml:space="preserve">%. </w:t>
      </w:r>
    </w:p>
    <w:p w14:paraId="525B37F7" w14:textId="77777777" w:rsidR="004270CD" w:rsidRPr="00C531A2" w:rsidRDefault="004270CD" w:rsidP="004270CD">
      <w:pPr>
        <w:tabs>
          <w:tab w:val="left" w:pos="720"/>
        </w:tabs>
        <w:rPr>
          <w:rFonts w:ascii="Times New Roman" w:hAnsi="Times New Roman"/>
          <w:szCs w:val="24"/>
        </w:rPr>
      </w:pPr>
      <w:r w:rsidRPr="00C531A2">
        <w:rPr>
          <w:rFonts w:ascii="Times New Roman" w:hAnsi="Times New Roman"/>
          <w:szCs w:val="24"/>
        </w:rPr>
        <w:tab/>
        <w:t>Плате запослених које се обезбеђују у буџету Републике Србије регулисане су Законом о платама у државним органима и јавним службама, Законом о платама државних службеника и намештеника, Законом о буџетском систему и другим посебним законима.</w:t>
      </w:r>
    </w:p>
    <w:p w14:paraId="107EE576" w14:textId="77777777" w:rsidR="004270CD" w:rsidRPr="00C531A2" w:rsidRDefault="004270CD" w:rsidP="004270CD">
      <w:pPr>
        <w:tabs>
          <w:tab w:val="left" w:pos="720"/>
        </w:tabs>
        <w:rPr>
          <w:rFonts w:ascii="Times New Roman" w:hAnsi="Times New Roman"/>
          <w:szCs w:val="24"/>
        </w:rPr>
      </w:pPr>
      <w:r w:rsidRPr="00C531A2">
        <w:rPr>
          <w:rFonts w:ascii="Times New Roman" w:hAnsi="Times New Roman"/>
          <w:szCs w:val="24"/>
        </w:rPr>
        <w:tab/>
        <w:t xml:space="preserve">На плате изабраних лица у Народној скупштини (народни посланици) и Влади примењују се одредбе Закона о платама у државним органима и јавним службама. </w:t>
      </w:r>
    </w:p>
    <w:p w14:paraId="6F359477" w14:textId="77777777" w:rsidR="004270CD" w:rsidRPr="00C531A2" w:rsidRDefault="004270CD" w:rsidP="004270CD">
      <w:pPr>
        <w:tabs>
          <w:tab w:val="left" w:pos="720"/>
        </w:tabs>
        <w:rPr>
          <w:rFonts w:ascii="Times New Roman" w:hAnsi="Times New Roman"/>
          <w:szCs w:val="24"/>
        </w:rPr>
      </w:pPr>
      <w:r w:rsidRPr="00C531A2">
        <w:rPr>
          <w:rFonts w:ascii="Times New Roman" w:hAnsi="Times New Roman"/>
          <w:szCs w:val="24"/>
        </w:rPr>
        <w:lastRenderedPageBreak/>
        <w:tab/>
        <w:t xml:space="preserve">На плате запослених у Министарству унутрашњих послова, Безбедносно-информативној агенцији, Министарству одбране, као и за носиоце правосудних функција (судије и тужиоци) примењују се одредбе посебних закона. </w:t>
      </w:r>
    </w:p>
    <w:p w14:paraId="758D86B3" w14:textId="77777777" w:rsidR="004270CD" w:rsidRPr="00C531A2" w:rsidRDefault="004270CD" w:rsidP="004270CD">
      <w:pPr>
        <w:tabs>
          <w:tab w:val="left" w:pos="720"/>
        </w:tabs>
        <w:rPr>
          <w:rFonts w:ascii="Times New Roman" w:hAnsi="Times New Roman"/>
          <w:szCs w:val="24"/>
        </w:rPr>
      </w:pPr>
      <w:r w:rsidRPr="00C531A2">
        <w:rPr>
          <w:rFonts w:ascii="Times New Roman" w:hAnsi="Times New Roman"/>
          <w:szCs w:val="24"/>
        </w:rPr>
        <w:tab/>
        <w:t>На плате запослених који раде на спровођењу контроле у Управи царина, Пореској управи и Управи за спречавање прања новца, поред Закона о платама државних службеника и намештеника, примењују се и посебни прописи (уредбе, правилници, одлуке и др.) којима је регулисан њихов рад.</w:t>
      </w:r>
    </w:p>
    <w:p w14:paraId="51756967" w14:textId="77777777" w:rsidR="004270CD" w:rsidRPr="00C531A2" w:rsidRDefault="004270CD" w:rsidP="004270CD">
      <w:pPr>
        <w:ind w:firstLine="709"/>
        <w:rPr>
          <w:rFonts w:ascii="Times New Roman" w:hAnsi="Times New Roman"/>
        </w:rPr>
      </w:pPr>
      <w:r w:rsidRPr="00C531A2">
        <w:rPr>
          <w:rFonts w:ascii="Times New Roman" w:hAnsi="Times New Roman"/>
        </w:rPr>
        <w:t>Изузетно, услед смањеног обима прихода остварених по основу наплате судских такси, плате судија исплаћиваће се до 30% из прихода остварених по основу наплате судских такси које припадају правосудним органима, а преостали део из извора 01 - Општи приходи и примања буџета уз претходно добијену писану сагласност министарства надлежног за послове финансија.</w:t>
      </w:r>
    </w:p>
    <w:p w14:paraId="20596F4F" w14:textId="77777777" w:rsidR="004270CD" w:rsidRPr="00C531A2" w:rsidRDefault="004270CD" w:rsidP="004270CD">
      <w:pPr>
        <w:tabs>
          <w:tab w:val="left" w:pos="720"/>
          <w:tab w:val="center" w:pos="1134"/>
        </w:tabs>
        <w:ind w:firstLine="720"/>
        <w:rPr>
          <w:rFonts w:ascii="Times New Roman" w:hAnsi="Times New Roman"/>
          <w:szCs w:val="24"/>
        </w:rPr>
      </w:pPr>
      <w:r w:rsidRPr="00C531A2">
        <w:rPr>
          <w:rFonts w:ascii="Times New Roman" w:hAnsi="Times New Roman"/>
          <w:szCs w:val="24"/>
        </w:rPr>
        <w:t>Маса плата, односно зарада, планирана је у складу са Законом о буџетском систему.</w:t>
      </w:r>
    </w:p>
    <w:p w14:paraId="220FE9D7" w14:textId="77777777" w:rsidR="004270CD" w:rsidRPr="00C531A2" w:rsidRDefault="004270CD" w:rsidP="004270CD">
      <w:pPr>
        <w:tabs>
          <w:tab w:val="left" w:pos="720"/>
          <w:tab w:val="center" w:pos="1134"/>
        </w:tabs>
        <w:rPr>
          <w:rFonts w:ascii="Times New Roman" w:hAnsi="Times New Roman"/>
          <w:szCs w:val="24"/>
        </w:rPr>
      </w:pPr>
      <w:r w:rsidRPr="00C531A2">
        <w:rPr>
          <w:rFonts w:ascii="Times New Roman" w:hAnsi="Times New Roman"/>
          <w:szCs w:val="24"/>
        </w:rPr>
        <w:tab/>
        <w:t>Средства за плате су планирана између осталог на основу следећих параметара:</w:t>
      </w:r>
    </w:p>
    <w:p w14:paraId="578AA32A" w14:textId="77777777" w:rsidR="004270CD" w:rsidRPr="00C531A2" w:rsidRDefault="004270CD" w:rsidP="004270CD">
      <w:pPr>
        <w:numPr>
          <w:ilvl w:val="0"/>
          <w:numId w:val="9"/>
        </w:numPr>
        <w:tabs>
          <w:tab w:val="left" w:pos="720"/>
          <w:tab w:val="center" w:pos="1134"/>
        </w:tabs>
        <w:ind w:hanging="180"/>
        <w:rPr>
          <w:rFonts w:ascii="Times New Roman" w:hAnsi="Times New Roman"/>
          <w:szCs w:val="24"/>
          <w:lang w:eastAsia="x-none"/>
        </w:rPr>
      </w:pPr>
      <w:r w:rsidRPr="00C531A2">
        <w:rPr>
          <w:rFonts w:ascii="Times New Roman" w:hAnsi="Times New Roman"/>
          <w:szCs w:val="24"/>
          <w:lang w:eastAsia="x-none"/>
        </w:rPr>
        <w:t>постојећег броја запослених;</w:t>
      </w:r>
    </w:p>
    <w:p w14:paraId="7CA255B9" w14:textId="77777777" w:rsidR="004270CD" w:rsidRPr="00C531A2" w:rsidRDefault="004270CD" w:rsidP="004270CD">
      <w:pPr>
        <w:numPr>
          <w:ilvl w:val="0"/>
          <w:numId w:val="9"/>
        </w:numPr>
        <w:tabs>
          <w:tab w:val="left" w:pos="720"/>
          <w:tab w:val="center" w:pos="1134"/>
        </w:tabs>
        <w:ind w:hanging="180"/>
        <w:rPr>
          <w:rFonts w:ascii="Times New Roman" w:hAnsi="Times New Roman"/>
          <w:szCs w:val="24"/>
          <w:lang w:eastAsia="x-none"/>
        </w:rPr>
      </w:pPr>
      <w:r w:rsidRPr="00C531A2">
        <w:rPr>
          <w:rFonts w:ascii="Times New Roman" w:hAnsi="Times New Roman"/>
          <w:szCs w:val="24"/>
          <w:lang w:eastAsia="x-none"/>
        </w:rPr>
        <w:t>увећања плата у одговарајућем проценту;</w:t>
      </w:r>
    </w:p>
    <w:p w14:paraId="7ABFA7BE" w14:textId="086A6053" w:rsidR="004270CD" w:rsidRPr="00C531A2" w:rsidRDefault="004270CD" w:rsidP="004270CD">
      <w:pPr>
        <w:numPr>
          <w:ilvl w:val="0"/>
          <w:numId w:val="9"/>
        </w:numPr>
        <w:tabs>
          <w:tab w:val="left" w:pos="720"/>
          <w:tab w:val="center" w:pos="1134"/>
        </w:tabs>
        <w:ind w:hanging="180"/>
        <w:rPr>
          <w:rFonts w:ascii="Times New Roman" w:hAnsi="Times New Roman"/>
          <w:szCs w:val="24"/>
          <w:lang w:eastAsia="x-none"/>
        </w:rPr>
      </w:pPr>
      <w:r w:rsidRPr="00C531A2">
        <w:rPr>
          <w:rFonts w:ascii="Times New Roman" w:hAnsi="Times New Roman"/>
          <w:szCs w:val="24"/>
          <w:lang w:eastAsia="x-none"/>
        </w:rPr>
        <w:t xml:space="preserve">повећања неопорезивог износа зараде на </w:t>
      </w:r>
      <w:r w:rsidR="00587F41" w:rsidRPr="00C531A2">
        <w:rPr>
          <w:rFonts w:ascii="Times New Roman" w:hAnsi="Times New Roman"/>
          <w:szCs w:val="24"/>
          <w:lang w:eastAsia="x-none"/>
        </w:rPr>
        <w:t>34.221</w:t>
      </w:r>
      <w:r w:rsidRPr="00C531A2">
        <w:rPr>
          <w:rFonts w:ascii="Times New Roman" w:hAnsi="Times New Roman"/>
          <w:szCs w:val="24"/>
          <w:lang w:eastAsia="x-none"/>
        </w:rPr>
        <w:t xml:space="preserve"> динара.</w:t>
      </w:r>
    </w:p>
    <w:p w14:paraId="259328E0" w14:textId="3AA69E07" w:rsidR="004270CD" w:rsidRPr="00C531A2" w:rsidRDefault="004270CD" w:rsidP="004270CD">
      <w:pPr>
        <w:tabs>
          <w:tab w:val="left" w:pos="720"/>
          <w:tab w:val="center" w:pos="1134"/>
        </w:tabs>
        <w:rPr>
          <w:rFonts w:ascii="Times New Roman" w:hAnsi="Times New Roman"/>
          <w:szCs w:val="24"/>
        </w:rPr>
      </w:pPr>
      <w:r w:rsidRPr="00C531A2">
        <w:rPr>
          <w:rFonts w:ascii="Times New Roman" w:hAnsi="Times New Roman"/>
          <w:szCs w:val="24"/>
        </w:rPr>
        <w:tab/>
        <w:t>У 2026. години плате запослених код корисника буџетских средстава планирају се у складу са основицама за обрачун и исплату плата, као и увећањима дефинисаним чл</w:t>
      </w:r>
      <w:r w:rsidR="002F38DF" w:rsidRPr="00C531A2">
        <w:rPr>
          <w:rFonts w:ascii="Times New Roman" w:hAnsi="Times New Roman"/>
          <w:szCs w:val="24"/>
        </w:rPr>
        <w:t>.</w:t>
      </w:r>
      <w:r w:rsidRPr="00C531A2">
        <w:rPr>
          <w:rFonts w:ascii="Times New Roman" w:hAnsi="Times New Roman"/>
          <w:szCs w:val="24"/>
        </w:rPr>
        <w:t xml:space="preserve"> 9. </w:t>
      </w:r>
      <w:r w:rsidR="002F38DF" w:rsidRPr="00C531A2">
        <w:rPr>
          <w:rFonts w:ascii="Times New Roman" w:hAnsi="Times New Roman"/>
          <w:szCs w:val="24"/>
        </w:rPr>
        <w:t xml:space="preserve">и 10. </w:t>
      </w:r>
      <w:r w:rsidRPr="00C531A2">
        <w:rPr>
          <w:rFonts w:ascii="Times New Roman" w:hAnsi="Times New Roman"/>
          <w:szCs w:val="24"/>
        </w:rPr>
        <w:t>овог закона, која се примењују почев од плате за јануар 2026. године.</w:t>
      </w:r>
    </w:p>
    <w:p w14:paraId="56715581" w14:textId="77777777" w:rsidR="004270CD" w:rsidRPr="00C531A2" w:rsidRDefault="004270CD" w:rsidP="004270CD">
      <w:pPr>
        <w:tabs>
          <w:tab w:val="left" w:pos="720"/>
          <w:tab w:val="center" w:pos="1134"/>
        </w:tabs>
        <w:rPr>
          <w:rFonts w:ascii="Times New Roman" w:hAnsi="Times New Roman"/>
          <w:szCs w:val="24"/>
        </w:rPr>
      </w:pPr>
      <w:r w:rsidRPr="00C531A2">
        <w:rPr>
          <w:rFonts w:ascii="Times New Roman" w:hAnsi="Times New Roman"/>
          <w:szCs w:val="24"/>
        </w:rPr>
        <w:tab/>
        <w:t xml:space="preserve">У буџетској 2026. години </w:t>
      </w:r>
      <w:r w:rsidRPr="00C531A2">
        <w:t>не може</w:t>
      </w:r>
      <w:r w:rsidRPr="00C531A2">
        <w:rPr>
          <w:rFonts w:ascii="Times New Roman" w:hAnsi="Times New Roman"/>
          <w:szCs w:val="24"/>
        </w:rPr>
        <w:t xml:space="preserve"> се вршити обрачун и исплата поклона у новцу, божићних, годишњих и других врста награда и бонуса и примања запослених ради побољшања материјалног положаја и побољшања услова рада, као и других примања из члана 120. став 1. тачка 4. Закона о раду („Службени гласник РС”, бр. 24/05, 61/05, 54/09, 32/13, 75/14, 13/17-УС, 113/17 и 95/18-аутентично тумачење), предвиђених посебним и појединачним колективним уговорима и другим актима, за директне и индиректне кориснике буџетских средстава буџета Републике Србије, локалне власти и кориснике средстава организација за обавезно социјално осигурање, осим јубиларних награда за запослене и новчаних честитки за децу запослених.</w:t>
      </w:r>
    </w:p>
    <w:p w14:paraId="54EA1732" w14:textId="77777777" w:rsidR="004270CD" w:rsidRPr="00C531A2" w:rsidRDefault="004270CD" w:rsidP="004270CD">
      <w:pPr>
        <w:tabs>
          <w:tab w:val="left" w:pos="720"/>
          <w:tab w:val="center" w:pos="1134"/>
        </w:tabs>
        <w:rPr>
          <w:rFonts w:ascii="Times New Roman" w:hAnsi="Times New Roman"/>
          <w:szCs w:val="24"/>
        </w:rPr>
      </w:pPr>
      <w:r w:rsidRPr="00C531A2">
        <w:rPr>
          <w:rFonts w:ascii="Times New Roman" w:hAnsi="Times New Roman"/>
          <w:szCs w:val="24"/>
        </w:rPr>
        <w:tab/>
        <w:t>У 2026. години не могу се исплаћивати запосленима код корисника буџетских средстава награде и бонуси који према међународним критеријумима представљају нестандардне, односно нетранспарентне облике награда и бонуса.</w:t>
      </w:r>
    </w:p>
    <w:p w14:paraId="1E002245" w14:textId="20FAF1AD" w:rsidR="004270CD" w:rsidRPr="00C531A2" w:rsidRDefault="004270CD" w:rsidP="00EA5EA9">
      <w:pPr>
        <w:tabs>
          <w:tab w:val="left" w:pos="720"/>
          <w:tab w:val="center" w:pos="1134"/>
        </w:tabs>
        <w:ind w:firstLine="720"/>
        <w:rPr>
          <w:rFonts w:ascii="Times New Roman" w:hAnsi="Times New Roman"/>
          <w:szCs w:val="24"/>
        </w:rPr>
      </w:pPr>
      <w:r w:rsidRPr="00C531A2">
        <w:rPr>
          <w:rFonts w:ascii="Times New Roman" w:hAnsi="Times New Roman"/>
          <w:szCs w:val="24"/>
        </w:rPr>
        <w:t>Изузетно, исплата награда и бонуса запосленима код корисника средстава буџета Републике Србије и корисника средстава организација за обавезно социјално осигурање у 2026. години може се вршити на основу одлуке Владе.</w:t>
      </w:r>
    </w:p>
    <w:p w14:paraId="561635B7" w14:textId="77777777" w:rsidR="00725D9F" w:rsidRPr="00C531A2" w:rsidRDefault="00725D9F" w:rsidP="00EA5EA9">
      <w:pPr>
        <w:tabs>
          <w:tab w:val="left" w:pos="720"/>
          <w:tab w:val="center" w:pos="1134"/>
        </w:tabs>
        <w:ind w:firstLine="720"/>
        <w:rPr>
          <w:rFonts w:ascii="Times New Roman" w:hAnsi="Times New Roman"/>
          <w:szCs w:val="24"/>
        </w:rPr>
      </w:pPr>
    </w:p>
    <w:p w14:paraId="626650A2" w14:textId="37739343" w:rsidR="000E57BF" w:rsidRPr="00C531A2" w:rsidRDefault="00AE51F8" w:rsidP="00DE7567">
      <w:pPr>
        <w:tabs>
          <w:tab w:val="left" w:pos="720"/>
          <w:tab w:val="center" w:pos="1134"/>
        </w:tabs>
        <w:ind w:firstLine="720"/>
        <w:rPr>
          <w:rFonts w:ascii="Calibri" w:hAnsi="Calibri" w:cs="Calibri"/>
          <w:color w:val="000000"/>
          <w:sz w:val="22"/>
          <w:szCs w:val="22"/>
        </w:rPr>
      </w:pPr>
      <w:r w:rsidRPr="00C531A2">
        <w:rPr>
          <w:rFonts w:ascii="Times New Roman" w:hAnsi="Times New Roman"/>
          <w:b/>
          <w:bCs/>
          <w:color w:val="000000"/>
          <w:szCs w:val="24"/>
        </w:rPr>
        <w:t xml:space="preserve">Расходи за коришћење услуга и роба </w:t>
      </w:r>
      <w:r w:rsidRPr="00C531A2">
        <w:rPr>
          <w:rFonts w:ascii="Times New Roman" w:hAnsi="Times New Roman"/>
          <w:color w:val="000000"/>
          <w:szCs w:val="24"/>
        </w:rPr>
        <w:t xml:space="preserve">износе </w:t>
      </w:r>
      <w:r w:rsidR="00A03BE3" w:rsidRPr="00C531A2">
        <w:rPr>
          <w:rFonts w:ascii="Times New Roman" w:hAnsi="Times New Roman"/>
          <w:color w:val="000000"/>
          <w:szCs w:val="24"/>
        </w:rPr>
        <w:t>271,5</w:t>
      </w:r>
      <w:r w:rsidR="00772CDA">
        <w:rPr>
          <w:rFonts w:ascii="Times New Roman" w:hAnsi="Times New Roman"/>
          <w:color w:val="000000"/>
          <w:szCs w:val="24"/>
          <w:lang w:val="sr-Latn-RS"/>
        </w:rPr>
        <w:t>4</w:t>
      </w:r>
      <w:r w:rsidRPr="00C531A2">
        <w:rPr>
          <w:rFonts w:ascii="Times New Roman" w:hAnsi="Times New Roman"/>
          <w:color w:val="000000"/>
          <w:szCs w:val="24"/>
        </w:rPr>
        <w:t xml:space="preserve"> млрд динара. Учешће ових расхода у укупним расходима и издацима је </w:t>
      </w:r>
      <w:r w:rsidR="00CE3FC3" w:rsidRPr="00C531A2">
        <w:rPr>
          <w:rFonts w:ascii="Times New Roman" w:hAnsi="Times New Roman"/>
          <w:color w:val="000000"/>
          <w:szCs w:val="24"/>
        </w:rPr>
        <w:t>9,</w:t>
      </w:r>
      <w:r w:rsidR="00A03BE3" w:rsidRPr="00C531A2">
        <w:rPr>
          <w:rFonts w:ascii="Times New Roman" w:hAnsi="Times New Roman"/>
          <w:color w:val="000000"/>
          <w:szCs w:val="24"/>
        </w:rPr>
        <w:t>87</w:t>
      </w:r>
      <w:r w:rsidRPr="00C531A2">
        <w:rPr>
          <w:rFonts w:ascii="Times New Roman" w:hAnsi="Times New Roman"/>
          <w:color w:val="000000"/>
          <w:szCs w:val="24"/>
        </w:rPr>
        <w:t>%</w:t>
      </w:r>
      <w:r w:rsidR="00DF267C" w:rsidRPr="00C531A2">
        <w:rPr>
          <w:rFonts w:ascii="Times New Roman" w:hAnsi="Times New Roman"/>
          <w:color w:val="000000"/>
          <w:szCs w:val="24"/>
        </w:rPr>
        <w:t>. Средства су планиран</w:t>
      </w:r>
      <w:r w:rsidR="0064364F" w:rsidRPr="00C531A2">
        <w:rPr>
          <w:rFonts w:ascii="Times New Roman" w:hAnsi="Times New Roman"/>
          <w:color w:val="000000"/>
          <w:szCs w:val="24"/>
        </w:rPr>
        <w:t>a</w:t>
      </w:r>
      <w:r w:rsidR="00DF267C" w:rsidRPr="00C531A2">
        <w:rPr>
          <w:rFonts w:ascii="Times New Roman" w:hAnsi="Times New Roman"/>
          <w:color w:val="000000"/>
          <w:szCs w:val="24"/>
        </w:rPr>
        <w:t xml:space="preserve"> за</w:t>
      </w:r>
      <w:r w:rsidR="00151DEC" w:rsidRPr="00C531A2">
        <w:rPr>
          <w:rFonts w:ascii="Times New Roman" w:hAnsi="Times New Roman"/>
          <w:color w:val="000000"/>
          <w:szCs w:val="24"/>
        </w:rPr>
        <w:t>:</w:t>
      </w:r>
      <w:r w:rsidR="00DF267C" w:rsidRPr="00C531A2">
        <w:rPr>
          <w:rFonts w:ascii="Times New Roman" w:hAnsi="Times New Roman"/>
          <w:color w:val="000000"/>
          <w:szCs w:val="24"/>
        </w:rPr>
        <w:t xml:space="preserve"> </w:t>
      </w:r>
      <w:r w:rsidRPr="00C531A2">
        <w:rPr>
          <w:rFonts w:ascii="Times New Roman" w:hAnsi="Times New Roman"/>
          <w:b/>
          <w:bCs/>
          <w:color w:val="000000"/>
          <w:szCs w:val="24"/>
        </w:rPr>
        <w:t xml:space="preserve">сталне трошкове </w:t>
      </w:r>
      <w:r w:rsidR="00206479" w:rsidRPr="00C531A2">
        <w:rPr>
          <w:rFonts w:ascii="Times New Roman" w:hAnsi="Times New Roman"/>
          <w:color w:val="000000"/>
          <w:szCs w:val="24"/>
        </w:rPr>
        <w:t>буџетских корисника</w:t>
      </w:r>
      <w:r w:rsidR="00151DEC" w:rsidRPr="00C531A2">
        <w:rPr>
          <w:rFonts w:ascii="Times New Roman" w:hAnsi="Times New Roman"/>
          <w:color w:val="000000"/>
          <w:szCs w:val="24"/>
        </w:rPr>
        <w:t xml:space="preserve"> </w:t>
      </w:r>
      <w:r w:rsidR="00206479" w:rsidRPr="00C531A2">
        <w:rPr>
          <w:rFonts w:ascii="Times New Roman" w:hAnsi="Times New Roman"/>
          <w:color w:val="000000"/>
          <w:szCs w:val="24"/>
        </w:rPr>
        <w:t>(енергетске и комуналне услуге, услуге комуникација, трошков</w:t>
      </w:r>
      <w:r w:rsidR="00151DEC" w:rsidRPr="00C531A2">
        <w:rPr>
          <w:rFonts w:ascii="Times New Roman" w:hAnsi="Times New Roman"/>
          <w:color w:val="000000"/>
          <w:szCs w:val="24"/>
        </w:rPr>
        <w:t>и</w:t>
      </w:r>
      <w:r w:rsidR="00206479" w:rsidRPr="00C531A2">
        <w:rPr>
          <w:rFonts w:ascii="Times New Roman" w:hAnsi="Times New Roman"/>
          <w:color w:val="000000"/>
          <w:szCs w:val="24"/>
        </w:rPr>
        <w:t xml:space="preserve"> осигурања</w:t>
      </w:r>
      <w:r w:rsidR="00C71C79" w:rsidRPr="00C531A2">
        <w:rPr>
          <w:rFonts w:ascii="Times New Roman" w:hAnsi="Times New Roman"/>
          <w:color w:val="000000"/>
          <w:szCs w:val="24"/>
        </w:rPr>
        <w:t>, трошкове закупа</w:t>
      </w:r>
      <w:r w:rsidR="00206479" w:rsidRPr="00C531A2">
        <w:rPr>
          <w:rFonts w:ascii="Times New Roman" w:hAnsi="Times New Roman"/>
          <w:color w:val="000000"/>
          <w:szCs w:val="24"/>
        </w:rPr>
        <w:t xml:space="preserve"> и др.)</w:t>
      </w:r>
      <w:r w:rsidR="00151DEC" w:rsidRPr="00C531A2">
        <w:rPr>
          <w:rFonts w:ascii="Times New Roman" w:hAnsi="Times New Roman"/>
          <w:color w:val="000000"/>
          <w:szCs w:val="24"/>
        </w:rPr>
        <w:t>;</w:t>
      </w:r>
      <w:r w:rsidR="00206479" w:rsidRPr="00C531A2">
        <w:rPr>
          <w:rFonts w:ascii="Times New Roman" w:hAnsi="Times New Roman"/>
          <w:color w:val="000000"/>
          <w:szCs w:val="24"/>
        </w:rPr>
        <w:t xml:space="preserve"> </w:t>
      </w:r>
      <w:r w:rsidR="00206479" w:rsidRPr="00C531A2">
        <w:rPr>
          <w:rFonts w:ascii="Times New Roman" w:hAnsi="Times New Roman"/>
          <w:b/>
          <w:bCs/>
          <w:color w:val="000000"/>
          <w:szCs w:val="24"/>
        </w:rPr>
        <w:t>услуге по уговору</w:t>
      </w:r>
      <w:r w:rsidR="00206479" w:rsidRPr="00C531A2">
        <w:rPr>
          <w:rFonts w:ascii="Times New Roman" w:hAnsi="Times New Roman"/>
          <w:color w:val="000000"/>
          <w:szCs w:val="24"/>
        </w:rPr>
        <w:t xml:space="preserve"> (</w:t>
      </w:r>
      <w:r w:rsidR="007F4848" w:rsidRPr="00C531A2">
        <w:rPr>
          <w:rFonts w:ascii="Times New Roman" w:hAnsi="Times New Roman"/>
          <w:color w:val="000000"/>
          <w:szCs w:val="24"/>
        </w:rPr>
        <w:t xml:space="preserve">реализација делатности образовања, </w:t>
      </w:r>
      <w:r w:rsidR="00206479" w:rsidRPr="00C531A2">
        <w:rPr>
          <w:rFonts w:ascii="Times New Roman" w:hAnsi="Times New Roman"/>
          <w:color w:val="000000"/>
          <w:szCs w:val="24"/>
        </w:rPr>
        <w:t>с</w:t>
      </w:r>
      <w:r w:rsidR="004E7950" w:rsidRPr="00C531A2">
        <w:rPr>
          <w:rFonts w:ascii="Times New Roman" w:hAnsi="Times New Roman"/>
          <w:color w:val="000000"/>
          <w:szCs w:val="24"/>
        </w:rPr>
        <w:t>провођење судских поступака судова</w:t>
      </w:r>
      <w:r w:rsidR="008F36F8" w:rsidRPr="00C531A2">
        <w:rPr>
          <w:rFonts w:ascii="Times New Roman" w:hAnsi="Times New Roman"/>
          <w:color w:val="000000"/>
          <w:szCs w:val="24"/>
        </w:rPr>
        <w:t>,</w:t>
      </w:r>
      <w:r w:rsidR="004E7950" w:rsidRPr="00C531A2">
        <w:rPr>
          <w:rFonts w:ascii="Times New Roman" w:hAnsi="Times New Roman"/>
          <w:color w:val="000000"/>
          <w:szCs w:val="24"/>
        </w:rPr>
        <w:t xml:space="preserve"> </w:t>
      </w:r>
      <w:r w:rsidR="00DE7567" w:rsidRPr="00C531A2">
        <w:rPr>
          <w:rFonts w:ascii="Times New Roman" w:hAnsi="Times New Roman"/>
          <w:color w:val="000000"/>
          <w:szCs w:val="24"/>
        </w:rPr>
        <w:t xml:space="preserve">спровођење тужилачких активности тужилаштава, </w:t>
      </w:r>
      <w:r w:rsidR="007F4848" w:rsidRPr="00C531A2">
        <w:rPr>
          <w:rFonts w:ascii="Times New Roman" w:hAnsi="Times New Roman"/>
          <w:color w:val="000000"/>
          <w:szCs w:val="24"/>
        </w:rPr>
        <w:t>обављање делатности установа социјалне заштите и</w:t>
      </w:r>
      <w:r w:rsidR="00DE7567" w:rsidRPr="00C531A2">
        <w:rPr>
          <w:rFonts w:ascii="Times New Roman" w:hAnsi="Times New Roman"/>
          <w:color w:val="000000"/>
          <w:szCs w:val="24"/>
        </w:rPr>
        <w:t xml:space="preserve"> </w:t>
      </w:r>
      <w:r w:rsidR="007F4848" w:rsidRPr="00C531A2">
        <w:rPr>
          <w:rFonts w:ascii="Times New Roman" w:hAnsi="Times New Roman"/>
          <w:color w:val="000000"/>
          <w:szCs w:val="24"/>
        </w:rPr>
        <w:t xml:space="preserve">подршка рада хранитеља, операције и функционисање Министарства одбране и Војске </w:t>
      </w:r>
      <w:r w:rsidR="007F4848" w:rsidRPr="00C531A2">
        <w:rPr>
          <w:rFonts w:ascii="Times New Roman" w:hAnsi="Times New Roman"/>
          <w:szCs w:val="24"/>
        </w:rPr>
        <w:t xml:space="preserve">Србије, </w:t>
      </w:r>
      <w:r w:rsidR="00DE7567" w:rsidRPr="00C531A2">
        <w:rPr>
          <w:rFonts w:ascii="Times New Roman" w:hAnsi="Times New Roman"/>
          <w:szCs w:val="24"/>
        </w:rPr>
        <w:t>развој система ИТ и електронске управе, Cloud лиценцирање и подршка</w:t>
      </w:r>
      <w:r w:rsidR="00DE7567" w:rsidRPr="00C531A2">
        <w:rPr>
          <w:rStyle w:val="CommentReference"/>
          <w:rFonts w:ascii="Times New Roman" w:hAnsi="Times New Roman"/>
          <w:sz w:val="24"/>
          <w:szCs w:val="24"/>
          <w:lang w:eastAsia="x-none"/>
        </w:rPr>
        <w:t>,</w:t>
      </w:r>
      <w:r w:rsidR="00DE7567" w:rsidRPr="00C531A2">
        <w:rPr>
          <w:rFonts w:ascii="Times New Roman" w:hAnsi="Times New Roman"/>
          <w:sz w:val="22"/>
          <w:szCs w:val="22"/>
        </w:rPr>
        <w:t xml:space="preserve"> </w:t>
      </w:r>
      <w:r w:rsidR="007E24BE" w:rsidRPr="00C531A2">
        <w:rPr>
          <w:rFonts w:ascii="Times New Roman" w:hAnsi="Times New Roman"/>
          <w:szCs w:val="24"/>
        </w:rPr>
        <w:t xml:space="preserve">модернизација пореске </w:t>
      </w:r>
      <w:r w:rsidR="007E24BE" w:rsidRPr="00C531A2">
        <w:rPr>
          <w:rFonts w:ascii="Times New Roman" w:hAnsi="Times New Roman"/>
          <w:color w:val="000000"/>
          <w:szCs w:val="24"/>
        </w:rPr>
        <w:t xml:space="preserve">администрације, </w:t>
      </w:r>
      <w:r w:rsidR="008250B7" w:rsidRPr="00C531A2">
        <w:rPr>
          <w:rFonts w:ascii="Times New Roman" w:hAnsi="Times New Roman"/>
          <w:color w:val="000000"/>
          <w:szCs w:val="24"/>
        </w:rPr>
        <w:t>информациона подршка трезорском пословању,</w:t>
      </w:r>
      <w:r w:rsidR="004E7950" w:rsidRPr="00C531A2">
        <w:rPr>
          <w:rFonts w:ascii="Times New Roman" w:hAnsi="Times New Roman"/>
          <w:color w:val="000000"/>
          <w:szCs w:val="24"/>
        </w:rPr>
        <w:t xml:space="preserve"> </w:t>
      </w:r>
      <w:r w:rsidR="00040DCF" w:rsidRPr="00C531A2">
        <w:rPr>
          <w:rFonts w:ascii="Times New Roman" w:hAnsi="Times New Roman"/>
        </w:rPr>
        <w:t>и</w:t>
      </w:r>
      <w:r w:rsidR="00040DCF" w:rsidRPr="00C531A2">
        <w:rPr>
          <w:rFonts w:ascii="Times New Roman" w:hAnsi="Times New Roman"/>
          <w:color w:val="000000"/>
          <w:szCs w:val="24"/>
        </w:rPr>
        <w:t>нформатизација здравственог система у јединствени информациони систем</w:t>
      </w:r>
      <w:r w:rsidR="00D44A07" w:rsidRPr="00C531A2">
        <w:rPr>
          <w:rFonts w:ascii="Times New Roman" w:hAnsi="Times New Roman"/>
          <w:color w:val="000000"/>
          <w:szCs w:val="24"/>
        </w:rPr>
        <w:t>,</w:t>
      </w:r>
      <w:r w:rsidR="00BF2BA1" w:rsidRPr="00C531A2">
        <w:t xml:space="preserve"> </w:t>
      </w:r>
      <w:r w:rsidR="00B6071F" w:rsidRPr="00C531A2">
        <w:rPr>
          <w:rFonts w:ascii="Times New Roman" w:hAnsi="Times New Roman"/>
          <w:color w:val="000000"/>
          <w:szCs w:val="24"/>
        </w:rPr>
        <w:t>материјална подршка раду правосудних органа</w:t>
      </w:r>
      <w:r w:rsidR="00D05A52" w:rsidRPr="00C531A2">
        <w:rPr>
          <w:rFonts w:ascii="Times New Roman" w:hAnsi="Times New Roman"/>
          <w:color w:val="000000"/>
          <w:szCs w:val="24"/>
        </w:rPr>
        <w:t xml:space="preserve"> </w:t>
      </w:r>
      <w:r w:rsidR="009D260F" w:rsidRPr="00C531A2">
        <w:rPr>
          <w:rFonts w:ascii="Times New Roman" w:hAnsi="Times New Roman"/>
          <w:color w:val="000000"/>
          <w:szCs w:val="24"/>
        </w:rPr>
        <w:t>и др</w:t>
      </w:r>
      <w:r w:rsidR="00DA55F0" w:rsidRPr="00C531A2">
        <w:rPr>
          <w:rFonts w:ascii="Times New Roman" w:hAnsi="Times New Roman"/>
          <w:color w:val="000000"/>
          <w:szCs w:val="24"/>
        </w:rPr>
        <w:t>.</w:t>
      </w:r>
      <w:r w:rsidR="004E7950" w:rsidRPr="00C531A2">
        <w:rPr>
          <w:rFonts w:ascii="Times New Roman" w:hAnsi="Times New Roman"/>
          <w:color w:val="000000"/>
          <w:szCs w:val="24"/>
        </w:rPr>
        <w:t>)</w:t>
      </w:r>
      <w:r w:rsidR="0042282C" w:rsidRPr="00C531A2">
        <w:rPr>
          <w:rFonts w:ascii="Times New Roman" w:hAnsi="Times New Roman"/>
          <w:color w:val="000000"/>
          <w:szCs w:val="24"/>
        </w:rPr>
        <w:t>;</w:t>
      </w:r>
      <w:r w:rsidR="00995C8E" w:rsidRPr="00C531A2">
        <w:rPr>
          <w:rFonts w:ascii="Times New Roman" w:hAnsi="Times New Roman"/>
          <w:color w:val="000000"/>
          <w:szCs w:val="24"/>
        </w:rPr>
        <w:t xml:space="preserve"> </w:t>
      </w:r>
      <w:r w:rsidR="00995C8E" w:rsidRPr="00C531A2">
        <w:rPr>
          <w:rFonts w:ascii="Times New Roman" w:hAnsi="Times New Roman"/>
          <w:b/>
          <w:bCs/>
          <w:color w:val="000000"/>
          <w:szCs w:val="24"/>
        </w:rPr>
        <w:t>специјализоване услуге</w:t>
      </w:r>
      <w:r w:rsidR="00995C8E" w:rsidRPr="00C531A2">
        <w:rPr>
          <w:rFonts w:ascii="Times New Roman" w:hAnsi="Times New Roman"/>
          <w:color w:val="000000"/>
          <w:szCs w:val="24"/>
        </w:rPr>
        <w:t xml:space="preserve"> </w:t>
      </w:r>
      <w:r w:rsidR="004E7950" w:rsidRPr="00C531A2">
        <w:rPr>
          <w:rFonts w:ascii="Times New Roman" w:hAnsi="Times New Roman"/>
          <w:color w:val="000000"/>
          <w:szCs w:val="24"/>
        </w:rPr>
        <w:t>(</w:t>
      </w:r>
      <w:r w:rsidR="00C721BB" w:rsidRPr="00C531A2">
        <w:rPr>
          <w:rFonts w:ascii="Times New Roman" w:hAnsi="Times New Roman"/>
          <w:color w:val="000000"/>
          <w:szCs w:val="24"/>
        </w:rPr>
        <w:t>подршка реализацији општег интереса у научној истраживачкој делатности</w:t>
      </w:r>
      <w:r w:rsidR="005C6C39" w:rsidRPr="00C531A2">
        <w:rPr>
          <w:rFonts w:ascii="Times New Roman" w:hAnsi="Times New Roman"/>
          <w:color w:val="000000"/>
          <w:szCs w:val="24"/>
        </w:rPr>
        <w:t>,</w:t>
      </w:r>
      <w:r w:rsidR="00C721BB" w:rsidRPr="00C531A2">
        <w:rPr>
          <w:rFonts w:ascii="Times New Roman" w:hAnsi="Times New Roman"/>
          <w:color w:val="000000"/>
          <w:szCs w:val="24"/>
        </w:rPr>
        <w:t xml:space="preserve"> </w:t>
      </w:r>
      <w:r w:rsidR="005B4C6D" w:rsidRPr="00C531A2">
        <w:rPr>
          <w:rFonts w:ascii="Times New Roman" w:hAnsi="Times New Roman"/>
          <w:color w:val="000000"/>
          <w:szCs w:val="24"/>
        </w:rPr>
        <w:t xml:space="preserve">подршка раду универзитета, </w:t>
      </w:r>
      <w:r w:rsidR="001C7611" w:rsidRPr="00C531A2">
        <w:rPr>
          <w:rFonts w:ascii="Times New Roman" w:hAnsi="Times New Roman"/>
          <w:color w:val="000000"/>
          <w:szCs w:val="24"/>
        </w:rPr>
        <w:t>реализација делатности образовања</w:t>
      </w:r>
      <w:r w:rsidR="00EF2D79" w:rsidRPr="00C531A2">
        <w:rPr>
          <w:rFonts w:ascii="Times New Roman" w:hAnsi="Times New Roman"/>
          <w:color w:val="000000"/>
          <w:szCs w:val="24"/>
        </w:rPr>
        <w:t>,</w:t>
      </w:r>
      <w:r w:rsidR="00660625" w:rsidRPr="00C531A2">
        <w:rPr>
          <w:rFonts w:ascii="Times New Roman" w:hAnsi="Times New Roman"/>
          <w:color w:val="000000"/>
          <w:szCs w:val="24"/>
        </w:rPr>
        <w:t xml:space="preserve"> </w:t>
      </w:r>
      <w:r w:rsidR="008F36F8" w:rsidRPr="00C531A2">
        <w:rPr>
          <w:rFonts w:ascii="Times New Roman" w:hAnsi="Times New Roman"/>
          <w:color w:val="000000"/>
          <w:szCs w:val="24"/>
        </w:rPr>
        <w:t xml:space="preserve">операције и </w:t>
      </w:r>
      <w:r w:rsidR="00CF328C" w:rsidRPr="00C531A2">
        <w:rPr>
          <w:rFonts w:ascii="Times New Roman" w:hAnsi="Times New Roman"/>
          <w:color w:val="000000"/>
          <w:szCs w:val="24"/>
        </w:rPr>
        <w:t xml:space="preserve">функционисање Министарства </w:t>
      </w:r>
      <w:r w:rsidR="00CF328C" w:rsidRPr="00C531A2">
        <w:rPr>
          <w:rFonts w:ascii="Times New Roman" w:hAnsi="Times New Roman"/>
          <w:color w:val="000000"/>
          <w:szCs w:val="24"/>
        </w:rPr>
        <w:lastRenderedPageBreak/>
        <w:t xml:space="preserve">одбране и Војске Србије, </w:t>
      </w:r>
      <w:r w:rsidR="005B4C6D" w:rsidRPr="00C531A2">
        <w:rPr>
          <w:rFonts w:ascii="Times New Roman" w:hAnsi="Times New Roman"/>
          <w:color w:val="000000"/>
          <w:szCs w:val="24"/>
        </w:rPr>
        <w:t xml:space="preserve">безбедност хране, ветеринарска и фитосанитарна политика, </w:t>
      </w:r>
      <w:r w:rsidR="001C7611" w:rsidRPr="00C531A2">
        <w:rPr>
          <w:rFonts w:ascii="Times New Roman" w:hAnsi="Times New Roman"/>
          <w:color w:val="000000"/>
          <w:szCs w:val="24"/>
        </w:rPr>
        <w:t xml:space="preserve">подршка раду установа културе у области савременог стваралаштва, </w:t>
      </w:r>
      <w:r w:rsidR="00CF328C" w:rsidRPr="00C531A2">
        <w:rPr>
          <w:rFonts w:ascii="Times New Roman" w:hAnsi="Times New Roman"/>
          <w:color w:val="000000"/>
          <w:szCs w:val="24"/>
        </w:rPr>
        <w:t>ваздушни саобраћај</w:t>
      </w:r>
      <w:r w:rsidR="00C35185" w:rsidRPr="00C531A2">
        <w:rPr>
          <w:rFonts w:ascii="Times New Roman" w:hAnsi="Times New Roman"/>
          <w:color w:val="000000"/>
          <w:szCs w:val="24"/>
        </w:rPr>
        <w:t>,</w:t>
      </w:r>
      <w:r w:rsidR="0052392C" w:rsidRPr="00C531A2">
        <w:rPr>
          <w:rFonts w:ascii="Times New Roman" w:hAnsi="Times New Roman"/>
          <w:color w:val="000000"/>
          <w:szCs w:val="24"/>
        </w:rPr>
        <w:t xml:space="preserve"> </w:t>
      </w:r>
      <w:r w:rsidR="001C7611" w:rsidRPr="00C531A2">
        <w:rPr>
          <w:rFonts w:ascii="Times New Roman" w:hAnsi="Times New Roman"/>
          <w:color w:val="000000"/>
          <w:szCs w:val="24"/>
        </w:rPr>
        <w:t xml:space="preserve">стручна и административна подршка у области привредног и регионалног развоја </w:t>
      </w:r>
      <w:r w:rsidR="00B05118" w:rsidRPr="00C531A2">
        <w:rPr>
          <w:rFonts w:ascii="Times New Roman" w:hAnsi="Times New Roman"/>
          <w:color w:val="000000"/>
          <w:szCs w:val="24"/>
        </w:rPr>
        <w:t>и др.</w:t>
      </w:r>
      <w:r w:rsidR="00757C6A" w:rsidRPr="00C531A2">
        <w:rPr>
          <w:rFonts w:ascii="Times New Roman" w:hAnsi="Times New Roman"/>
          <w:color w:val="000000"/>
          <w:szCs w:val="24"/>
        </w:rPr>
        <w:t>)</w:t>
      </w:r>
      <w:r w:rsidR="0042282C" w:rsidRPr="00C531A2">
        <w:rPr>
          <w:rFonts w:ascii="Times New Roman" w:hAnsi="Times New Roman"/>
          <w:color w:val="000000"/>
          <w:szCs w:val="24"/>
        </w:rPr>
        <w:t>;</w:t>
      </w:r>
      <w:r w:rsidR="00DF267C" w:rsidRPr="00C531A2">
        <w:rPr>
          <w:rFonts w:ascii="Times New Roman" w:hAnsi="Times New Roman"/>
          <w:color w:val="000000"/>
          <w:szCs w:val="24"/>
        </w:rPr>
        <w:t xml:space="preserve"> </w:t>
      </w:r>
      <w:r w:rsidR="00DF267C" w:rsidRPr="00C531A2">
        <w:rPr>
          <w:rFonts w:ascii="Times New Roman" w:hAnsi="Times New Roman"/>
          <w:b/>
          <w:bCs/>
          <w:color w:val="000000"/>
          <w:szCs w:val="24"/>
        </w:rPr>
        <w:t>текуће поправке и одржавање</w:t>
      </w:r>
      <w:r w:rsidR="00757C6A" w:rsidRPr="00C531A2">
        <w:rPr>
          <w:rFonts w:ascii="Calibri" w:hAnsi="Calibri" w:cs="Calibri"/>
          <w:color w:val="000000"/>
          <w:sz w:val="22"/>
          <w:szCs w:val="22"/>
        </w:rPr>
        <w:t xml:space="preserve"> (</w:t>
      </w:r>
      <w:r w:rsidR="00DF267C" w:rsidRPr="00C531A2">
        <w:rPr>
          <w:rFonts w:ascii="Times New Roman" w:hAnsi="Times New Roman"/>
          <w:color w:val="000000"/>
          <w:szCs w:val="24"/>
        </w:rPr>
        <w:t xml:space="preserve">текуће </w:t>
      </w:r>
      <w:r w:rsidR="00886BCF" w:rsidRPr="00C531A2">
        <w:rPr>
          <w:rFonts w:ascii="Times New Roman" w:hAnsi="Times New Roman"/>
          <w:color w:val="000000"/>
          <w:szCs w:val="24"/>
        </w:rPr>
        <w:t>поправке и одржавање</w:t>
      </w:r>
      <w:r w:rsidR="00DF267C" w:rsidRPr="00C531A2">
        <w:rPr>
          <w:rFonts w:ascii="Times New Roman" w:hAnsi="Times New Roman"/>
          <w:color w:val="000000"/>
          <w:szCs w:val="24"/>
        </w:rPr>
        <w:t xml:space="preserve"> </w:t>
      </w:r>
      <w:r w:rsidR="00886BCF" w:rsidRPr="00C531A2">
        <w:rPr>
          <w:rFonts w:ascii="Times New Roman" w:hAnsi="Times New Roman"/>
          <w:color w:val="000000"/>
          <w:szCs w:val="24"/>
        </w:rPr>
        <w:t>у</w:t>
      </w:r>
      <w:r w:rsidR="00757C6A" w:rsidRPr="00C531A2">
        <w:rPr>
          <w:rFonts w:ascii="Times New Roman" w:hAnsi="Times New Roman"/>
          <w:color w:val="000000"/>
          <w:szCs w:val="24"/>
        </w:rPr>
        <w:t xml:space="preserve"> </w:t>
      </w:r>
      <w:r w:rsidR="00C35185" w:rsidRPr="00C531A2">
        <w:rPr>
          <w:rFonts w:ascii="Times New Roman" w:hAnsi="Times New Roman"/>
          <w:color w:val="000000"/>
          <w:szCs w:val="24"/>
        </w:rPr>
        <w:t xml:space="preserve">војсци и полицији, </w:t>
      </w:r>
      <w:r w:rsidR="0082655C" w:rsidRPr="00C531A2">
        <w:rPr>
          <w:rFonts w:ascii="Times New Roman" w:hAnsi="Times New Roman"/>
          <w:color w:val="000000"/>
          <w:szCs w:val="24"/>
        </w:rPr>
        <w:t>реализација делатности образовања</w:t>
      </w:r>
      <w:r w:rsidR="00377182" w:rsidRPr="00C531A2">
        <w:rPr>
          <w:rFonts w:ascii="Times New Roman" w:hAnsi="Times New Roman"/>
          <w:color w:val="000000"/>
          <w:szCs w:val="24"/>
        </w:rPr>
        <w:t>,</w:t>
      </w:r>
      <w:r w:rsidR="0082655C" w:rsidRPr="00C531A2">
        <w:rPr>
          <w:rFonts w:ascii="Times New Roman" w:hAnsi="Times New Roman"/>
          <w:color w:val="000000"/>
          <w:szCs w:val="24"/>
        </w:rPr>
        <w:t xml:space="preserve"> </w:t>
      </w:r>
      <w:r w:rsidR="00377182" w:rsidRPr="00C531A2">
        <w:t>уређење водотока и заштита од штетног дејства вода</w:t>
      </w:r>
      <w:r w:rsidR="00377182" w:rsidRPr="00C531A2">
        <w:rPr>
          <w:rFonts w:asciiTheme="minorHAnsi" w:hAnsiTheme="minorHAnsi"/>
        </w:rPr>
        <w:t xml:space="preserve"> </w:t>
      </w:r>
      <w:r w:rsidR="00DF267C" w:rsidRPr="00C531A2">
        <w:rPr>
          <w:rFonts w:ascii="Times New Roman" w:hAnsi="Times New Roman"/>
          <w:color w:val="000000"/>
          <w:szCs w:val="24"/>
        </w:rPr>
        <w:t>и др</w:t>
      </w:r>
      <w:r w:rsidR="006011D7" w:rsidRPr="00C531A2">
        <w:rPr>
          <w:rFonts w:ascii="Times New Roman" w:hAnsi="Times New Roman"/>
          <w:color w:val="000000"/>
          <w:szCs w:val="24"/>
        </w:rPr>
        <w:t>.</w:t>
      </w:r>
      <w:r w:rsidR="00757C6A" w:rsidRPr="00C531A2">
        <w:rPr>
          <w:rFonts w:ascii="Times New Roman" w:hAnsi="Times New Roman"/>
          <w:color w:val="000000"/>
          <w:szCs w:val="24"/>
        </w:rPr>
        <w:t>)</w:t>
      </w:r>
      <w:r w:rsidR="0042282C" w:rsidRPr="00C531A2">
        <w:rPr>
          <w:rFonts w:ascii="Times New Roman" w:hAnsi="Times New Roman"/>
          <w:color w:val="000000"/>
          <w:szCs w:val="24"/>
        </w:rPr>
        <w:t>;</w:t>
      </w:r>
      <w:r w:rsidR="00DF267C" w:rsidRPr="00C531A2">
        <w:rPr>
          <w:rFonts w:ascii="Times New Roman" w:hAnsi="Times New Roman"/>
          <w:color w:val="000000"/>
          <w:szCs w:val="24"/>
        </w:rPr>
        <w:t xml:space="preserve"> </w:t>
      </w:r>
      <w:r w:rsidR="00DF267C" w:rsidRPr="00C531A2">
        <w:rPr>
          <w:rFonts w:ascii="Times New Roman" w:hAnsi="Times New Roman"/>
          <w:b/>
          <w:bCs/>
          <w:color w:val="000000"/>
          <w:szCs w:val="24"/>
        </w:rPr>
        <w:t>материјал</w:t>
      </w:r>
      <w:r w:rsidR="00886BCF" w:rsidRPr="00C531A2">
        <w:rPr>
          <w:rFonts w:ascii="Times New Roman" w:hAnsi="Times New Roman"/>
          <w:b/>
          <w:bCs/>
          <w:color w:val="000000"/>
          <w:szCs w:val="24"/>
        </w:rPr>
        <w:t xml:space="preserve"> </w:t>
      </w:r>
      <w:r w:rsidR="00886BCF" w:rsidRPr="00C531A2">
        <w:rPr>
          <w:rFonts w:ascii="Times New Roman" w:hAnsi="Times New Roman"/>
          <w:color w:val="000000"/>
          <w:szCs w:val="24"/>
        </w:rPr>
        <w:t>(набавк</w:t>
      </w:r>
      <w:r w:rsidR="0042282C" w:rsidRPr="00C531A2">
        <w:rPr>
          <w:rFonts w:ascii="Times New Roman" w:hAnsi="Times New Roman"/>
          <w:color w:val="000000"/>
          <w:szCs w:val="24"/>
        </w:rPr>
        <w:t>а</w:t>
      </w:r>
      <w:r w:rsidR="00886BCF" w:rsidRPr="00C531A2">
        <w:rPr>
          <w:rFonts w:ascii="Times New Roman" w:hAnsi="Times New Roman"/>
          <w:color w:val="000000"/>
          <w:szCs w:val="24"/>
        </w:rPr>
        <w:t xml:space="preserve"> горива</w:t>
      </w:r>
      <w:r w:rsidR="00682B97" w:rsidRPr="00C531A2">
        <w:rPr>
          <w:rFonts w:ascii="Times New Roman" w:hAnsi="Times New Roman"/>
          <w:color w:val="000000"/>
          <w:szCs w:val="24"/>
        </w:rPr>
        <w:t>,</w:t>
      </w:r>
      <w:r w:rsidR="00886BCF" w:rsidRPr="00C531A2">
        <w:rPr>
          <w:rFonts w:ascii="Times New Roman" w:hAnsi="Times New Roman"/>
          <w:color w:val="000000"/>
          <w:szCs w:val="24"/>
        </w:rPr>
        <w:t xml:space="preserve"> </w:t>
      </w:r>
      <w:r w:rsidR="00682B97" w:rsidRPr="00C531A2">
        <w:rPr>
          <w:rFonts w:ascii="Times New Roman" w:hAnsi="Times New Roman"/>
          <w:color w:val="000000"/>
          <w:szCs w:val="24"/>
        </w:rPr>
        <w:t xml:space="preserve">намирница за припремање хране и униформи </w:t>
      </w:r>
      <w:r w:rsidR="00886BCF" w:rsidRPr="00C531A2">
        <w:rPr>
          <w:rFonts w:ascii="Times New Roman" w:hAnsi="Times New Roman"/>
          <w:color w:val="000000"/>
          <w:szCs w:val="24"/>
        </w:rPr>
        <w:t>за војску и полицију</w:t>
      </w:r>
      <w:r w:rsidR="00682B97" w:rsidRPr="00C531A2">
        <w:rPr>
          <w:rFonts w:ascii="Times New Roman" w:hAnsi="Times New Roman"/>
          <w:color w:val="000000"/>
          <w:szCs w:val="24"/>
        </w:rPr>
        <w:t>,</w:t>
      </w:r>
      <w:r w:rsidR="009D5C34" w:rsidRPr="00C531A2">
        <w:rPr>
          <w:rFonts w:ascii="Times New Roman" w:hAnsi="Times New Roman"/>
          <w:color w:val="000000"/>
          <w:szCs w:val="24"/>
        </w:rPr>
        <w:t xml:space="preserve"> </w:t>
      </w:r>
      <w:r w:rsidR="00886BCF" w:rsidRPr="00C531A2">
        <w:rPr>
          <w:rFonts w:ascii="Times New Roman" w:hAnsi="Times New Roman"/>
          <w:color w:val="000000"/>
          <w:szCs w:val="24"/>
        </w:rPr>
        <w:t xml:space="preserve">лекова за војно здравство, </w:t>
      </w:r>
      <w:r w:rsidR="0067574F" w:rsidRPr="00C531A2">
        <w:rPr>
          <w:rFonts w:ascii="Times New Roman" w:hAnsi="Times New Roman"/>
          <w:color w:val="000000"/>
          <w:szCs w:val="24"/>
        </w:rPr>
        <w:t>п</w:t>
      </w:r>
      <w:r w:rsidR="00886BCF" w:rsidRPr="00C531A2">
        <w:rPr>
          <w:rFonts w:ascii="Times New Roman" w:hAnsi="Times New Roman"/>
          <w:color w:val="000000"/>
          <w:szCs w:val="24"/>
        </w:rPr>
        <w:t>одршк</w:t>
      </w:r>
      <w:r w:rsidR="0042282C" w:rsidRPr="00C531A2">
        <w:rPr>
          <w:rFonts w:ascii="Times New Roman" w:hAnsi="Times New Roman"/>
          <w:color w:val="000000"/>
          <w:szCs w:val="24"/>
        </w:rPr>
        <w:t>а</w:t>
      </w:r>
      <w:r w:rsidR="00886BCF" w:rsidRPr="00C531A2">
        <w:rPr>
          <w:rFonts w:ascii="Times New Roman" w:hAnsi="Times New Roman"/>
          <w:color w:val="000000"/>
          <w:szCs w:val="24"/>
        </w:rPr>
        <w:t xml:space="preserve"> образовањ</w:t>
      </w:r>
      <w:r w:rsidR="0067574F" w:rsidRPr="00C531A2">
        <w:rPr>
          <w:rFonts w:ascii="Times New Roman" w:hAnsi="Times New Roman"/>
          <w:color w:val="000000"/>
          <w:szCs w:val="24"/>
        </w:rPr>
        <w:t>у</w:t>
      </w:r>
      <w:r w:rsidR="00886BCF" w:rsidRPr="00C531A2">
        <w:rPr>
          <w:rFonts w:ascii="Times New Roman" w:hAnsi="Times New Roman"/>
          <w:color w:val="000000"/>
          <w:szCs w:val="24"/>
        </w:rPr>
        <w:t xml:space="preserve"> ученика и студената,</w:t>
      </w:r>
      <w:r w:rsidR="0018148C" w:rsidRPr="00C531A2">
        <w:rPr>
          <w:rFonts w:ascii="Times New Roman" w:hAnsi="Times New Roman"/>
          <w:color w:val="000000"/>
          <w:szCs w:val="24"/>
        </w:rPr>
        <w:t xml:space="preserve"> </w:t>
      </w:r>
      <w:r w:rsidR="00886BCF" w:rsidRPr="00C531A2">
        <w:rPr>
          <w:rFonts w:ascii="Times New Roman" w:hAnsi="Times New Roman"/>
          <w:color w:val="000000"/>
          <w:szCs w:val="24"/>
        </w:rPr>
        <w:t>набавк</w:t>
      </w:r>
      <w:r w:rsidR="0042282C" w:rsidRPr="00C531A2">
        <w:rPr>
          <w:rFonts w:ascii="Times New Roman" w:hAnsi="Times New Roman"/>
          <w:color w:val="000000"/>
          <w:szCs w:val="24"/>
        </w:rPr>
        <w:t>а</w:t>
      </w:r>
      <w:r w:rsidR="00886BCF" w:rsidRPr="00C531A2">
        <w:rPr>
          <w:rFonts w:ascii="Times New Roman" w:hAnsi="Times New Roman"/>
          <w:color w:val="000000"/>
          <w:szCs w:val="24"/>
        </w:rPr>
        <w:t xml:space="preserve"> наставних средстава за ученике, полазнике</w:t>
      </w:r>
      <w:r w:rsidR="00C14B3C" w:rsidRPr="00C531A2">
        <w:rPr>
          <w:rFonts w:ascii="Times New Roman" w:hAnsi="Times New Roman"/>
          <w:color w:val="000000"/>
          <w:szCs w:val="24"/>
        </w:rPr>
        <w:t xml:space="preserve"> и установе</w:t>
      </w:r>
      <w:r w:rsidR="00040DCF" w:rsidRPr="00C531A2">
        <w:rPr>
          <w:rFonts w:ascii="Times New Roman" w:hAnsi="Times New Roman"/>
          <w:color w:val="000000"/>
          <w:szCs w:val="24"/>
        </w:rPr>
        <w:t>, обављање делатности установа социјалне заштите,</w:t>
      </w:r>
      <w:r w:rsidR="000055F9" w:rsidRPr="00C531A2">
        <w:rPr>
          <w:rFonts w:ascii="Times New Roman" w:hAnsi="Times New Roman"/>
          <w:color w:val="000000"/>
          <w:szCs w:val="24"/>
        </w:rPr>
        <w:t xml:space="preserve"> </w:t>
      </w:r>
      <w:r w:rsidR="001068F4" w:rsidRPr="00C531A2">
        <w:rPr>
          <w:rFonts w:ascii="Times New Roman" w:hAnsi="Times New Roman"/>
          <w:color w:val="000000"/>
          <w:szCs w:val="24"/>
        </w:rPr>
        <w:t xml:space="preserve">подршка лицима лишених слободе, </w:t>
      </w:r>
      <w:r w:rsidR="008028A6" w:rsidRPr="00C531A2">
        <w:rPr>
          <w:rFonts w:ascii="Times New Roman" w:hAnsi="Times New Roman"/>
          <w:color w:val="000000"/>
          <w:szCs w:val="24"/>
        </w:rPr>
        <w:t>одржавање објеката и oпреме, набавка опреме и материјала</w:t>
      </w:r>
      <w:r w:rsidR="001068F4" w:rsidRPr="00C531A2">
        <w:rPr>
          <w:rFonts w:ascii="Times New Roman" w:hAnsi="Times New Roman"/>
          <w:color w:val="000000"/>
          <w:szCs w:val="24"/>
        </w:rPr>
        <w:t>, систем одбране од града</w:t>
      </w:r>
      <w:r w:rsidR="00886BCF" w:rsidRPr="00C531A2">
        <w:rPr>
          <w:rFonts w:ascii="Times New Roman" w:hAnsi="Times New Roman"/>
          <w:color w:val="000000"/>
          <w:szCs w:val="24"/>
        </w:rPr>
        <w:t xml:space="preserve"> и др</w:t>
      </w:r>
      <w:r w:rsidR="00F50EDE" w:rsidRPr="00C531A2">
        <w:rPr>
          <w:rFonts w:ascii="Times New Roman" w:hAnsi="Times New Roman"/>
          <w:color w:val="000000"/>
          <w:szCs w:val="24"/>
        </w:rPr>
        <w:t>.</w:t>
      </w:r>
      <w:r w:rsidR="0067574F" w:rsidRPr="00C531A2">
        <w:rPr>
          <w:rFonts w:ascii="Times New Roman" w:hAnsi="Times New Roman"/>
          <w:color w:val="000000"/>
          <w:szCs w:val="24"/>
        </w:rPr>
        <w:t>)</w:t>
      </w:r>
      <w:r w:rsidR="00F50EDE" w:rsidRPr="00C531A2">
        <w:rPr>
          <w:rFonts w:ascii="Times New Roman" w:hAnsi="Times New Roman"/>
          <w:color w:val="000000"/>
          <w:szCs w:val="24"/>
        </w:rPr>
        <w:t>.</w:t>
      </w:r>
      <w:r w:rsidR="0067574F" w:rsidRPr="00C531A2">
        <w:rPr>
          <w:rFonts w:ascii="Calibri" w:hAnsi="Calibri" w:cs="Calibri"/>
          <w:color w:val="000000"/>
          <w:sz w:val="22"/>
          <w:szCs w:val="22"/>
        </w:rPr>
        <w:tab/>
      </w:r>
    </w:p>
    <w:p w14:paraId="70BB576C" w14:textId="77777777" w:rsidR="00725D9F" w:rsidRPr="00C531A2" w:rsidRDefault="00725D9F" w:rsidP="00DE7567">
      <w:pPr>
        <w:tabs>
          <w:tab w:val="left" w:pos="720"/>
          <w:tab w:val="center" w:pos="1134"/>
        </w:tabs>
        <w:ind w:firstLine="720"/>
        <w:rPr>
          <w:rFonts w:ascii="Times New Roman" w:hAnsi="Times New Roman"/>
          <w:color w:val="000000" w:themeColor="text1"/>
          <w:szCs w:val="24"/>
        </w:rPr>
      </w:pPr>
    </w:p>
    <w:p w14:paraId="3106B5E9" w14:textId="138194AB" w:rsidR="00AE51F8" w:rsidRPr="00C531A2" w:rsidRDefault="000E57BF" w:rsidP="0067574F">
      <w:pPr>
        <w:tabs>
          <w:tab w:val="left" w:pos="720"/>
          <w:tab w:val="center" w:pos="1134"/>
        </w:tabs>
        <w:rPr>
          <w:rFonts w:ascii="Times New Roman" w:hAnsi="Times New Roman"/>
          <w:szCs w:val="24"/>
        </w:rPr>
      </w:pPr>
      <w:r w:rsidRPr="00C531A2">
        <w:rPr>
          <w:rFonts w:ascii="Calibri" w:hAnsi="Calibri" w:cs="Calibri"/>
          <w:color w:val="000000"/>
          <w:sz w:val="22"/>
          <w:szCs w:val="22"/>
        </w:rPr>
        <w:tab/>
      </w:r>
      <w:r w:rsidR="0060186A" w:rsidRPr="00C531A2">
        <w:rPr>
          <w:rFonts w:ascii="Times New Roman" w:hAnsi="Times New Roman"/>
          <w:b/>
          <w:bCs/>
          <w:color w:val="000000"/>
          <w:szCs w:val="24"/>
        </w:rPr>
        <w:t>Отплата камата и пратећи трошкови задуж</w:t>
      </w:r>
      <w:r w:rsidR="009A4AEC" w:rsidRPr="00C531A2">
        <w:rPr>
          <w:rFonts w:ascii="Times New Roman" w:hAnsi="Times New Roman"/>
          <w:b/>
          <w:bCs/>
          <w:color w:val="000000"/>
          <w:szCs w:val="24"/>
        </w:rPr>
        <w:t>ивања</w:t>
      </w:r>
      <w:r w:rsidR="0060186A" w:rsidRPr="00C531A2">
        <w:rPr>
          <w:rFonts w:ascii="Times New Roman" w:hAnsi="Times New Roman"/>
          <w:szCs w:val="24"/>
        </w:rPr>
        <w:t xml:space="preserve"> планирани су у износу од </w:t>
      </w:r>
      <w:r w:rsidR="00ED7711" w:rsidRPr="00C531A2">
        <w:rPr>
          <w:rFonts w:ascii="Times New Roman" w:hAnsi="Times New Roman"/>
          <w:szCs w:val="24"/>
        </w:rPr>
        <w:t>212,1</w:t>
      </w:r>
      <w:r w:rsidR="00FE472B" w:rsidRPr="00C531A2">
        <w:rPr>
          <w:rFonts w:ascii="Times New Roman" w:hAnsi="Times New Roman"/>
          <w:szCs w:val="24"/>
        </w:rPr>
        <w:t>9</w:t>
      </w:r>
      <w:r w:rsidR="0060186A" w:rsidRPr="00C531A2">
        <w:rPr>
          <w:rFonts w:ascii="Times New Roman" w:hAnsi="Times New Roman"/>
          <w:szCs w:val="24"/>
        </w:rPr>
        <w:t xml:space="preserve"> млрд динара </w:t>
      </w:r>
      <w:r w:rsidR="00AC1800" w:rsidRPr="00C531A2">
        <w:rPr>
          <w:rFonts w:ascii="Times New Roman" w:hAnsi="Times New Roman"/>
          <w:szCs w:val="24"/>
        </w:rPr>
        <w:t>и учествују са</w:t>
      </w:r>
      <w:r w:rsidR="0060186A" w:rsidRPr="00C531A2">
        <w:rPr>
          <w:rFonts w:ascii="Times New Roman" w:hAnsi="Times New Roman"/>
          <w:szCs w:val="24"/>
        </w:rPr>
        <w:t xml:space="preserve"> </w:t>
      </w:r>
      <w:r w:rsidR="00FE472B" w:rsidRPr="00C531A2">
        <w:rPr>
          <w:rFonts w:ascii="Times New Roman" w:hAnsi="Times New Roman"/>
          <w:szCs w:val="24"/>
        </w:rPr>
        <w:t>7,71</w:t>
      </w:r>
      <w:r w:rsidR="00630863" w:rsidRPr="00C531A2">
        <w:rPr>
          <w:rFonts w:ascii="Times New Roman" w:hAnsi="Times New Roman"/>
          <w:szCs w:val="24"/>
        </w:rPr>
        <w:t>%</w:t>
      </w:r>
      <w:r w:rsidR="0060186A" w:rsidRPr="00C531A2">
        <w:rPr>
          <w:rFonts w:ascii="Times New Roman" w:hAnsi="Times New Roman"/>
          <w:szCs w:val="24"/>
        </w:rPr>
        <w:t xml:space="preserve"> </w:t>
      </w:r>
      <w:r w:rsidR="00AC1800" w:rsidRPr="00C531A2">
        <w:rPr>
          <w:rFonts w:ascii="Times New Roman" w:hAnsi="Times New Roman"/>
          <w:szCs w:val="24"/>
        </w:rPr>
        <w:t xml:space="preserve">у </w:t>
      </w:r>
      <w:r w:rsidR="006B7A26" w:rsidRPr="00C531A2">
        <w:rPr>
          <w:rFonts w:ascii="Times New Roman" w:hAnsi="Times New Roman"/>
          <w:szCs w:val="24"/>
        </w:rPr>
        <w:t>укупни</w:t>
      </w:r>
      <w:r w:rsidR="00AC1800" w:rsidRPr="00C531A2">
        <w:rPr>
          <w:rFonts w:ascii="Times New Roman" w:hAnsi="Times New Roman"/>
          <w:szCs w:val="24"/>
        </w:rPr>
        <w:t>м</w:t>
      </w:r>
      <w:r w:rsidR="006B7A26" w:rsidRPr="00C531A2">
        <w:rPr>
          <w:rFonts w:ascii="Times New Roman" w:hAnsi="Times New Roman"/>
          <w:szCs w:val="24"/>
        </w:rPr>
        <w:t xml:space="preserve"> расход</w:t>
      </w:r>
      <w:r w:rsidR="00AC1800" w:rsidRPr="00C531A2">
        <w:rPr>
          <w:rFonts w:ascii="Times New Roman" w:hAnsi="Times New Roman"/>
          <w:szCs w:val="24"/>
        </w:rPr>
        <w:t>има</w:t>
      </w:r>
      <w:r w:rsidR="006B7A26" w:rsidRPr="00C531A2">
        <w:rPr>
          <w:rFonts w:ascii="Times New Roman" w:hAnsi="Times New Roman"/>
          <w:szCs w:val="24"/>
        </w:rPr>
        <w:t xml:space="preserve"> и изда</w:t>
      </w:r>
      <w:r w:rsidR="00AC1800" w:rsidRPr="00C531A2">
        <w:rPr>
          <w:rFonts w:ascii="Times New Roman" w:hAnsi="Times New Roman"/>
          <w:szCs w:val="24"/>
        </w:rPr>
        <w:t>цима</w:t>
      </w:r>
      <w:r w:rsidR="00FB76E5" w:rsidRPr="00C531A2">
        <w:rPr>
          <w:rFonts w:ascii="Times New Roman" w:hAnsi="Times New Roman"/>
          <w:szCs w:val="24"/>
        </w:rPr>
        <w:t>. Средства су највећим делом планирана за сервисирање домаћег и спољног дуга и плаћања по гаранцијама.</w:t>
      </w:r>
    </w:p>
    <w:p w14:paraId="6D3115A5" w14:textId="77777777" w:rsidR="00725D9F" w:rsidRPr="00C531A2" w:rsidRDefault="00725D9F" w:rsidP="0067574F">
      <w:pPr>
        <w:tabs>
          <w:tab w:val="left" w:pos="720"/>
          <w:tab w:val="center" w:pos="1134"/>
        </w:tabs>
        <w:rPr>
          <w:rFonts w:ascii="Times New Roman" w:hAnsi="Times New Roman"/>
          <w:szCs w:val="24"/>
        </w:rPr>
      </w:pPr>
    </w:p>
    <w:p w14:paraId="53C202FB" w14:textId="7477607E" w:rsidR="004822E2" w:rsidRPr="00C531A2" w:rsidRDefault="00AE51F8" w:rsidP="002F20E7">
      <w:pPr>
        <w:ind w:firstLine="720"/>
        <w:rPr>
          <w:rFonts w:ascii="Calibri" w:hAnsi="Calibri" w:cs="Calibri"/>
          <w:color w:val="000000"/>
          <w:sz w:val="22"/>
          <w:szCs w:val="22"/>
          <w:lang w:eastAsia="sr-Latn-RS"/>
        </w:rPr>
      </w:pPr>
      <w:r w:rsidRPr="00C531A2">
        <w:rPr>
          <w:rFonts w:ascii="Times New Roman" w:hAnsi="Times New Roman"/>
          <w:b/>
          <w:szCs w:val="24"/>
        </w:rPr>
        <w:t>Расходи за субвенци</w:t>
      </w:r>
      <w:r w:rsidR="00F2632E" w:rsidRPr="00C531A2">
        <w:rPr>
          <w:rFonts w:ascii="Times New Roman" w:hAnsi="Times New Roman"/>
          <w:b/>
          <w:szCs w:val="24"/>
        </w:rPr>
        <w:t>је</w:t>
      </w:r>
      <w:r w:rsidRPr="00C531A2">
        <w:rPr>
          <w:rFonts w:ascii="Times New Roman" w:hAnsi="Times New Roman"/>
          <w:b/>
          <w:szCs w:val="24"/>
        </w:rPr>
        <w:t xml:space="preserve"> </w:t>
      </w:r>
      <w:r w:rsidRPr="00C531A2">
        <w:rPr>
          <w:rFonts w:ascii="Times New Roman" w:hAnsi="Times New Roman"/>
          <w:szCs w:val="24"/>
        </w:rPr>
        <w:t>планирани</w:t>
      </w:r>
      <w:r w:rsidR="00F2632E" w:rsidRPr="00C531A2">
        <w:rPr>
          <w:rFonts w:ascii="Times New Roman" w:hAnsi="Times New Roman"/>
          <w:szCs w:val="24"/>
        </w:rPr>
        <w:t xml:space="preserve"> су</w:t>
      </w:r>
      <w:r w:rsidRPr="00C531A2">
        <w:rPr>
          <w:rFonts w:ascii="Times New Roman" w:hAnsi="Times New Roman"/>
          <w:szCs w:val="24"/>
        </w:rPr>
        <w:t xml:space="preserve"> у укупном износу од </w:t>
      </w:r>
      <w:bookmarkStart w:id="1" w:name="_Hlk119238563"/>
      <w:r w:rsidR="00120756" w:rsidRPr="00C531A2">
        <w:rPr>
          <w:rFonts w:ascii="Times New Roman" w:hAnsi="Times New Roman"/>
          <w:szCs w:val="24"/>
        </w:rPr>
        <w:t>214,</w:t>
      </w:r>
      <w:r w:rsidR="008C2AA3">
        <w:rPr>
          <w:rFonts w:ascii="Times New Roman" w:hAnsi="Times New Roman"/>
          <w:szCs w:val="24"/>
        </w:rPr>
        <w:t>46</w:t>
      </w:r>
      <w:r w:rsidR="00B13E85" w:rsidRPr="00C531A2">
        <w:rPr>
          <w:rFonts w:ascii="Times New Roman" w:hAnsi="Times New Roman"/>
          <w:szCs w:val="24"/>
        </w:rPr>
        <w:t xml:space="preserve"> </w:t>
      </w:r>
      <w:r w:rsidRPr="00C531A2">
        <w:rPr>
          <w:rFonts w:ascii="Times New Roman" w:hAnsi="Times New Roman"/>
          <w:szCs w:val="24"/>
        </w:rPr>
        <w:t xml:space="preserve">млрд динара </w:t>
      </w:r>
      <w:bookmarkEnd w:id="1"/>
      <w:r w:rsidRPr="00C531A2">
        <w:rPr>
          <w:rFonts w:ascii="Times New Roman" w:hAnsi="Times New Roman"/>
          <w:szCs w:val="24"/>
        </w:rPr>
        <w:t xml:space="preserve">и учествују са </w:t>
      </w:r>
      <w:r w:rsidR="00120756" w:rsidRPr="00C531A2">
        <w:rPr>
          <w:rFonts w:ascii="Times New Roman" w:hAnsi="Times New Roman"/>
          <w:szCs w:val="24"/>
        </w:rPr>
        <w:t>7,</w:t>
      </w:r>
      <w:r w:rsidR="00A03BE3" w:rsidRPr="00C531A2">
        <w:rPr>
          <w:rFonts w:ascii="Times New Roman" w:hAnsi="Times New Roman"/>
          <w:szCs w:val="24"/>
        </w:rPr>
        <w:t>79</w:t>
      </w:r>
      <w:r w:rsidR="00630863" w:rsidRPr="00C531A2">
        <w:rPr>
          <w:rFonts w:ascii="Times New Roman" w:hAnsi="Times New Roman"/>
          <w:szCs w:val="24"/>
        </w:rPr>
        <w:t>%</w:t>
      </w:r>
      <w:r w:rsidRPr="00C531A2">
        <w:rPr>
          <w:rFonts w:ascii="Times New Roman" w:hAnsi="Times New Roman"/>
          <w:szCs w:val="24"/>
        </w:rPr>
        <w:t xml:space="preserve"> у укупним расходима и издацима</w:t>
      </w:r>
      <w:r w:rsidR="007958D7" w:rsidRPr="00C531A2">
        <w:rPr>
          <w:rFonts w:ascii="Times New Roman" w:hAnsi="Times New Roman"/>
          <w:szCs w:val="24"/>
        </w:rPr>
        <w:t xml:space="preserve">. </w:t>
      </w:r>
      <w:r w:rsidRPr="00C531A2">
        <w:rPr>
          <w:rFonts w:ascii="Times New Roman" w:hAnsi="Times New Roman"/>
          <w:szCs w:val="24"/>
        </w:rPr>
        <w:t>Субвенције су највећим делом планиране за</w:t>
      </w:r>
      <w:r w:rsidR="00873964" w:rsidRPr="00C531A2">
        <w:rPr>
          <w:rFonts w:ascii="Times New Roman" w:hAnsi="Times New Roman"/>
          <w:szCs w:val="24"/>
        </w:rPr>
        <w:t>:</w:t>
      </w:r>
      <w:r w:rsidR="00596BD6" w:rsidRPr="00C531A2">
        <w:t xml:space="preserve"> </w:t>
      </w:r>
      <w:r w:rsidR="007958D7" w:rsidRPr="00C531A2">
        <w:rPr>
          <w:rFonts w:ascii="Times New Roman" w:hAnsi="Times New Roman"/>
          <w:szCs w:val="24"/>
        </w:rPr>
        <w:t>субвенције</w:t>
      </w:r>
      <w:r w:rsidR="00596BD6" w:rsidRPr="00C531A2">
        <w:rPr>
          <w:rFonts w:ascii="Times New Roman" w:hAnsi="Times New Roman"/>
          <w:szCs w:val="24"/>
        </w:rPr>
        <w:t xml:space="preserve"> у пољопривреди </w:t>
      </w:r>
      <w:r w:rsidR="00055A71" w:rsidRPr="00C531A2">
        <w:rPr>
          <w:rFonts w:ascii="Times New Roman" w:hAnsi="Times New Roman"/>
          <w:szCs w:val="24"/>
        </w:rPr>
        <w:t>(подршк</w:t>
      </w:r>
      <w:r w:rsidR="007958D7" w:rsidRPr="00C531A2">
        <w:rPr>
          <w:rFonts w:ascii="Times New Roman" w:hAnsi="Times New Roman"/>
          <w:szCs w:val="24"/>
        </w:rPr>
        <w:t>а</w:t>
      </w:r>
      <w:r w:rsidR="00055A71" w:rsidRPr="00C531A2">
        <w:rPr>
          <w:rFonts w:ascii="Times New Roman" w:hAnsi="Times New Roman"/>
          <w:szCs w:val="24"/>
        </w:rPr>
        <w:t xml:space="preserve"> реализацији мерама у оквиру </w:t>
      </w:r>
      <w:r w:rsidR="004D73DE" w:rsidRPr="00C531A2">
        <w:rPr>
          <w:rFonts w:ascii="Times New Roman" w:hAnsi="Times New Roman"/>
          <w:szCs w:val="24"/>
        </w:rPr>
        <w:t>д</w:t>
      </w:r>
      <w:r w:rsidR="00055A71" w:rsidRPr="00C531A2">
        <w:rPr>
          <w:rFonts w:ascii="Times New Roman" w:hAnsi="Times New Roman"/>
          <w:szCs w:val="24"/>
        </w:rPr>
        <w:t>иректних подстицаја у пољопривреди</w:t>
      </w:r>
      <w:r w:rsidR="006E0E3C" w:rsidRPr="00C531A2">
        <w:rPr>
          <w:rFonts w:ascii="Times New Roman" w:hAnsi="Times New Roman"/>
          <w:szCs w:val="24"/>
        </w:rPr>
        <w:t>,</w:t>
      </w:r>
      <w:r w:rsidR="00055A71" w:rsidRPr="00C531A2">
        <w:rPr>
          <w:rFonts w:ascii="Times New Roman" w:hAnsi="Times New Roman"/>
          <w:szCs w:val="24"/>
        </w:rPr>
        <w:t xml:space="preserve"> подршк</w:t>
      </w:r>
      <w:r w:rsidR="007958D7" w:rsidRPr="00C531A2">
        <w:rPr>
          <w:rFonts w:ascii="Times New Roman" w:hAnsi="Times New Roman"/>
          <w:szCs w:val="24"/>
        </w:rPr>
        <w:t>а</w:t>
      </w:r>
      <w:r w:rsidR="00055A71" w:rsidRPr="00C531A2">
        <w:rPr>
          <w:rFonts w:ascii="Times New Roman" w:hAnsi="Times New Roman"/>
          <w:szCs w:val="24"/>
        </w:rPr>
        <w:t xml:space="preserve"> реализацији мерама руралног развоја</w:t>
      </w:r>
      <w:r w:rsidR="00E842C9" w:rsidRPr="00C531A2">
        <w:rPr>
          <w:rFonts w:ascii="Times New Roman" w:hAnsi="Times New Roman"/>
          <w:szCs w:val="24"/>
        </w:rPr>
        <w:t>;</w:t>
      </w:r>
      <w:r w:rsidR="00055A71" w:rsidRPr="00C531A2">
        <w:rPr>
          <w:rFonts w:ascii="Times New Roman" w:hAnsi="Times New Roman"/>
          <w:szCs w:val="24"/>
        </w:rPr>
        <w:t xml:space="preserve"> </w:t>
      </w:r>
      <w:r w:rsidR="00596BD6" w:rsidRPr="00C531A2">
        <w:rPr>
          <w:rFonts w:ascii="Times New Roman" w:hAnsi="Times New Roman"/>
          <w:szCs w:val="24"/>
        </w:rPr>
        <w:t>ИПАРД</w:t>
      </w:r>
      <w:r w:rsidR="00E842C9" w:rsidRPr="00C531A2">
        <w:rPr>
          <w:rFonts w:ascii="Times New Roman" w:hAnsi="Times New Roman"/>
          <w:szCs w:val="24"/>
        </w:rPr>
        <w:t>;</w:t>
      </w:r>
      <w:r w:rsidR="002360B7" w:rsidRPr="00C531A2">
        <w:rPr>
          <w:rFonts w:ascii="Times New Roman" w:hAnsi="Times New Roman"/>
          <w:szCs w:val="24"/>
        </w:rPr>
        <w:t xml:space="preserve"> подршк</w:t>
      </w:r>
      <w:r w:rsidR="001D077F" w:rsidRPr="00C531A2">
        <w:rPr>
          <w:rFonts w:ascii="Times New Roman" w:hAnsi="Times New Roman"/>
          <w:szCs w:val="24"/>
        </w:rPr>
        <w:t>а</w:t>
      </w:r>
      <w:r w:rsidR="002360B7" w:rsidRPr="00C531A2">
        <w:rPr>
          <w:rFonts w:ascii="Times New Roman" w:hAnsi="Times New Roman"/>
          <w:szCs w:val="24"/>
        </w:rPr>
        <w:t xml:space="preserve"> за заштиту здравља животиња и др.</w:t>
      </w:r>
      <w:r w:rsidR="007958D7" w:rsidRPr="00C531A2">
        <w:rPr>
          <w:rFonts w:ascii="Times New Roman" w:hAnsi="Times New Roman"/>
          <w:szCs w:val="24"/>
        </w:rPr>
        <w:t>);</w:t>
      </w:r>
      <w:r w:rsidR="00AE6CEE" w:rsidRPr="00C531A2">
        <w:rPr>
          <w:rFonts w:ascii="Times New Roman" w:hAnsi="Times New Roman"/>
          <w:szCs w:val="24"/>
        </w:rPr>
        <w:t xml:space="preserve"> </w:t>
      </w:r>
      <w:r w:rsidR="007958D7" w:rsidRPr="00C531A2">
        <w:rPr>
          <w:rFonts w:ascii="Times New Roman" w:hAnsi="Times New Roman"/>
          <w:szCs w:val="24"/>
        </w:rPr>
        <w:t xml:space="preserve">субвенције за </w:t>
      </w:r>
      <w:r w:rsidR="003E0332" w:rsidRPr="00C531A2">
        <w:rPr>
          <w:rFonts w:ascii="Times New Roman" w:hAnsi="Times New Roman"/>
          <w:szCs w:val="24"/>
        </w:rPr>
        <w:t>различите видове саобраћаја</w:t>
      </w:r>
      <w:r w:rsidR="007958D7" w:rsidRPr="00C531A2">
        <w:rPr>
          <w:rFonts w:ascii="Times New Roman" w:hAnsi="Times New Roman"/>
          <w:szCs w:val="24"/>
        </w:rPr>
        <w:t xml:space="preserve"> (</w:t>
      </w:r>
      <w:r w:rsidR="009E6C75" w:rsidRPr="00C531A2">
        <w:rPr>
          <w:rFonts w:ascii="Times New Roman" w:hAnsi="Times New Roman"/>
          <w:szCs w:val="24"/>
        </w:rPr>
        <w:t xml:space="preserve">железнички, </w:t>
      </w:r>
      <w:r w:rsidR="007958D7" w:rsidRPr="00C531A2">
        <w:rPr>
          <w:rFonts w:ascii="Times New Roman" w:hAnsi="Times New Roman"/>
          <w:szCs w:val="24"/>
        </w:rPr>
        <w:t>друмски и ваздушни саобраћај);</w:t>
      </w:r>
      <w:r w:rsidR="004130A6" w:rsidRPr="00C531A2">
        <w:rPr>
          <w:rFonts w:ascii="Times New Roman" w:hAnsi="Times New Roman"/>
          <w:szCs w:val="24"/>
        </w:rPr>
        <w:t xml:space="preserve"> субвенције у привреди (</w:t>
      </w:r>
      <w:r w:rsidR="008647C1" w:rsidRPr="00C531A2">
        <w:rPr>
          <w:rFonts w:ascii="Times New Roman" w:hAnsi="Times New Roman"/>
          <w:szCs w:val="24"/>
        </w:rPr>
        <w:t xml:space="preserve">улагања од посебног значаја у привреди, </w:t>
      </w:r>
      <w:r w:rsidR="00660625" w:rsidRPr="00C531A2">
        <w:rPr>
          <w:rFonts w:ascii="Times New Roman" w:hAnsi="Times New Roman"/>
          <w:szCs w:val="24"/>
        </w:rPr>
        <w:t>подршк</w:t>
      </w:r>
      <w:r w:rsidR="008647C1" w:rsidRPr="00C531A2">
        <w:rPr>
          <w:rFonts w:ascii="Times New Roman" w:hAnsi="Times New Roman"/>
          <w:szCs w:val="24"/>
        </w:rPr>
        <w:t>а реализацији EXPO Београд 2027</w:t>
      </w:r>
      <w:r w:rsidR="00660625" w:rsidRPr="00C531A2">
        <w:rPr>
          <w:rFonts w:ascii="Times New Roman" w:hAnsi="Times New Roman"/>
          <w:szCs w:val="24"/>
        </w:rPr>
        <w:t xml:space="preserve"> </w:t>
      </w:r>
      <w:r w:rsidR="004130A6" w:rsidRPr="00C531A2">
        <w:rPr>
          <w:rFonts w:ascii="Times New Roman" w:hAnsi="Times New Roman"/>
          <w:szCs w:val="24"/>
        </w:rPr>
        <w:t xml:space="preserve">и др.); </w:t>
      </w:r>
      <w:r w:rsidR="00FB1F64" w:rsidRPr="00C531A2">
        <w:rPr>
          <w:rFonts w:ascii="Times New Roman" w:hAnsi="Times New Roman"/>
          <w:szCs w:val="24"/>
        </w:rPr>
        <w:t xml:space="preserve">субвенције у области </w:t>
      </w:r>
      <w:r w:rsidR="006E0E3C" w:rsidRPr="00C531A2">
        <w:rPr>
          <w:rFonts w:ascii="Times New Roman" w:hAnsi="Times New Roman"/>
          <w:szCs w:val="24"/>
        </w:rPr>
        <w:t xml:space="preserve">рударства и </w:t>
      </w:r>
      <w:r w:rsidR="00FB1F64" w:rsidRPr="00C531A2">
        <w:rPr>
          <w:rFonts w:ascii="Times New Roman" w:hAnsi="Times New Roman"/>
          <w:szCs w:val="24"/>
        </w:rPr>
        <w:t>енергетике (консолидација пословања ЈП ПЕУ Ресавица</w:t>
      </w:r>
      <w:r w:rsidR="009E6C75" w:rsidRPr="00C531A2">
        <w:rPr>
          <w:rFonts w:ascii="Times New Roman" w:hAnsi="Times New Roman"/>
          <w:szCs w:val="24"/>
        </w:rPr>
        <w:t xml:space="preserve">, енергетски угрожени купац, </w:t>
      </w:r>
      <w:r w:rsidR="00FB1F64" w:rsidRPr="00C531A2">
        <w:rPr>
          <w:rFonts w:ascii="Times New Roman" w:hAnsi="Times New Roman"/>
          <w:szCs w:val="24"/>
        </w:rPr>
        <w:t xml:space="preserve">реализација пројекта БеоГрид2025 и др.); </w:t>
      </w:r>
      <w:r w:rsidR="002360B7" w:rsidRPr="00C531A2">
        <w:rPr>
          <w:rFonts w:ascii="Times New Roman" w:hAnsi="Times New Roman"/>
          <w:szCs w:val="24"/>
        </w:rPr>
        <w:t>субвенције у области заштите животне средине (</w:t>
      </w:r>
      <w:r w:rsidR="00AE6CEE" w:rsidRPr="00C531A2">
        <w:rPr>
          <w:rFonts w:ascii="Times New Roman" w:hAnsi="Times New Roman"/>
          <w:szCs w:val="24"/>
        </w:rPr>
        <w:t>подстицај</w:t>
      </w:r>
      <w:r w:rsidR="002360B7" w:rsidRPr="00C531A2">
        <w:rPr>
          <w:rFonts w:ascii="Times New Roman" w:hAnsi="Times New Roman"/>
          <w:szCs w:val="24"/>
        </w:rPr>
        <w:t>и</w:t>
      </w:r>
      <w:r w:rsidR="00AE6CEE" w:rsidRPr="00C531A2">
        <w:rPr>
          <w:rFonts w:ascii="Times New Roman" w:hAnsi="Times New Roman"/>
          <w:szCs w:val="24"/>
        </w:rPr>
        <w:t xml:space="preserve"> за поновну употребу и искоришћење отпада</w:t>
      </w:r>
      <w:r w:rsidR="00ED7711" w:rsidRPr="00C531A2">
        <w:rPr>
          <w:rFonts w:ascii="Times New Roman" w:hAnsi="Times New Roman"/>
          <w:szCs w:val="24"/>
        </w:rPr>
        <w:t>)</w:t>
      </w:r>
      <w:r w:rsidR="00AF1FBD" w:rsidRPr="00C531A2">
        <w:rPr>
          <w:rFonts w:ascii="Times New Roman" w:hAnsi="Times New Roman"/>
          <w:szCs w:val="24"/>
        </w:rPr>
        <w:t xml:space="preserve">; </w:t>
      </w:r>
      <w:r w:rsidR="002360B7" w:rsidRPr="00C531A2">
        <w:rPr>
          <w:rFonts w:ascii="Times New Roman" w:hAnsi="Times New Roman"/>
          <w:szCs w:val="24"/>
        </w:rPr>
        <w:t>субвенције у области културе (</w:t>
      </w:r>
      <w:r w:rsidR="00AE6CEE" w:rsidRPr="00C531A2">
        <w:rPr>
          <w:rFonts w:ascii="Times New Roman" w:hAnsi="Times New Roman"/>
          <w:szCs w:val="24"/>
        </w:rPr>
        <w:t>п</w:t>
      </w:r>
      <w:r w:rsidR="00596BD6" w:rsidRPr="00C531A2">
        <w:rPr>
          <w:rFonts w:ascii="Times New Roman" w:hAnsi="Times New Roman"/>
          <w:szCs w:val="24"/>
        </w:rPr>
        <w:t>одршк</w:t>
      </w:r>
      <w:r w:rsidR="002360B7" w:rsidRPr="00C531A2">
        <w:rPr>
          <w:rFonts w:ascii="Times New Roman" w:hAnsi="Times New Roman"/>
          <w:szCs w:val="24"/>
        </w:rPr>
        <w:t>а</w:t>
      </w:r>
      <w:r w:rsidR="00596BD6" w:rsidRPr="00C531A2">
        <w:rPr>
          <w:rFonts w:ascii="Times New Roman" w:hAnsi="Times New Roman"/>
          <w:szCs w:val="24"/>
        </w:rPr>
        <w:t xml:space="preserve"> филмској уметности и осталом аудиовизуелном стваралаштву</w:t>
      </w:r>
      <w:r w:rsidR="002360B7" w:rsidRPr="00C531A2">
        <w:rPr>
          <w:rFonts w:ascii="Times New Roman" w:hAnsi="Times New Roman"/>
          <w:szCs w:val="24"/>
        </w:rPr>
        <w:t xml:space="preserve"> и др.); субвенције у области науке (</w:t>
      </w:r>
      <w:r w:rsidR="00AE6CEE" w:rsidRPr="00C531A2">
        <w:rPr>
          <w:rFonts w:ascii="Times New Roman" w:hAnsi="Times New Roman"/>
          <w:szCs w:val="24"/>
        </w:rPr>
        <w:t>п</w:t>
      </w:r>
      <w:r w:rsidR="00596BD6" w:rsidRPr="00C531A2">
        <w:rPr>
          <w:rFonts w:ascii="Times New Roman" w:hAnsi="Times New Roman"/>
          <w:szCs w:val="24"/>
        </w:rPr>
        <w:t>одршк</w:t>
      </w:r>
      <w:r w:rsidR="002360B7" w:rsidRPr="00C531A2">
        <w:rPr>
          <w:rFonts w:ascii="Times New Roman" w:hAnsi="Times New Roman"/>
          <w:szCs w:val="24"/>
        </w:rPr>
        <w:t>а</w:t>
      </w:r>
      <w:r w:rsidR="00596BD6" w:rsidRPr="00C531A2">
        <w:rPr>
          <w:rFonts w:ascii="Times New Roman" w:hAnsi="Times New Roman"/>
          <w:szCs w:val="24"/>
        </w:rPr>
        <w:t xml:space="preserve"> раду Фонда за иновациону делатност</w:t>
      </w:r>
      <w:r w:rsidR="00354246" w:rsidRPr="00C531A2">
        <w:rPr>
          <w:rFonts w:ascii="Times New Roman" w:hAnsi="Times New Roman"/>
          <w:szCs w:val="24"/>
        </w:rPr>
        <w:t xml:space="preserve"> и Фонда за науку</w:t>
      </w:r>
      <w:r w:rsidR="002360B7" w:rsidRPr="00C531A2">
        <w:rPr>
          <w:rFonts w:ascii="Times New Roman" w:hAnsi="Times New Roman"/>
          <w:szCs w:val="24"/>
        </w:rPr>
        <w:t xml:space="preserve"> и др.);</w:t>
      </w:r>
      <w:r w:rsidR="00AE6CEE" w:rsidRPr="00C531A2">
        <w:rPr>
          <w:rFonts w:ascii="Times New Roman" w:hAnsi="Times New Roman"/>
          <w:szCs w:val="24"/>
        </w:rPr>
        <w:t xml:space="preserve"> </w:t>
      </w:r>
      <w:r w:rsidR="00A85D90" w:rsidRPr="00C531A2">
        <w:rPr>
          <w:rFonts w:ascii="Times New Roman" w:hAnsi="Times New Roman"/>
          <w:szCs w:val="24"/>
        </w:rPr>
        <w:t>субвенције у области туризма (</w:t>
      </w:r>
      <w:r w:rsidR="001145A1" w:rsidRPr="00C531A2">
        <w:rPr>
          <w:rFonts w:ascii="Times New Roman" w:hAnsi="Times New Roman"/>
          <w:szCs w:val="24"/>
        </w:rPr>
        <w:t>изградња скијалишне инфраструктуре,</w:t>
      </w:r>
      <w:r w:rsidR="00A85D90" w:rsidRPr="00C531A2">
        <w:rPr>
          <w:rFonts w:ascii="Times New Roman" w:hAnsi="Times New Roman"/>
          <w:szCs w:val="24"/>
        </w:rPr>
        <w:t xml:space="preserve"> подршка раду Туристичке организације Србије</w:t>
      </w:r>
      <w:r w:rsidR="00397D4B" w:rsidRPr="00C531A2">
        <w:rPr>
          <w:rFonts w:ascii="Times New Roman" w:hAnsi="Times New Roman"/>
          <w:szCs w:val="24"/>
        </w:rPr>
        <w:t xml:space="preserve"> </w:t>
      </w:r>
      <w:r w:rsidR="00A85D90" w:rsidRPr="00C531A2">
        <w:rPr>
          <w:rFonts w:ascii="Times New Roman" w:hAnsi="Times New Roman"/>
          <w:szCs w:val="24"/>
        </w:rPr>
        <w:t xml:space="preserve">и др.); </w:t>
      </w:r>
      <w:r w:rsidR="00354246" w:rsidRPr="00C531A2">
        <w:rPr>
          <w:rFonts w:ascii="Times New Roman" w:hAnsi="Times New Roman"/>
          <w:szCs w:val="24"/>
        </w:rPr>
        <w:t>остале субвенције (</w:t>
      </w:r>
      <w:r w:rsidR="00B6447C" w:rsidRPr="00C531A2">
        <w:rPr>
          <w:rFonts w:ascii="Times New Roman" w:hAnsi="Times New Roman"/>
          <w:szCs w:val="24"/>
        </w:rPr>
        <w:t xml:space="preserve">подршка предузећима за професионалну рехабилитацију особа са инвалидитетом; </w:t>
      </w:r>
      <w:r w:rsidR="00354246" w:rsidRPr="00C531A2">
        <w:rPr>
          <w:rFonts w:ascii="Times New Roman" w:hAnsi="Times New Roman"/>
          <w:szCs w:val="24"/>
        </w:rPr>
        <w:t xml:space="preserve">подршка унапређењу квалитета живота српског и неалбанског становништва на територији АП Косово и Метохија и </w:t>
      </w:r>
      <w:r w:rsidR="00A31588" w:rsidRPr="00C531A2">
        <w:rPr>
          <w:rFonts w:ascii="Times New Roman" w:hAnsi="Times New Roman"/>
          <w:szCs w:val="24"/>
        </w:rPr>
        <w:t>др.</w:t>
      </w:r>
      <w:r w:rsidR="00354246" w:rsidRPr="00C531A2">
        <w:rPr>
          <w:rFonts w:ascii="Times New Roman" w:hAnsi="Times New Roman"/>
          <w:szCs w:val="24"/>
        </w:rPr>
        <w:t>)</w:t>
      </w:r>
      <w:r w:rsidR="0055204A" w:rsidRPr="00C531A2">
        <w:rPr>
          <w:rFonts w:ascii="Times New Roman" w:hAnsi="Times New Roman"/>
          <w:szCs w:val="24"/>
        </w:rPr>
        <w:t>.</w:t>
      </w:r>
    </w:p>
    <w:p w14:paraId="24CA6272" w14:textId="349E85FF" w:rsidR="00761E0F" w:rsidRPr="00C531A2" w:rsidRDefault="00761E0F" w:rsidP="001D6C5D">
      <w:pPr>
        <w:tabs>
          <w:tab w:val="left" w:pos="720"/>
          <w:tab w:val="left" w:pos="900"/>
          <w:tab w:val="center" w:pos="1134"/>
        </w:tabs>
        <w:rPr>
          <w:rFonts w:ascii="Times New Roman" w:hAnsi="Times New Roman"/>
          <w:b/>
          <w:szCs w:val="24"/>
          <w:highlight w:val="yellow"/>
        </w:rPr>
      </w:pPr>
    </w:p>
    <w:p w14:paraId="44A9B7FF" w14:textId="792585C7" w:rsidR="00B22BF5" w:rsidRPr="00C531A2" w:rsidRDefault="000F4B12" w:rsidP="002D10C3">
      <w:pPr>
        <w:tabs>
          <w:tab w:val="left" w:pos="720"/>
        </w:tabs>
        <w:outlineLvl w:val="0"/>
        <w:rPr>
          <w:rFonts w:ascii="Times New Roman" w:hAnsi="Times New Roman"/>
          <w:b/>
          <w:bCs/>
          <w:color w:val="000000"/>
          <w:szCs w:val="24"/>
        </w:rPr>
      </w:pPr>
      <w:r w:rsidRPr="00C531A2">
        <w:rPr>
          <w:rFonts w:ascii="Times New Roman" w:hAnsi="Times New Roman"/>
          <w:b/>
          <w:bCs/>
          <w:color w:val="000000"/>
          <w:szCs w:val="24"/>
        </w:rPr>
        <w:lastRenderedPageBreak/>
        <w:tab/>
      </w:r>
      <w:r w:rsidR="00B42CFC">
        <w:drawing>
          <wp:inline distT="0" distB="0" distL="0" distR="0" wp14:anchorId="2F8A12DD" wp14:editId="42CF2DD1">
            <wp:extent cx="5419725" cy="3038339"/>
            <wp:effectExtent l="0" t="0" r="0" b="0"/>
            <wp:docPr id="5078713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5150" cy="3041380"/>
                    </a:xfrm>
                    <a:prstGeom prst="rect">
                      <a:avLst/>
                    </a:prstGeom>
                    <a:noFill/>
                  </pic:spPr>
                </pic:pic>
              </a:graphicData>
            </a:graphic>
          </wp:inline>
        </w:drawing>
      </w:r>
    </w:p>
    <w:p w14:paraId="72387611" w14:textId="77777777" w:rsidR="009A6434" w:rsidRPr="00C531A2" w:rsidRDefault="00B22BF5" w:rsidP="002D10C3">
      <w:pPr>
        <w:tabs>
          <w:tab w:val="left" w:pos="720"/>
        </w:tabs>
        <w:outlineLvl w:val="0"/>
        <w:rPr>
          <w:rFonts w:ascii="Times New Roman" w:hAnsi="Times New Roman"/>
          <w:b/>
          <w:bCs/>
          <w:color w:val="000000"/>
          <w:szCs w:val="24"/>
        </w:rPr>
      </w:pPr>
      <w:r w:rsidRPr="00C531A2">
        <w:rPr>
          <w:rFonts w:ascii="Times New Roman" w:hAnsi="Times New Roman"/>
          <w:b/>
          <w:bCs/>
          <w:color w:val="000000"/>
          <w:szCs w:val="24"/>
        </w:rPr>
        <w:tab/>
      </w:r>
    </w:p>
    <w:p w14:paraId="736EF6D2" w14:textId="461CEAF8" w:rsidR="00AE51F8" w:rsidRPr="00C531A2" w:rsidRDefault="009A6434" w:rsidP="002D10C3">
      <w:pPr>
        <w:tabs>
          <w:tab w:val="left" w:pos="720"/>
        </w:tabs>
        <w:outlineLvl w:val="0"/>
        <w:rPr>
          <w:rFonts w:ascii="Times New Roman" w:hAnsi="Times New Roman"/>
          <w:color w:val="000000"/>
          <w:szCs w:val="24"/>
        </w:rPr>
      </w:pPr>
      <w:r w:rsidRPr="00C531A2">
        <w:rPr>
          <w:rFonts w:ascii="Times New Roman" w:hAnsi="Times New Roman"/>
          <w:b/>
          <w:bCs/>
          <w:color w:val="000000"/>
          <w:szCs w:val="24"/>
        </w:rPr>
        <w:tab/>
      </w:r>
      <w:r w:rsidR="00AE51F8" w:rsidRPr="00C531A2">
        <w:rPr>
          <w:rFonts w:ascii="Times New Roman" w:hAnsi="Times New Roman"/>
          <w:b/>
          <w:bCs/>
          <w:color w:val="000000"/>
          <w:szCs w:val="24"/>
        </w:rPr>
        <w:t xml:space="preserve">Дотације међународним организацијама </w:t>
      </w:r>
      <w:r w:rsidR="00AE51F8" w:rsidRPr="00C531A2">
        <w:rPr>
          <w:rFonts w:ascii="Times New Roman" w:hAnsi="Times New Roman"/>
          <w:color w:val="000000"/>
          <w:szCs w:val="24"/>
        </w:rPr>
        <w:t>планиране су у износу од</w:t>
      </w:r>
      <w:r w:rsidR="00B13E85" w:rsidRPr="00C531A2">
        <w:rPr>
          <w:rFonts w:ascii="Times New Roman" w:hAnsi="Times New Roman"/>
          <w:color w:val="000000"/>
          <w:szCs w:val="24"/>
        </w:rPr>
        <w:t xml:space="preserve"> </w:t>
      </w:r>
      <w:r w:rsidR="00D23B51" w:rsidRPr="00C531A2">
        <w:rPr>
          <w:rFonts w:ascii="Times New Roman" w:hAnsi="Times New Roman"/>
          <w:color w:val="000000"/>
          <w:szCs w:val="24"/>
        </w:rPr>
        <w:t>10,9</w:t>
      </w:r>
      <w:r w:rsidR="006050EF" w:rsidRPr="00C531A2">
        <w:rPr>
          <w:rFonts w:ascii="Times New Roman" w:hAnsi="Times New Roman"/>
          <w:color w:val="000000"/>
          <w:szCs w:val="24"/>
        </w:rPr>
        <w:t>6</w:t>
      </w:r>
      <w:r w:rsidR="00AE51F8" w:rsidRPr="00C531A2">
        <w:rPr>
          <w:rFonts w:ascii="Times New Roman" w:hAnsi="Times New Roman"/>
          <w:color w:val="000000"/>
          <w:szCs w:val="24"/>
        </w:rPr>
        <w:t xml:space="preserve"> млрд динара и њихово учешће у укупним расходима и издацима је 0,</w:t>
      </w:r>
      <w:r w:rsidR="00D23B51" w:rsidRPr="00C531A2">
        <w:rPr>
          <w:rFonts w:ascii="Times New Roman" w:hAnsi="Times New Roman"/>
          <w:color w:val="000000"/>
          <w:szCs w:val="24"/>
        </w:rPr>
        <w:t>40</w:t>
      </w:r>
      <w:r w:rsidR="00AE51F8" w:rsidRPr="00C531A2">
        <w:rPr>
          <w:rFonts w:ascii="Times New Roman" w:hAnsi="Times New Roman"/>
          <w:color w:val="000000"/>
          <w:szCs w:val="24"/>
        </w:rPr>
        <w:t>%. Средства су планирана највећим делом за</w:t>
      </w:r>
      <w:r w:rsidR="00E741EB" w:rsidRPr="00C531A2">
        <w:rPr>
          <w:rFonts w:ascii="Times New Roman" w:hAnsi="Times New Roman"/>
          <w:szCs w:val="24"/>
        </w:rPr>
        <w:t>:</w:t>
      </w:r>
      <w:r w:rsidR="00AE51F8" w:rsidRPr="00C531A2">
        <w:rPr>
          <w:rFonts w:ascii="Times New Roman" w:hAnsi="Times New Roman"/>
          <w:szCs w:val="24"/>
        </w:rPr>
        <w:t xml:space="preserve"> ИПА подршку за учешће у програмима ЕУ</w:t>
      </w:r>
      <w:r w:rsidR="000B2E1D" w:rsidRPr="00C531A2">
        <w:rPr>
          <w:rFonts w:ascii="Times New Roman" w:hAnsi="Times New Roman"/>
          <w:szCs w:val="24"/>
        </w:rPr>
        <w:t>;</w:t>
      </w:r>
      <w:r w:rsidR="00AE51F8" w:rsidRPr="00C531A2">
        <w:rPr>
          <w:rFonts w:ascii="Times New Roman" w:hAnsi="Times New Roman"/>
          <w:szCs w:val="24"/>
        </w:rPr>
        <w:t xml:space="preserve"> </w:t>
      </w:r>
      <w:r w:rsidR="00F93025" w:rsidRPr="00C531A2">
        <w:rPr>
          <w:rFonts w:ascii="Times New Roman" w:hAnsi="Times New Roman"/>
          <w:szCs w:val="24"/>
        </w:rPr>
        <w:t>подршку интеграцији у европски образовни простор</w:t>
      </w:r>
      <w:r w:rsidR="000B2E1D" w:rsidRPr="00C531A2">
        <w:rPr>
          <w:rFonts w:ascii="Times New Roman" w:hAnsi="Times New Roman"/>
          <w:szCs w:val="24"/>
        </w:rPr>
        <w:t>;</w:t>
      </w:r>
      <w:r w:rsidR="00F93025" w:rsidRPr="00C531A2">
        <w:rPr>
          <w:rFonts w:ascii="Times New Roman" w:hAnsi="Times New Roman"/>
          <w:szCs w:val="24"/>
        </w:rPr>
        <w:t xml:space="preserve"> </w:t>
      </w:r>
      <w:r w:rsidR="00647CAE" w:rsidRPr="00C531A2">
        <w:rPr>
          <w:rFonts w:ascii="Times New Roman" w:hAnsi="Times New Roman"/>
          <w:color w:val="000000"/>
          <w:szCs w:val="24"/>
        </w:rPr>
        <w:t xml:space="preserve">административну подршку управљању финансијским и фискалним системом, </w:t>
      </w:r>
      <w:r w:rsidR="00AE51F8" w:rsidRPr="00C531A2">
        <w:rPr>
          <w:rFonts w:ascii="Times New Roman" w:hAnsi="Times New Roman"/>
          <w:color w:val="000000"/>
          <w:szCs w:val="24"/>
        </w:rPr>
        <w:t>чланство у међународним организацијама и међународне активности и сарадњу</w:t>
      </w:r>
      <w:r w:rsidR="004B4AB2" w:rsidRPr="00C531A2">
        <w:rPr>
          <w:rFonts w:ascii="Times New Roman" w:hAnsi="Times New Roman"/>
          <w:color w:val="000000"/>
          <w:szCs w:val="24"/>
        </w:rPr>
        <w:t xml:space="preserve"> и др</w:t>
      </w:r>
      <w:r w:rsidR="00AE51F8" w:rsidRPr="00C531A2">
        <w:rPr>
          <w:rFonts w:ascii="Times New Roman" w:hAnsi="Times New Roman"/>
          <w:color w:val="000000"/>
          <w:szCs w:val="24"/>
        </w:rPr>
        <w:t xml:space="preserve">. </w:t>
      </w:r>
    </w:p>
    <w:p w14:paraId="45AE329D" w14:textId="77777777" w:rsidR="00725D9F" w:rsidRPr="00C531A2" w:rsidRDefault="00725D9F" w:rsidP="002D10C3">
      <w:pPr>
        <w:tabs>
          <w:tab w:val="left" w:pos="720"/>
        </w:tabs>
        <w:outlineLvl w:val="0"/>
        <w:rPr>
          <w:rFonts w:ascii="Times New Roman" w:hAnsi="Times New Roman"/>
          <w:b/>
          <w:bCs/>
          <w:color w:val="000000"/>
          <w:szCs w:val="24"/>
        </w:rPr>
      </w:pPr>
    </w:p>
    <w:p w14:paraId="48627A20" w14:textId="02297108" w:rsidR="00CE2A83" w:rsidRPr="00C531A2" w:rsidRDefault="000871DD" w:rsidP="00CE2A83">
      <w:pPr>
        <w:tabs>
          <w:tab w:val="left" w:pos="720"/>
        </w:tabs>
        <w:outlineLvl w:val="0"/>
        <w:rPr>
          <w:rStyle w:val="CharCharChar5"/>
          <w:rFonts w:ascii="Times New Roman" w:hAnsi="Times New Roman"/>
          <w:color w:val="000000"/>
          <w:szCs w:val="24"/>
          <w:highlight w:val="yellow"/>
          <w:lang w:val="sr-Cyrl-RS"/>
        </w:rPr>
      </w:pPr>
      <w:r w:rsidRPr="00C531A2">
        <w:rPr>
          <w:rFonts w:ascii="Times New Roman" w:hAnsi="Times New Roman"/>
          <w:color w:val="000000"/>
          <w:szCs w:val="24"/>
        </w:rPr>
        <w:tab/>
      </w:r>
      <w:r w:rsidR="00CE2A83" w:rsidRPr="00C531A2">
        <w:rPr>
          <w:rFonts w:ascii="Times New Roman" w:hAnsi="Times New Roman"/>
          <w:b/>
          <w:szCs w:val="24"/>
        </w:rPr>
        <w:t xml:space="preserve">Трансфери осталим нивоима власти </w:t>
      </w:r>
      <w:r w:rsidR="00CE2A83" w:rsidRPr="00C531A2">
        <w:rPr>
          <w:rFonts w:ascii="Times New Roman" w:hAnsi="Times New Roman"/>
          <w:bCs/>
          <w:szCs w:val="24"/>
        </w:rPr>
        <w:t>планирани</w:t>
      </w:r>
      <w:r w:rsidR="00CE2A83" w:rsidRPr="00C531A2">
        <w:rPr>
          <w:rStyle w:val="CharCharChar5"/>
          <w:rFonts w:ascii="Times New Roman" w:hAnsi="Times New Roman"/>
          <w:bCs/>
          <w:szCs w:val="24"/>
          <w:lang w:val="sr-Cyrl-RS"/>
        </w:rPr>
        <w:t xml:space="preserve"> с</w:t>
      </w:r>
      <w:r w:rsidR="00CE2A83" w:rsidRPr="00C531A2">
        <w:rPr>
          <w:rStyle w:val="CharCharChar5"/>
          <w:rFonts w:ascii="Times New Roman" w:hAnsi="Times New Roman"/>
          <w:szCs w:val="24"/>
          <w:lang w:val="sr-Cyrl-RS"/>
        </w:rPr>
        <w:t xml:space="preserve">у у укупном износу од </w:t>
      </w:r>
      <w:r w:rsidR="006050EF" w:rsidRPr="00C531A2">
        <w:rPr>
          <w:rStyle w:val="CharCharChar5"/>
          <w:rFonts w:ascii="Times New Roman" w:hAnsi="Times New Roman"/>
          <w:szCs w:val="24"/>
          <w:lang w:val="sr-Cyrl-RS"/>
        </w:rPr>
        <w:t>83,</w:t>
      </w:r>
      <w:r w:rsidR="00790B6F">
        <w:rPr>
          <w:rStyle w:val="CharCharChar5"/>
          <w:rFonts w:ascii="Times New Roman" w:hAnsi="Times New Roman"/>
          <w:szCs w:val="24"/>
          <w:lang w:val="sr-Latn-RS"/>
        </w:rPr>
        <w:t>12</w:t>
      </w:r>
      <w:r w:rsidR="005024F8" w:rsidRPr="00C531A2">
        <w:rPr>
          <w:rStyle w:val="CharCharChar5"/>
          <w:rFonts w:ascii="Times New Roman" w:hAnsi="Times New Roman"/>
          <w:szCs w:val="24"/>
          <w:lang w:val="sr-Cyrl-RS"/>
        </w:rPr>
        <w:t xml:space="preserve"> </w:t>
      </w:r>
      <w:r w:rsidR="00CE2A83" w:rsidRPr="00C531A2">
        <w:rPr>
          <w:rStyle w:val="CharCharChar5"/>
          <w:rFonts w:ascii="Times New Roman" w:hAnsi="Times New Roman"/>
          <w:szCs w:val="24"/>
          <w:lang w:val="sr-Cyrl-RS"/>
        </w:rPr>
        <w:t xml:space="preserve">млрд динара и учествују са </w:t>
      </w:r>
      <w:r w:rsidR="00B46411" w:rsidRPr="00C531A2">
        <w:rPr>
          <w:rStyle w:val="CharCharChar5"/>
          <w:rFonts w:ascii="Times New Roman" w:hAnsi="Times New Roman"/>
          <w:szCs w:val="24"/>
          <w:lang w:val="sr-Cyrl-RS"/>
        </w:rPr>
        <w:t>3,0</w:t>
      </w:r>
      <w:r w:rsidR="008C2AA3">
        <w:rPr>
          <w:rStyle w:val="CharCharChar5"/>
          <w:rFonts w:ascii="Times New Roman" w:hAnsi="Times New Roman"/>
          <w:szCs w:val="24"/>
          <w:lang w:val="sr-Cyrl-RS"/>
        </w:rPr>
        <w:t>2</w:t>
      </w:r>
      <w:r w:rsidR="00630863" w:rsidRPr="00C531A2">
        <w:rPr>
          <w:rStyle w:val="CharCharChar5"/>
          <w:rFonts w:ascii="Times New Roman" w:hAnsi="Times New Roman"/>
          <w:szCs w:val="24"/>
          <w:lang w:val="sr-Cyrl-RS"/>
        </w:rPr>
        <w:t>%</w:t>
      </w:r>
      <w:r w:rsidR="00CE2A83" w:rsidRPr="00C531A2">
        <w:rPr>
          <w:rStyle w:val="CharCharChar5"/>
          <w:rFonts w:ascii="Times New Roman" w:hAnsi="Times New Roman"/>
          <w:szCs w:val="24"/>
          <w:lang w:val="sr-Cyrl-RS"/>
        </w:rPr>
        <w:t xml:space="preserve"> </w:t>
      </w:r>
      <w:r w:rsidR="00641494" w:rsidRPr="00C531A2">
        <w:rPr>
          <w:rStyle w:val="CharCharChar5"/>
          <w:rFonts w:ascii="Times New Roman" w:hAnsi="Times New Roman"/>
          <w:szCs w:val="24"/>
          <w:lang w:val="sr-Cyrl-RS"/>
        </w:rPr>
        <w:t xml:space="preserve">у </w:t>
      </w:r>
      <w:r w:rsidR="00CE2A83" w:rsidRPr="00C531A2">
        <w:rPr>
          <w:rStyle w:val="CharCharChar5"/>
          <w:rFonts w:ascii="Times New Roman" w:hAnsi="Times New Roman"/>
          <w:szCs w:val="24"/>
          <w:lang w:val="sr-Cyrl-RS"/>
        </w:rPr>
        <w:t>укупним расходима и издацима. Наведени трансфери су планирани за наменске и ненаменске трансфере јединицама локалне самоуправе и трансфере Аутономној покрајини Војводини.</w:t>
      </w:r>
    </w:p>
    <w:p w14:paraId="04F3FAD7" w14:textId="154345F9" w:rsidR="00CE2A83" w:rsidRPr="00C531A2" w:rsidRDefault="00CE2A83" w:rsidP="00CE2A83">
      <w:pPr>
        <w:tabs>
          <w:tab w:val="left" w:pos="720"/>
        </w:tabs>
        <w:ind w:right="-90"/>
        <w:rPr>
          <w:rFonts w:ascii="Times New Roman" w:hAnsi="Times New Roman"/>
          <w:szCs w:val="24"/>
        </w:rPr>
      </w:pPr>
      <w:r w:rsidRPr="00C531A2">
        <w:rPr>
          <w:rStyle w:val="CharCharChar5"/>
          <w:rFonts w:ascii="Times New Roman" w:hAnsi="Times New Roman"/>
          <w:szCs w:val="24"/>
          <w:lang w:val="sr-Cyrl-RS"/>
        </w:rPr>
        <w:tab/>
      </w:r>
      <w:r w:rsidRPr="00C531A2">
        <w:rPr>
          <w:rFonts w:ascii="Times New Roman" w:hAnsi="Times New Roman"/>
          <w:szCs w:val="24"/>
        </w:rPr>
        <w:t>Средства за покриће издатака буџета Аутономне покрајинe Војводине обезбедиће се из дела прихода од пореза на доходак грађана - пореза на зараде, у висини од 18% износа оствареног на териториј</w:t>
      </w:r>
      <w:r w:rsidR="00912A6C" w:rsidRPr="00C531A2">
        <w:rPr>
          <w:rFonts w:ascii="Times New Roman" w:hAnsi="Times New Roman"/>
          <w:szCs w:val="24"/>
        </w:rPr>
        <w:t>и Аутономне покрајине Војводине,</w:t>
      </w:r>
      <w:r w:rsidRPr="00C531A2">
        <w:rPr>
          <w:rFonts w:ascii="Times New Roman" w:hAnsi="Times New Roman"/>
          <w:szCs w:val="24"/>
        </w:rPr>
        <w:t xml:space="preserve"> из дела прихода од пореза на добит предузећа, у висини од 42,7% износа оствареног на територији Аутономне покрајине Војводине и</w:t>
      </w:r>
      <w:r w:rsidR="00EE2F13" w:rsidRPr="00C531A2">
        <w:rPr>
          <w:rFonts w:ascii="Times New Roman" w:hAnsi="Times New Roman"/>
          <w:szCs w:val="24"/>
        </w:rPr>
        <w:t xml:space="preserve"> из</w:t>
      </w:r>
      <w:r w:rsidRPr="00C531A2">
        <w:rPr>
          <w:rFonts w:ascii="Times New Roman" w:hAnsi="Times New Roman"/>
          <w:szCs w:val="24"/>
        </w:rPr>
        <w:t xml:space="preserve"> трансфера из буџета Републике Србије, и то:</w:t>
      </w:r>
    </w:p>
    <w:p w14:paraId="2FF61D9A" w14:textId="5943700F" w:rsidR="00CE2A83" w:rsidRPr="00C531A2" w:rsidRDefault="00CE2A83" w:rsidP="00CE2A83">
      <w:pPr>
        <w:tabs>
          <w:tab w:val="left" w:pos="720"/>
        </w:tabs>
        <w:rPr>
          <w:rFonts w:ascii="Times New Roman" w:hAnsi="Times New Roman"/>
          <w:szCs w:val="24"/>
        </w:rPr>
      </w:pPr>
      <w:r w:rsidRPr="00C531A2">
        <w:rPr>
          <w:rFonts w:ascii="Times New Roman" w:hAnsi="Times New Roman"/>
          <w:szCs w:val="24"/>
        </w:rPr>
        <w:tab/>
        <w:t xml:space="preserve">- трансфери за поверене послове у складу са законом којим се утврђују надлежности Аутономне покрајине Војводине; </w:t>
      </w:r>
    </w:p>
    <w:p w14:paraId="0FDA6B53" w14:textId="77777777" w:rsidR="00CE2A83" w:rsidRPr="00C531A2" w:rsidRDefault="00CE2A83" w:rsidP="00CE2A83">
      <w:pPr>
        <w:tabs>
          <w:tab w:val="left" w:pos="720"/>
        </w:tabs>
        <w:rPr>
          <w:rFonts w:ascii="Times New Roman" w:hAnsi="Times New Roman"/>
          <w:szCs w:val="24"/>
        </w:rPr>
      </w:pPr>
      <w:r w:rsidRPr="00C531A2">
        <w:rPr>
          <w:rFonts w:ascii="Times New Roman" w:hAnsi="Times New Roman"/>
          <w:szCs w:val="24"/>
        </w:rPr>
        <w:tab/>
        <w:t>- наменски и ненаменски трансфери јединицама локалне самоуправе са територије Аутономне покрајине Војводине, у складу са Законом о финансирању локалне самоуправе;</w:t>
      </w:r>
    </w:p>
    <w:p w14:paraId="36EFEC6B" w14:textId="7A6018CD" w:rsidR="00CE2A83" w:rsidRPr="00C531A2" w:rsidRDefault="00CE2A83" w:rsidP="00CE2A83">
      <w:pPr>
        <w:tabs>
          <w:tab w:val="left" w:pos="720"/>
        </w:tabs>
        <w:rPr>
          <w:rFonts w:ascii="Times New Roman" w:hAnsi="Times New Roman"/>
          <w:szCs w:val="24"/>
        </w:rPr>
      </w:pPr>
      <w:r w:rsidRPr="00C531A2">
        <w:rPr>
          <w:rFonts w:ascii="Times New Roman" w:hAnsi="Times New Roman"/>
          <w:szCs w:val="24"/>
        </w:rPr>
        <w:tab/>
        <w:t>- наменски капитални трансфери за пројекте које утврди Влада.</w:t>
      </w:r>
      <w:r w:rsidRPr="00C531A2">
        <w:rPr>
          <w:rFonts w:ascii="Times New Roman" w:hAnsi="Times New Roman"/>
          <w:szCs w:val="24"/>
        </w:rPr>
        <w:tab/>
      </w:r>
      <w:r w:rsidRPr="00C531A2">
        <w:rPr>
          <w:rFonts w:ascii="Times New Roman" w:hAnsi="Times New Roman"/>
          <w:szCs w:val="24"/>
        </w:rPr>
        <w:tab/>
      </w:r>
      <w:r w:rsidRPr="00C531A2">
        <w:rPr>
          <w:rFonts w:ascii="Times New Roman" w:hAnsi="Times New Roman"/>
          <w:szCs w:val="24"/>
        </w:rPr>
        <w:tab/>
      </w:r>
      <w:r w:rsidR="00912A6C" w:rsidRPr="00C531A2">
        <w:rPr>
          <w:rFonts w:ascii="Times New Roman" w:hAnsi="Times New Roman"/>
          <w:szCs w:val="24"/>
        </w:rPr>
        <w:t>У наредној табели</w:t>
      </w:r>
      <w:r w:rsidRPr="00C531A2">
        <w:rPr>
          <w:rFonts w:ascii="Times New Roman" w:hAnsi="Times New Roman"/>
          <w:szCs w:val="24"/>
        </w:rPr>
        <w:t xml:space="preserve"> приказана </w:t>
      </w:r>
      <w:r w:rsidR="00912A6C" w:rsidRPr="00C531A2">
        <w:rPr>
          <w:rFonts w:ascii="Times New Roman" w:hAnsi="Times New Roman"/>
          <w:szCs w:val="24"/>
        </w:rPr>
        <w:t xml:space="preserve">су </w:t>
      </w:r>
      <w:r w:rsidRPr="00C531A2">
        <w:rPr>
          <w:rFonts w:ascii="Times New Roman" w:hAnsi="Times New Roman"/>
          <w:szCs w:val="24"/>
        </w:rPr>
        <w:t xml:space="preserve">средства која се из буџета Републике Србије усмеравају буџету Аутономне покрајине Војводине (трансфери за поверене послове, наменски и ненаменски трансфери јединицама локалне самоуправе </w:t>
      </w:r>
      <w:r w:rsidR="00C07F69" w:rsidRPr="00C531A2">
        <w:rPr>
          <w:rFonts w:ascii="Times New Roman" w:hAnsi="Times New Roman"/>
          <w:szCs w:val="24"/>
        </w:rPr>
        <w:t>са територије АП Војводине и др</w:t>
      </w:r>
      <w:r w:rsidRPr="00C531A2">
        <w:rPr>
          <w:rFonts w:ascii="Times New Roman" w:hAnsi="Times New Roman"/>
          <w:szCs w:val="24"/>
        </w:rPr>
        <w:t>), као и средства намењена за капиталне издаткe:</w:t>
      </w:r>
    </w:p>
    <w:p w14:paraId="1081409F" w14:textId="77777777" w:rsidR="005A2A90" w:rsidRPr="00C531A2" w:rsidRDefault="005A2A90" w:rsidP="00CE2A83">
      <w:pPr>
        <w:tabs>
          <w:tab w:val="left" w:pos="720"/>
        </w:tabs>
        <w:rPr>
          <w:rFonts w:ascii="Times New Roman" w:hAnsi="Times New Roman"/>
          <w:szCs w:val="24"/>
        </w:rPr>
      </w:pPr>
    </w:p>
    <w:p w14:paraId="7737DC93" w14:textId="77777777" w:rsidR="00293F00" w:rsidRPr="00C531A2" w:rsidRDefault="00293F00" w:rsidP="00CE2A83">
      <w:pPr>
        <w:tabs>
          <w:tab w:val="left" w:pos="720"/>
        </w:tabs>
        <w:rPr>
          <w:rFonts w:ascii="Times New Roman" w:hAnsi="Times New Roman"/>
          <w:szCs w:val="24"/>
        </w:rPr>
      </w:pPr>
    </w:p>
    <w:tbl>
      <w:tblPr>
        <w:tblW w:w="6397" w:type="pct"/>
        <w:tblInd w:w="-147" w:type="dxa"/>
        <w:tblLayout w:type="fixed"/>
        <w:tblLook w:val="04A0" w:firstRow="1" w:lastRow="0" w:firstColumn="1" w:lastColumn="0" w:noHBand="0" w:noVBand="1"/>
      </w:tblPr>
      <w:tblGrid>
        <w:gridCol w:w="864"/>
        <w:gridCol w:w="3599"/>
        <w:gridCol w:w="3871"/>
        <w:gridCol w:w="9"/>
        <w:gridCol w:w="1970"/>
        <w:gridCol w:w="832"/>
        <w:gridCol w:w="11"/>
      </w:tblGrid>
      <w:tr w:rsidR="00502209" w:rsidRPr="00C531A2" w14:paraId="1A013715" w14:textId="77777777" w:rsidTr="00502209">
        <w:trPr>
          <w:gridAfter w:val="2"/>
          <w:wAfter w:w="378" w:type="pct"/>
          <w:cantSplit/>
          <w:trHeight w:val="570"/>
          <w:tblHeader/>
        </w:trPr>
        <w:tc>
          <w:tcPr>
            <w:tcW w:w="387" w:type="pct"/>
            <w:tcBorders>
              <w:top w:val="single" w:sz="4" w:space="0" w:color="auto"/>
              <w:left w:val="single" w:sz="4" w:space="0" w:color="auto"/>
              <w:bottom w:val="single" w:sz="4" w:space="0" w:color="auto"/>
              <w:right w:val="single" w:sz="4" w:space="0" w:color="auto"/>
            </w:tcBorders>
            <w:vAlign w:val="center"/>
            <w:hideMark/>
          </w:tcPr>
          <w:p w14:paraId="3515E24C" w14:textId="77777777" w:rsidR="00293F00" w:rsidRPr="00C531A2" w:rsidRDefault="00293F00" w:rsidP="00725D9F">
            <w:pPr>
              <w:jc w:val="center"/>
              <w:rPr>
                <w:rFonts w:ascii="Times New Roman" w:hAnsi="Times New Roman"/>
                <w:b/>
                <w:bCs/>
                <w:color w:val="000000"/>
                <w:sz w:val="22"/>
              </w:rPr>
            </w:pPr>
            <w:r w:rsidRPr="00C531A2">
              <w:rPr>
                <w:rFonts w:ascii="Times New Roman" w:hAnsi="Times New Roman"/>
                <w:b/>
                <w:bCs/>
                <w:color w:val="000000"/>
                <w:sz w:val="22"/>
              </w:rPr>
              <w:t>Ред број</w:t>
            </w:r>
          </w:p>
        </w:tc>
        <w:tc>
          <w:tcPr>
            <w:tcW w:w="1613" w:type="pct"/>
            <w:tcBorders>
              <w:top w:val="single" w:sz="4" w:space="0" w:color="auto"/>
              <w:left w:val="nil"/>
              <w:bottom w:val="single" w:sz="4" w:space="0" w:color="auto"/>
              <w:right w:val="single" w:sz="4" w:space="0" w:color="auto"/>
            </w:tcBorders>
            <w:vAlign w:val="center"/>
            <w:hideMark/>
          </w:tcPr>
          <w:p w14:paraId="239750DB" w14:textId="77777777" w:rsidR="00293F00" w:rsidRPr="00C531A2" w:rsidRDefault="00293F00" w:rsidP="00725D9F">
            <w:pPr>
              <w:jc w:val="center"/>
              <w:rPr>
                <w:rFonts w:ascii="Times New Roman" w:hAnsi="Times New Roman"/>
                <w:b/>
                <w:bCs/>
                <w:color w:val="000000"/>
                <w:sz w:val="22"/>
              </w:rPr>
            </w:pPr>
            <w:r w:rsidRPr="00C531A2">
              <w:rPr>
                <w:rFonts w:ascii="Times New Roman" w:hAnsi="Times New Roman"/>
                <w:b/>
                <w:bCs/>
                <w:color w:val="000000"/>
                <w:sz w:val="22"/>
              </w:rPr>
              <w:t>Орган/организација</w:t>
            </w:r>
          </w:p>
        </w:tc>
        <w:tc>
          <w:tcPr>
            <w:tcW w:w="1735" w:type="pct"/>
            <w:tcBorders>
              <w:top w:val="single" w:sz="4" w:space="0" w:color="auto"/>
              <w:left w:val="nil"/>
              <w:bottom w:val="single" w:sz="4" w:space="0" w:color="auto"/>
              <w:right w:val="single" w:sz="4" w:space="0" w:color="auto"/>
            </w:tcBorders>
            <w:vAlign w:val="center"/>
            <w:hideMark/>
          </w:tcPr>
          <w:p w14:paraId="7F05B3D4" w14:textId="77777777" w:rsidR="00293F00" w:rsidRPr="00C531A2" w:rsidRDefault="00293F00" w:rsidP="00725D9F">
            <w:pPr>
              <w:jc w:val="center"/>
              <w:rPr>
                <w:rFonts w:ascii="Times New Roman" w:hAnsi="Times New Roman"/>
                <w:b/>
                <w:bCs/>
                <w:color w:val="000000"/>
                <w:sz w:val="22"/>
              </w:rPr>
            </w:pPr>
            <w:r w:rsidRPr="00C531A2">
              <w:rPr>
                <w:rFonts w:ascii="Times New Roman" w:hAnsi="Times New Roman"/>
                <w:b/>
                <w:bCs/>
                <w:color w:val="000000"/>
                <w:sz w:val="22"/>
              </w:rPr>
              <w:t>Законски основ</w:t>
            </w:r>
          </w:p>
        </w:tc>
        <w:tc>
          <w:tcPr>
            <w:tcW w:w="887" w:type="pct"/>
            <w:gridSpan w:val="2"/>
            <w:tcBorders>
              <w:top w:val="single" w:sz="4" w:space="0" w:color="auto"/>
              <w:left w:val="nil"/>
              <w:bottom w:val="single" w:sz="4" w:space="0" w:color="auto"/>
              <w:right w:val="single" w:sz="4" w:space="0" w:color="auto"/>
            </w:tcBorders>
            <w:noWrap/>
            <w:vAlign w:val="center"/>
            <w:hideMark/>
          </w:tcPr>
          <w:p w14:paraId="18D0B6CB" w14:textId="77777777" w:rsidR="00293F00" w:rsidRPr="00C531A2" w:rsidRDefault="00293F00" w:rsidP="00725D9F">
            <w:pPr>
              <w:jc w:val="center"/>
              <w:rPr>
                <w:rFonts w:ascii="Times New Roman" w:hAnsi="Times New Roman"/>
                <w:b/>
                <w:bCs/>
                <w:color w:val="000000"/>
                <w:sz w:val="22"/>
              </w:rPr>
            </w:pPr>
            <w:r w:rsidRPr="00C531A2">
              <w:rPr>
                <w:rFonts w:ascii="Times New Roman" w:hAnsi="Times New Roman"/>
                <w:b/>
                <w:bCs/>
                <w:color w:val="000000"/>
                <w:sz w:val="22"/>
              </w:rPr>
              <w:t>2026. год.</w:t>
            </w:r>
          </w:p>
        </w:tc>
      </w:tr>
      <w:tr w:rsidR="00293F00" w:rsidRPr="00C531A2" w14:paraId="22F9C898" w14:textId="77777777" w:rsidTr="00502209">
        <w:trPr>
          <w:gridAfter w:val="2"/>
          <w:wAfter w:w="378" w:type="pct"/>
          <w:trHeight w:val="300"/>
        </w:trPr>
        <w:tc>
          <w:tcPr>
            <w:tcW w:w="4622" w:type="pct"/>
            <w:gridSpan w:val="5"/>
            <w:tcBorders>
              <w:top w:val="single" w:sz="4" w:space="0" w:color="auto"/>
              <w:left w:val="single" w:sz="4" w:space="0" w:color="auto"/>
              <w:bottom w:val="single" w:sz="4" w:space="0" w:color="auto"/>
              <w:right w:val="single" w:sz="4" w:space="0" w:color="auto"/>
            </w:tcBorders>
            <w:vAlign w:val="center"/>
            <w:hideMark/>
          </w:tcPr>
          <w:p w14:paraId="3BAACFFC" w14:textId="77777777" w:rsidR="00293F00" w:rsidRPr="00C531A2" w:rsidRDefault="00293F00" w:rsidP="00725D9F">
            <w:pPr>
              <w:jc w:val="center"/>
              <w:rPr>
                <w:rFonts w:ascii="Times New Roman" w:hAnsi="Times New Roman"/>
                <w:b/>
                <w:bCs/>
                <w:color w:val="000000"/>
                <w:sz w:val="22"/>
              </w:rPr>
            </w:pPr>
            <w:r w:rsidRPr="00C531A2">
              <w:rPr>
                <w:rFonts w:ascii="Times New Roman" w:hAnsi="Times New Roman"/>
                <w:b/>
                <w:bCs/>
                <w:color w:val="000000"/>
                <w:sz w:val="22"/>
              </w:rPr>
              <w:t>ТРАНСФЕРИ ИЗ БУЏЕТА РЕПУБЛИКЕ СРБИЈЕ</w:t>
            </w:r>
          </w:p>
        </w:tc>
      </w:tr>
      <w:tr w:rsidR="00502209" w:rsidRPr="00C531A2" w14:paraId="10696664" w14:textId="77777777" w:rsidTr="00502209">
        <w:trPr>
          <w:gridAfter w:val="2"/>
          <w:wAfter w:w="378" w:type="pct"/>
          <w:trHeight w:val="600"/>
        </w:trPr>
        <w:tc>
          <w:tcPr>
            <w:tcW w:w="387" w:type="pct"/>
            <w:tcBorders>
              <w:top w:val="nil"/>
              <w:left w:val="single" w:sz="4" w:space="0" w:color="auto"/>
              <w:bottom w:val="single" w:sz="4" w:space="0" w:color="auto"/>
              <w:right w:val="single" w:sz="4" w:space="0" w:color="auto"/>
            </w:tcBorders>
            <w:shd w:val="clear" w:color="000000" w:fill="FFFFFF"/>
            <w:vAlign w:val="center"/>
            <w:hideMark/>
          </w:tcPr>
          <w:p w14:paraId="63914516" w14:textId="77777777" w:rsidR="00293F00" w:rsidRPr="00C531A2" w:rsidRDefault="00293F00" w:rsidP="00725D9F">
            <w:pPr>
              <w:jc w:val="center"/>
              <w:rPr>
                <w:rFonts w:ascii="Times New Roman" w:hAnsi="Times New Roman"/>
                <w:color w:val="000000"/>
                <w:sz w:val="22"/>
              </w:rPr>
            </w:pPr>
            <w:r w:rsidRPr="00C531A2">
              <w:rPr>
                <w:rFonts w:ascii="Times New Roman" w:hAnsi="Times New Roman"/>
                <w:color w:val="000000"/>
                <w:sz w:val="22"/>
              </w:rPr>
              <w:lastRenderedPageBreak/>
              <w:t>1</w:t>
            </w:r>
          </w:p>
        </w:tc>
        <w:tc>
          <w:tcPr>
            <w:tcW w:w="1613" w:type="pct"/>
            <w:tcBorders>
              <w:top w:val="nil"/>
              <w:left w:val="nil"/>
              <w:bottom w:val="single" w:sz="4" w:space="0" w:color="auto"/>
              <w:right w:val="single" w:sz="4" w:space="0" w:color="auto"/>
            </w:tcBorders>
            <w:shd w:val="clear" w:color="000000" w:fill="FFFFFF"/>
            <w:vAlign w:val="center"/>
            <w:hideMark/>
          </w:tcPr>
          <w:p w14:paraId="57143CF9" w14:textId="77777777" w:rsidR="00293F00" w:rsidRPr="00C531A2" w:rsidRDefault="00293F00" w:rsidP="00725D9F">
            <w:pPr>
              <w:rPr>
                <w:rFonts w:ascii="Times New Roman" w:hAnsi="Times New Roman"/>
                <w:color w:val="000000"/>
                <w:sz w:val="22"/>
              </w:rPr>
            </w:pPr>
            <w:r w:rsidRPr="00C531A2">
              <w:rPr>
                <w:rFonts w:ascii="Times New Roman" w:hAnsi="Times New Roman"/>
                <w:color w:val="000000"/>
                <w:sz w:val="22"/>
              </w:rPr>
              <w:t>Министарство финансија</w:t>
            </w:r>
          </w:p>
        </w:tc>
        <w:tc>
          <w:tcPr>
            <w:tcW w:w="1735" w:type="pct"/>
            <w:tcBorders>
              <w:top w:val="nil"/>
              <w:left w:val="nil"/>
              <w:bottom w:val="single" w:sz="4" w:space="0" w:color="auto"/>
              <w:right w:val="single" w:sz="4" w:space="0" w:color="auto"/>
            </w:tcBorders>
            <w:shd w:val="clear" w:color="000000" w:fill="FFFFFF"/>
            <w:vAlign w:val="center"/>
            <w:hideMark/>
          </w:tcPr>
          <w:p w14:paraId="3E741072" w14:textId="77777777" w:rsidR="00293F00" w:rsidRPr="00C531A2" w:rsidRDefault="00293F00" w:rsidP="00725D9F">
            <w:pPr>
              <w:rPr>
                <w:rFonts w:ascii="Times New Roman" w:hAnsi="Times New Roman"/>
                <w:color w:val="000000"/>
                <w:sz w:val="22"/>
              </w:rPr>
            </w:pPr>
            <w:r w:rsidRPr="00C531A2">
              <w:rPr>
                <w:rFonts w:ascii="Times New Roman" w:hAnsi="Times New Roman"/>
                <w:color w:val="000000"/>
                <w:sz w:val="22"/>
              </w:rPr>
              <w:t>Закон о финансирању локалне самоуправе (ненаменски трансфер ЈЛС на територији AПВ)</w:t>
            </w:r>
          </w:p>
        </w:tc>
        <w:tc>
          <w:tcPr>
            <w:tcW w:w="887" w:type="pct"/>
            <w:gridSpan w:val="2"/>
            <w:tcBorders>
              <w:top w:val="nil"/>
              <w:left w:val="nil"/>
              <w:bottom w:val="single" w:sz="4" w:space="0" w:color="auto"/>
              <w:right w:val="single" w:sz="4" w:space="0" w:color="auto"/>
            </w:tcBorders>
            <w:shd w:val="clear" w:color="000000" w:fill="FFFFFF"/>
            <w:noWrap/>
            <w:vAlign w:val="center"/>
            <w:hideMark/>
          </w:tcPr>
          <w:p w14:paraId="05A7C626" w14:textId="77777777" w:rsidR="00293F00" w:rsidRPr="00C531A2" w:rsidRDefault="00293F00" w:rsidP="00725D9F">
            <w:pPr>
              <w:jc w:val="right"/>
              <w:rPr>
                <w:rFonts w:ascii="Times New Roman" w:hAnsi="Times New Roman"/>
                <w:color w:val="000000"/>
                <w:sz w:val="22"/>
              </w:rPr>
            </w:pPr>
            <w:r w:rsidRPr="00C531A2">
              <w:rPr>
                <w:rFonts w:ascii="Times New Roman" w:hAnsi="Times New Roman"/>
                <w:color w:val="000000"/>
                <w:sz w:val="22"/>
              </w:rPr>
              <w:t>7.705.554.000</w:t>
            </w:r>
          </w:p>
        </w:tc>
      </w:tr>
      <w:tr w:rsidR="00502209" w:rsidRPr="00C531A2" w14:paraId="68D393CD" w14:textId="77777777" w:rsidTr="00502209">
        <w:trPr>
          <w:gridAfter w:val="2"/>
          <w:wAfter w:w="378" w:type="pct"/>
          <w:trHeight w:val="450"/>
        </w:trPr>
        <w:tc>
          <w:tcPr>
            <w:tcW w:w="387" w:type="pct"/>
            <w:vMerge w:val="restart"/>
            <w:tcBorders>
              <w:top w:val="nil"/>
              <w:left w:val="single" w:sz="4" w:space="0" w:color="auto"/>
              <w:bottom w:val="single" w:sz="4" w:space="0" w:color="auto"/>
              <w:right w:val="single" w:sz="4" w:space="0" w:color="auto"/>
            </w:tcBorders>
            <w:shd w:val="clear" w:color="000000" w:fill="FFFFFF"/>
            <w:vAlign w:val="center"/>
            <w:hideMark/>
          </w:tcPr>
          <w:p w14:paraId="3689C1DA" w14:textId="77777777" w:rsidR="00293F00" w:rsidRPr="00C531A2" w:rsidRDefault="00293F00" w:rsidP="00725D9F">
            <w:pPr>
              <w:jc w:val="center"/>
              <w:rPr>
                <w:rFonts w:ascii="Times New Roman" w:hAnsi="Times New Roman"/>
                <w:color w:val="000000"/>
                <w:sz w:val="22"/>
              </w:rPr>
            </w:pPr>
            <w:r w:rsidRPr="00C531A2">
              <w:rPr>
                <w:rFonts w:ascii="Times New Roman" w:hAnsi="Times New Roman"/>
                <w:color w:val="000000"/>
                <w:sz w:val="22"/>
              </w:rPr>
              <w:t>2</w:t>
            </w:r>
          </w:p>
        </w:tc>
        <w:tc>
          <w:tcPr>
            <w:tcW w:w="1613" w:type="pct"/>
            <w:vMerge w:val="restart"/>
            <w:tcBorders>
              <w:top w:val="nil"/>
              <w:left w:val="single" w:sz="4" w:space="0" w:color="auto"/>
              <w:bottom w:val="single" w:sz="4" w:space="0" w:color="auto"/>
              <w:right w:val="single" w:sz="4" w:space="0" w:color="auto"/>
            </w:tcBorders>
            <w:shd w:val="clear" w:color="000000" w:fill="FFFFFF"/>
            <w:vAlign w:val="center"/>
            <w:hideMark/>
          </w:tcPr>
          <w:p w14:paraId="5DDE9286" w14:textId="77777777" w:rsidR="00293F00" w:rsidRPr="00C531A2" w:rsidRDefault="00293F00" w:rsidP="00725D9F">
            <w:pPr>
              <w:rPr>
                <w:rFonts w:ascii="Times New Roman" w:hAnsi="Times New Roman"/>
                <w:color w:val="000000"/>
                <w:sz w:val="22"/>
              </w:rPr>
            </w:pPr>
            <w:r w:rsidRPr="00C531A2">
              <w:rPr>
                <w:rFonts w:ascii="Times New Roman" w:hAnsi="Times New Roman"/>
                <w:color w:val="000000"/>
                <w:sz w:val="22"/>
              </w:rPr>
              <w:t>Министарство грађевинарства, саобраћаја и инфраструктуре</w:t>
            </w:r>
          </w:p>
        </w:tc>
        <w:tc>
          <w:tcPr>
            <w:tcW w:w="1735" w:type="pct"/>
            <w:vMerge w:val="restart"/>
            <w:tcBorders>
              <w:top w:val="nil"/>
              <w:left w:val="single" w:sz="4" w:space="0" w:color="auto"/>
              <w:bottom w:val="single" w:sz="4" w:space="0" w:color="auto"/>
              <w:right w:val="single" w:sz="4" w:space="0" w:color="auto"/>
            </w:tcBorders>
            <w:shd w:val="clear" w:color="000000" w:fill="FFFFFF"/>
            <w:vAlign w:val="center"/>
            <w:hideMark/>
          </w:tcPr>
          <w:p w14:paraId="3EA7FFB6" w14:textId="77777777" w:rsidR="00293F00" w:rsidRPr="00C531A2" w:rsidRDefault="00293F00" w:rsidP="00725D9F">
            <w:pPr>
              <w:rPr>
                <w:rFonts w:ascii="Times New Roman" w:hAnsi="Times New Roman"/>
                <w:color w:val="000000"/>
                <w:sz w:val="22"/>
              </w:rPr>
            </w:pPr>
            <w:r w:rsidRPr="00C531A2">
              <w:rPr>
                <w:rFonts w:ascii="Times New Roman" w:hAnsi="Times New Roman"/>
                <w:color w:val="000000"/>
                <w:sz w:val="22"/>
              </w:rPr>
              <w:t>Закон о утврђивању надлежности АП Војводина</w:t>
            </w:r>
          </w:p>
        </w:tc>
        <w:tc>
          <w:tcPr>
            <w:tcW w:w="887" w:type="pct"/>
            <w:gridSpan w:val="2"/>
            <w:vMerge w:val="restart"/>
            <w:tcBorders>
              <w:top w:val="nil"/>
              <w:left w:val="single" w:sz="4" w:space="0" w:color="auto"/>
              <w:bottom w:val="single" w:sz="4" w:space="0" w:color="auto"/>
              <w:right w:val="single" w:sz="4" w:space="0" w:color="auto"/>
            </w:tcBorders>
            <w:shd w:val="clear" w:color="000000" w:fill="FFFFFF"/>
            <w:noWrap/>
            <w:vAlign w:val="center"/>
            <w:hideMark/>
          </w:tcPr>
          <w:p w14:paraId="4E09CB93" w14:textId="77777777" w:rsidR="00293F00" w:rsidRPr="00C531A2" w:rsidRDefault="00293F00" w:rsidP="00725D9F">
            <w:pPr>
              <w:jc w:val="right"/>
              <w:rPr>
                <w:rFonts w:ascii="Times New Roman" w:hAnsi="Times New Roman"/>
                <w:color w:val="000000"/>
                <w:sz w:val="22"/>
              </w:rPr>
            </w:pPr>
            <w:r w:rsidRPr="00C531A2">
              <w:rPr>
                <w:rFonts w:ascii="Times New Roman" w:hAnsi="Times New Roman"/>
                <w:color w:val="000000"/>
                <w:sz w:val="22"/>
              </w:rPr>
              <w:t>21.000.000</w:t>
            </w:r>
          </w:p>
        </w:tc>
      </w:tr>
      <w:tr w:rsidR="00502209" w:rsidRPr="00C531A2" w14:paraId="337174A9" w14:textId="77777777" w:rsidTr="00502209">
        <w:trPr>
          <w:trHeight w:val="300"/>
        </w:trPr>
        <w:tc>
          <w:tcPr>
            <w:tcW w:w="387" w:type="pct"/>
            <w:vMerge/>
            <w:tcBorders>
              <w:top w:val="nil"/>
              <w:left w:val="single" w:sz="4" w:space="0" w:color="auto"/>
              <w:bottom w:val="single" w:sz="4" w:space="0" w:color="auto"/>
              <w:right w:val="single" w:sz="4" w:space="0" w:color="auto"/>
            </w:tcBorders>
            <w:vAlign w:val="center"/>
            <w:hideMark/>
          </w:tcPr>
          <w:p w14:paraId="17DA11AB" w14:textId="77777777" w:rsidR="00293F00" w:rsidRPr="00C531A2" w:rsidRDefault="00293F00" w:rsidP="00725D9F">
            <w:pPr>
              <w:rPr>
                <w:rFonts w:ascii="Times New Roman" w:hAnsi="Times New Roman"/>
                <w:color w:val="000000"/>
                <w:sz w:val="22"/>
              </w:rPr>
            </w:pPr>
          </w:p>
        </w:tc>
        <w:tc>
          <w:tcPr>
            <w:tcW w:w="1613" w:type="pct"/>
            <w:vMerge/>
            <w:tcBorders>
              <w:top w:val="nil"/>
              <w:left w:val="single" w:sz="4" w:space="0" w:color="auto"/>
              <w:bottom w:val="single" w:sz="4" w:space="0" w:color="auto"/>
              <w:right w:val="single" w:sz="4" w:space="0" w:color="auto"/>
            </w:tcBorders>
            <w:vAlign w:val="center"/>
            <w:hideMark/>
          </w:tcPr>
          <w:p w14:paraId="23E479B5" w14:textId="77777777" w:rsidR="00293F00" w:rsidRPr="00C531A2" w:rsidRDefault="00293F00" w:rsidP="00725D9F">
            <w:pPr>
              <w:rPr>
                <w:rFonts w:ascii="Times New Roman" w:hAnsi="Times New Roman"/>
                <w:color w:val="000000"/>
                <w:sz w:val="22"/>
              </w:rPr>
            </w:pPr>
          </w:p>
        </w:tc>
        <w:tc>
          <w:tcPr>
            <w:tcW w:w="1735" w:type="pct"/>
            <w:vMerge/>
            <w:tcBorders>
              <w:top w:val="nil"/>
              <w:left w:val="single" w:sz="4" w:space="0" w:color="auto"/>
              <w:bottom w:val="single" w:sz="4" w:space="0" w:color="auto"/>
              <w:right w:val="single" w:sz="4" w:space="0" w:color="auto"/>
            </w:tcBorders>
            <w:vAlign w:val="center"/>
            <w:hideMark/>
          </w:tcPr>
          <w:p w14:paraId="0F1DCB28" w14:textId="77777777" w:rsidR="00293F00" w:rsidRPr="00C531A2" w:rsidRDefault="00293F00" w:rsidP="00725D9F">
            <w:pPr>
              <w:rPr>
                <w:rFonts w:ascii="Times New Roman" w:hAnsi="Times New Roman"/>
                <w:color w:val="000000"/>
                <w:sz w:val="22"/>
              </w:rPr>
            </w:pPr>
          </w:p>
        </w:tc>
        <w:tc>
          <w:tcPr>
            <w:tcW w:w="887" w:type="pct"/>
            <w:gridSpan w:val="2"/>
            <w:vMerge/>
            <w:tcBorders>
              <w:top w:val="nil"/>
              <w:left w:val="single" w:sz="4" w:space="0" w:color="auto"/>
              <w:bottom w:val="single" w:sz="4" w:space="0" w:color="auto"/>
              <w:right w:val="single" w:sz="4" w:space="0" w:color="auto"/>
            </w:tcBorders>
            <w:vAlign w:val="center"/>
            <w:hideMark/>
          </w:tcPr>
          <w:p w14:paraId="05076C11" w14:textId="77777777" w:rsidR="00293F00" w:rsidRPr="00C531A2" w:rsidRDefault="00293F00" w:rsidP="00725D9F">
            <w:pPr>
              <w:rPr>
                <w:rFonts w:ascii="Times New Roman" w:hAnsi="Times New Roman"/>
                <w:color w:val="000000"/>
                <w:sz w:val="22"/>
              </w:rPr>
            </w:pPr>
          </w:p>
        </w:tc>
        <w:tc>
          <w:tcPr>
            <w:tcW w:w="378" w:type="pct"/>
            <w:gridSpan w:val="2"/>
            <w:tcBorders>
              <w:top w:val="nil"/>
              <w:left w:val="nil"/>
              <w:bottom w:val="nil"/>
              <w:right w:val="nil"/>
            </w:tcBorders>
            <w:noWrap/>
            <w:vAlign w:val="bottom"/>
            <w:hideMark/>
          </w:tcPr>
          <w:p w14:paraId="08C973F0" w14:textId="77777777" w:rsidR="00293F00" w:rsidRPr="00C531A2" w:rsidRDefault="00293F00" w:rsidP="00725D9F">
            <w:pPr>
              <w:jc w:val="right"/>
              <w:rPr>
                <w:rFonts w:ascii="Times New Roman" w:hAnsi="Times New Roman"/>
                <w:color w:val="000000"/>
                <w:sz w:val="22"/>
              </w:rPr>
            </w:pPr>
          </w:p>
        </w:tc>
      </w:tr>
      <w:tr w:rsidR="00502209" w:rsidRPr="00C531A2" w14:paraId="1ED14807" w14:textId="77777777" w:rsidTr="00502209">
        <w:trPr>
          <w:trHeight w:val="600"/>
        </w:trPr>
        <w:tc>
          <w:tcPr>
            <w:tcW w:w="387" w:type="pct"/>
            <w:tcBorders>
              <w:top w:val="nil"/>
              <w:left w:val="single" w:sz="4" w:space="0" w:color="auto"/>
              <w:bottom w:val="single" w:sz="4" w:space="0" w:color="auto"/>
              <w:right w:val="single" w:sz="4" w:space="0" w:color="auto"/>
            </w:tcBorders>
            <w:shd w:val="clear" w:color="000000" w:fill="FFFFFF"/>
            <w:vAlign w:val="center"/>
            <w:hideMark/>
          </w:tcPr>
          <w:p w14:paraId="22955342" w14:textId="77777777" w:rsidR="00293F00" w:rsidRPr="00C531A2" w:rsidRDefault="00293F00" w:rsidP="00725D9F">
            <w:pPr>
              <w:jc w:val="center"/>
              <w:rPr>
                <w:rFonts w:ascii="Times New Roman" w:hAnsi="Times New Roman"/>
                <w:color w:val="000000"/>
                <w:sz w:val="22"/>
              </w:rPr>
            </w:pPr>
            <w:r w:rsidRPr="00C531A2">
              <w:rPr>
                <w:rFonts w:ascii="Times New Roman" w:hAnsi="Times New Roman"/>
                <w:color w:val="000000"/>
                <w:sz w:val="22"/>
              </w:rPr>
              <w:t>3</w:t>
            </w:r>
          </w:p>
        </w:tc>
        <w:tc>
          <w:tcPr>
            <w:tcW w:w="1613" w:type="pct"/>
            <w:tcBorders>
              <w:top w:val="nil"/>
              <w:left w:val="nil"/>
              <w:bottom w:val="single" w:sz="4" w:space="0" w:color="auto"/>
              <w:right w:val="single" w:sz="4" w:space="0" w:color="auto"/>
            </w:tcBorders>
            <w:shd w:val="clear" w:color="000000" w:fill="FFFFFF"/>
            <w:vAlign w:val="center"/>
            <w:hideMark/>
          </w:tcPr>
          <w:p w14:paraId="55A7D8FA" w14:textId="77777777" w:rsidR="00293F00" w:rsidRPr="00C531A2" w:rsidRDefault="00293F00" w:rsidP="00725D9F">
            <w:pPr>
              <w:rPr>
                <w:rFonts w:ascii="Times New Roman" w:hAnsi="Times New Roman"/>
                <w:color w:val="000000"/>
                <w:sz w:val="22"/>
              </w:rPr>
            </w:pPr>
            <w:r w:rsidRPr="00C531A2">
              <w:rPr>
                <w:rFonts w:ascii="Times New Roman" w:hAnsi="Times New Roman"/>
                <w:color w:val="000000"/>
                <w:sz w:val="22"/>
              </w:rPr>
              <w:t>Министарство пољопривреде, шумарства и водопривреде</w:t>
            </w:r>
          </w:p>
        </w:tc>
        <w:tc>
          <w:tcPr>
            <w:tcW w:w="1735" w:type="pct"/>
            <w:tcBorders>
              <w:top w:val="nil"/>
              <w:left w:val="nil"/>
              <w:bottom w:val="single" w:sz="4" w:space="0" w:color="auto"/>
              <w:right w:val="single" w:sz="4" w:space="0" w:color="auto"/>
            </w:tcBorders>
            <w:shd w:val="clear" w:color="000000" w:fill="FFFFFF"/>
            <w:vAlign w:val="center"/>
            <w:hideMark/>
          </w:tcPr>
          <w:p w14:paraId="233BCC08" w14:textId="77777777" w:rsidR="00293F00" w:rsidRPr="00C531A2" w:rsidRDefault="00293F00" w:rsidP="00725D9F">
            <w:pPr>
              <w:rPr>
                <w:rFonts w:ascii="Times New Roman" w:hAnsi="Times New Roman"/>
                <w:color w:val="000000"/>
                <w:sz w:val="22"/>
              </w:rPr>
            </w:pPr>
            <w:r w:rsidRPr="00C531A2">
              <w:rPr>
                <w:rFonts w:ascii="Times New Roman" w:hAnsi="Times New Roman"/>
                <w:color w:val="000000"/>
                <w:sz w:val="22"/>
              </w:rPr>
              <w:t>Закон о утврђивању надлежности АП Војводина.</w:t>
            </w:r>
          </w:p>
        </w:tc>
        <w:tc>
          <w:tcPr>
            <w:tcW w:w="887" w:type="pct"/>
            <w:gridSpan w:val="2"/>
            <w:tcBorders>
              <w:top w:val="nil"/>
              <w:left w:val="nil"/>
              <w:bottom w:val="single" w:sz="4" w:space="0" w:color="auto"/>
              <w:right w:val="single" w:sz="4" w:space="0" w:color="auto"/>
            </w:tcBorders>
            <w:shd w:val="clear" w:color="000000" w:fill="FFFFFF"/>
            <w:noWrap/>
            <w:vAlign w:val="center"/>
            <w:hideMark/>
          </w:tcPr>
          <w:p w14:paraId="480F273F" w14:textId="77777777" w:rsidR="00293F00" w:rsidRPr="00C531A2" w:rsidRDefault="00293F00" w:rsidP="00725D9F">
            <w:pPr>
              <w:jc w:val="right"/>
              <w:rPr>
                <w:rFonts w:ascii="Times New Roman" w:hAnsi="Times New Roman"/>
                <w:color w:val="000000"/>
                <w:sz w:val="22"/>
              </w:rPr>
            </w:pPr>
            <w:r w:rsidRPr="00C531A2">
              <w:rPr>
                <w:rFonts w:ascii="Times New Roman" w:hAnsi="Times New Roman"/>
                <w:color w:val="000000"/>
                <w:sz w:val="22"/>
              </w:rPr>
              <w:t>33.100.000</w:t>
            </w:r>
          </w:p>
        </w:tc>
        <w:tc>
          <w:tcPr>
            <w:tcW w:w="378" w:type="pct"/>
            <w:gridSpan w:val="2"/>
            <w:vAlign w:val="center"/>
            <w:hideMark/>
          </w:tcPr>
          <w:p w14:paraId="08617BA6" w14:textId="77777777" w:rsidR="00293F00" w:rsidRPr="00C531A2" w:rsidRDefault="00293F00" w:rsidP="00725D9F">
            <w:pPr>
              <w:rPr>
                <w:rFonts w:ascii="Times New Roman" w:hAnsi="Times New Roman"/>
                <w:sz w:val="22"/>
              </w:rPr>
            </w:pPr>
          </w:p>
        </w:tc>
      </w:tr>
      <w:tr w:rsidR="00502209" w:rsidRPr="00C531A2" w14:paraId="6E199896" w14:textId="77777777" w:rsidTr="00502209">
        <w:trPr>
          <w:trHeight w:val="600"/>
        </w:trPr>
        <w:tc>
          <w:tcPr>
            <w:tcW w:w="387" w:type="pct"/>
            <w:tcBorders>
              <w:top w:val="nil"/>
              <w:left w:val="single" w:sz="4" w:space="0" w:color="auto"/>
              <w:bottom w:val="single" w:sz="4" w:space="0" w:color="auto"/>
              <w:right w:val="single" w:sz="4" w:space="0" w:color="auto"/>
            </w:tcBorders>
            <w:shd w:val="clear" w:color="000000" w:fill="FFFFFF"/>
            <w:vAlign w:val="center"/>
            <w:hideMark/>
          </w:tcPr>
          <w:p w14:paraId="5DC4FB46" w14:textId="77777777" w:rsidR="00293F00" w:rsidRPr="00C531A2" w:rsidRDefault="00293F00" w:rsidP="00725D9F">
            <w:pPr>
              <w:jc w:val="center"/>
              <w:rPr>
                <w:rFonts w:ascii="Times New Roman" w:hAnsi="Times New Roman"/>
                <w:color w:val="000000"/>
                <w:sz w:val="22"/>
              </w:rPr>
            </w:pPr>
            <w:r w:rsidRPr="00C531A2">
              <w:rPr>
                <w:rFonts w:ascii="Times New Roman" w:hAnsi="Times New Roman"/>
                <w:color w:val="000000"/>
                <w:sz w:val="22"/>
              </w:rPr>
              <w:t>4</w:t>
            </w:r>
          </w:p>
        </w:tc>
        <w:tc>
          <w:tcPr>
            <w:tcW w:w="1613" w:type="pct"/>
            <w:tcBorders>
              <w:top w:val="nil"/>
              <w:left w:val="nil"/>
              <w:bottom w:val="single" w:sz="4" w:space="0" w:color="auto"/>
              <w:right w:val="single" w:sz="4" w:space="0" w:color="auto"/>
            </w:tcBorders>
            <w:shd w:val="clear" w:color="000000" w:fill="FFFFFF"/>
            <w:vAlign w:val="center"/>
            <w:hideMark/>
          </w:tcPr>
          <w:p w14:paraId="68E89840" w14:textId="77777777" w:rsidR="00293F00" w:rsidRPr="00C531A2" w:rsidRDefault="00293F00" w:rsidP="00725D9F">
            <w:pPr>
              <w:rPr>
                <w:rFonts w:ascii="Times New Roman" w:hAnsi="Times New Roman"/>
                <w:color w:val="000000"/>
                <w:sz w:val="22"/>
              </w:rPr>
            </w:pPr>
            <w:r w:rsidRPr="00C531A2">
              <w:rPr>
                <w:rFonts w:ascii="Times New Roman" w:hAnsi="Times New Roman"/>
                <w:color w:val="000000"/>
                <w:sz w:val="22"/>
              </w:rPr>
              <w:t>Министарство просвете</w:t>
            </w:r>
          </w:p>
        </w:tc>
        <w:tc>
          <w:tcPr>
            <w:tcW w:w="1735" w:type="pct"/>
            <w:tcBorders>
              <w:top w:val="nil"/>
              <w:left w:val="nil"/>
              <w:bottom w:val="single" w:sz="4" w:space="0" w:color="auto"/>
              <w:right w:val="single" w:sz="4" w:space="0" w:color="auto"/>
            </w:tcBorders>
            <w:shd w:val="clear" w:color="000000" w:fill="FFFFFF"/>
            <w:vAlign w:val="center"/>
            <w:hideMark/>
          </w:tcPr>
          <w:p w14:paraId="3E25B7B3" w14:textId="77777777" w:rsidR="00293F00" w:rsidRPr="00C531A2" w:rsidRDefault="00293F00" w:rsidP="00725D9F">
            <w:pPr>
              <w:rPr>
                <w:rFonts w:ascii="Times New Roman" w:hAnsi="Times New Roman"/>
                <w:color w:val="000000"/>
                <w:sz w:val="22"/>
              </w:rPr>
            </w:pPr>
            <w:r w:rsidRPr="00C531A2">
              <w:rPr>
                <w:rFonts w:ascii="Times New Roman" w:hAnsi="Times New Roman"/>
                <w:color w:val="000000"/>
                <w:sz w:val="22"/>
              </w:rPr>
              <w:t>Закон о основама система образовања и васпитања (припремни предшколски програм)</w:t>
            </w:r>
          </w:p>
        </w:tc>
        <w:tc>
          <w:tcPr>
            <w:tcW w:w="887" w:type="pct"/>
            <w:gridSpan w:val="2"/>
            <w:tcBorders>
              <w:top w:val="nil"/>
              <w:left w:val="nil"/>
              <w:bottom w:val="single" w:sz="4" w:space="0" w:color="auto"/>
              <w:right w:val="single" w:sz="4" w:space="0" w:color="auto"/>
            </w:tcBorders>
            <w:shd w:val="clear" w:color="000000" w:fill="FFFFFF"/>
            <w:noWrap/>
            <w:vAlign w:val="center"/>
            <w:hideMark/>
          </w:tcPr>
          <w:p w14:paraId="48052FCF" w14:textId="77777777" w:rsidR="00293F00" w:rsidRPr="00C531A2" w:rsidRDefault="00293F00" w:rsidP="00725D9F">
            <w:pPr>
              <w:jc w:val="right"/>
              <w:rPr>
                <w:rFonts w:ascii="Times New Roman" w:hAnsi="Times New Roman"/>
                <w:color w:val="000000"/>
                <w:sz w:val="22"/>
              </w:rPr>
            </w:pPr>
            <w:r w:rsidRPr="00C531A2">
              <w:rPr>
                <w:rFonts w:ascii="Times New Roman" w:hAnsi="Times New Roman"/>
                <w:color w:val="000000"/>
                <w:sz w:val="22"/>
              </w:rPr>
              <w:t>1.062.000.000</w:t>
            </w:r>
          </w:p>
        </w:tc>
        <w:tc>
          <w:tcPr>
            <w:tcW w:w="378" w:type="pct"/>
            <w:gridSpan w:val="2"/>
            <w:vAlign w:val="center"/>
            <w:hideMark/>
          </w:tcPr>
          <w:p w14:paraId="0A07F39E" w14:textId="77777777" w:rsidR="00293F00" w:rsidRPr="00C531A2" w:rsidRDefault="00293F00" w:rsidP="00725D9F">
            <w:pPr>
              <w:rPr>
                <w:rFonts w:ascii="Times New Roman" w:hAnsi="Times New Roman"/>
                <w:sz w:val="22"/>
              </w:rPr>
            </w:pPr>
          </w:p>
        </w:tc>
      </w:tr>
      <w:tr w:rsidR="00502209" w:rsidRPr="00C531A2" w14:paraId="515FD021" w14:textId="77777777" w:rsidTr="00502209">
        <w:trPr>
          <w:trHeight w:val="600"/>
        </w:trPr>
        <w:tc>
          <w:tcPr>
            <w:tcW w:w="387" w:type="pct"/>
            <w:tcBorders>
              <w:top w:val="nil"/>
              <w:left w:val="single" w:sz="4" w:space="0" w:color="auto"/>
              <w:bottom w:val="single" w:sz="4" w:space="0" w:color="auto"/>
              <w:right w:val="single" w:sz="4" w:space="0" w:color="auto"/>
            </w:tcBorders>
            <w:shd w:val="clear" w:color="000000" w:fill="FFFFFF"/>
            <w:vAlign w:val="center"/>
            <w:hideMark/>
          </w:tcPr>
          <w:p w14:paraId="66FFA86D" w14:textId="77777777" w:rsidR="00293F00" w:rsidRPr="00C531A2" w:rsidRDefault="00293F00" w:rsidP="00725D9F">
            <w:pPr>
              <w:jc w:val="center"/>
              <w:rPr>
                <w:rFonts w:ascii="Times New Roman" w:hAnsi="Times New Roman"/>
                <w:color w:val="000000"/>
                <w:sz w:val="22"/>
              </w:rPr>
            </w:pPr>
            <w:r w:rsidRPr="00C531A2">
              <w:rPr>
                <w:rFonts w:ascii="Times New Roman" w:hAnsi="Times New Roman"/>
                <w:color w:val="000000"/>
                <w:sz w:val="22"/>
              </w:rPr>
              <w:t>5</w:t>
            </w:r>
          </w:p>
        </w:tc>
        <w:tc>
          <w:tcPr>
            <w:tcW w:w="1613" w:type="pct"/>
            <w:tcBorders>
              <w:top w:val="nil"/>
              <w:left w:val="nil"/>
              <w:bottom w:val="single" w:sz="4" w:space="0" w:color="auto"/>
              <w:right w:val="single" w:sz="4" w:space="0" w:color="auto"/>
            </w:tcBorders>
            <w:shd w:val="clear" w:color="000000" w:fill="FFFFFF"/>
            <w:vAlign w:val="center"/>
            <w:hideMark/>
          </w:tcPr>
          <w:p w14:paraId="78ED5A33" w14:textId="77777777" w:rsidR="00293F00" w:rsidRPr="00C531A2" w:rsidRDefault="00293F00" w:rsidP="00725D9F">
            <w:pPr>
              <w:rPr>
                <w:rFonts w:ascii="Times New Roman" w:hAnsi="Times New Roman"/>
                <w:color w:val="000000"/>
                <w:sz w:val="22"/>
              </w:rPr>
            </w:pPr>
            <w:r w:rsidRPr="00C531A2">
              <w:rPr>
                <w:rFonts w:ascii="Times New Roman" w:hAnsi="Times New Roman"/>
                <w:color w:val="000000"/>
                <w:sz w:val="22"/>
              </w:rPr>
              <w:t>Министарство културе</w:t>
            </w:r>
          </w:p>
        </w:tc>
        <w:tc>
          <w:tcPr>
            <w:tcW w:w="1735" w:type="pct"/>
            <w:tcBorders>
              <w:top w:val="nil"/>
              <w:left w:val="nil"/>
              <w:bottom w:val="single" w:sz="4" w:space="0" w:color="auto"/>
              <w:right w:val="single" w:sz="4" w:space="0" w:color="auto"/>
            </w:tcBorders>
            <w:shd w:val="clear" w:color="000000" w:fill="FFFFFF"/>
            <w:vAlign w:val="center"/>
            <w:hideMark/>
          </w:tcPr>
          <w:p w14:paraId="44AA595A" w14:textId="77777777" w:rsidR="00293F00" w:rsidRPr="00C531A2" w:rsidRDefault="00293F00" w:rsidP="00725D9F">
            <w:pPr>
              <w:rPr>
                <w:rFonts w:ascii="Times New Roman" w:hAnsi="Times New Roman"/>
                <w:color w:val="000000"/>
                <w:sz w:val="22"/>
              </w:rPr>
            </w:pPr>
            <w:r w:rsidRPr="00C531A2">
              <w:rPr>
                <w:rFonts w:ascii="Times New Roman" w:hAnsi="Times New Roman"/>
                <w:color w:val="000000"/>
                <w:sz w:val="22"/>
              </w:rPr>
              <w:t>Закон о обнови културно-историјског наслеђа и подстицању развоја Сремских Карловаца</w:t>
            </w:r>
          </w:p>
        </w:tc>
        <w:tc>
          <w:tcPr>
            <w:tcW w:w="887" w:type="pct"/>
            <w:gridSpan w:val="2"/>
            <w:tcBorders>
              <w:top w:val="nil"/>
              <w:left w:val="nil"/>
              <w:bottom w:val="single" w:sz="4" w:space="0" w:color="auto"/>
              <w:right w:val="single" w:sz="4" w:space="0" w:color="auto"/>
            </w:tcBorders>
            <w:shd w:val="clear" w:color="000000" w:fill="FFFFFF"/>
            <w:noWrap/>
            <w:vAlign w:val="center"/>
            <w:hideMark/>
          </w:tcPr>
          <w:p w14:paraId="5632B13A" w14:textId="77777777" w:rsidR="00293F00" w:rsidRPr="00C531A2" w:rsidRDefault="00293F00" w:rsidP="00725D9F">
            <w:pPr>
              <w:jc w:val="right"/>
              <w:rPr>
                <w:rFonts w:ascii="Times New Roman" w:hAnsi="Times New Roman"/>
                <w:color w:val="000000"/>
                <w:sz w:val="22"/>
              </w:rPr>
            </w:pPr>
            <w:r w:rsidRPr="00C531A2">
              <w:rPr>
                <w:rFonts w:ascii="Times New Roman" w:hAnsi="Times New Roman"/>
                <w:color w:val="000000"/>
                <w:sz w:val="22"/>
              </w:rPr>
              <w:t>100.000.000</w:t>
            </w:r>
          </w:p>
        </w:tc>
        <w:tc>
          <w:tcPr>
            <w:tcW w:w="378" w:type="pct"/>
            <w:gridSpan w:val="2"/>
            <w:vAlign w:val="center"/>
            <w:hideMark/>
          </w:tcPr>
          <w:p w14:paraId="71C5EE9C" w14:textId="77777777" w:rsidR="00293F00" w:rsidRPr="00C531A2" w:rsidRDefault="00293F00" w:rsidP="00725D9F">
            <w:pPr>
              <w:rPr>
                <w:rFonts w:ascii="Times New Roman" w:hAnsi="Times New Roman"/>
                <w:sz w:val="22"/>
              </w:rPr>
            </w:pPr>
          </w:p>
        </w:tc>
      </w:tr>
      <w:tr w:rsidR="00502209" w:rsidRPr="00C531A2" w14:paraId="223FB921" w14:textId="77777777" w:rsidTr="00502209">
        <w:trPr>
          <w:trHeight w:val="600"/>
        </w:trPr>
        <w:tc>
          <w:tcPr>
            <w:tcW w:w="387" w:type="pct"/>
            <w:tcBorders>
              <w:top w:val="nil"/>
              <w:left w:val="single" w:sz="4" w:space="0" w:color="auto"/>
              <w:bottom w:val="single" w:sz="4" w:space="0" w:color="auto"/>
              <w:right w:val="single" w:sz="4" w:space="0" w:color="auto"/>
            </w:tcBorders>
            <w:shd w:val="clear" w:color="000000" w:fill="FFFFFF"/>
            <w:vAlign w:val="center"/>
            <w:hideMark/>
          </w:tcPr>
          <w:p w14:paraId="63C06CC2" w14:textId="77777777" w:rsidR="00293F00" w:rsidRPr="00C531A2" w:rsidRDefault="00293F00" w:rsidP="00725D9F">
            <w:pPr>
              <w:jc w:val="center"/>
              <w:rPr>
                <w:rFonts w:ascii="Times New Roman" w:hAnsi="Times New Roman"/>
                <w:color w:val="000000"/>
                <w:sz w:val="22"/>
              </w:rPr>
            </w:pPr>
            <w:r w:rsidRPr="00C531A2">
              <w:rPr>
                <w:rFonts w:ascii="Times New Roman" w:hAnsi="Times New Roman"/>
                <w:color w:val="000000"/>
                <w:sz w:val="22"/>
              </w:rPr>
              <w:t>6</w:t>
            </w:r>
          </w:p>
        </w:tc>
        <w:tc>
          <w:tcPr>
            <w:tcW w:w="1613" w:type="pct"/>
            <w:tcBorders>
              <w:top w:val="nil"/>
              <w:left w:val="nil"/>
              <w:bottom w:val="single" w:sz="4" w:space="0" w:color="auto"/>
              <w:right w:val="single" w:sz="4" w:space="0" w:color="auto"/>
            </w:tcBorders>
            <w:shd w:val="clear" w:color="000000" w:fill="FFFFFF"/>
            <w:vAlign w:val="center"/>
            <w:hideMark/>
          </w:tcPr>
          <w:p w14:paraId="68194875" w14:textId="77777777" w:rsidR="00293F00" w:rsidRPr="00C531A2" w:rsidRDefault="00293F00" w:rsidP="00725D9F">
            <w:pPr>
              <w:rPr>
                <w:rFonts w:ascii="Times New Roman" w:hAnsi="Times New Roman"/>
                <w:color w:val="000000"/>
                <w:sz w:val="22"/>
              </w:rPr>
            </w:pPr>
            <w:r w:rsidRPr="00C531A2">
              <w:rPr>
                <w:rFonts w:ascii="Times New Roman" w:hAnsi="Times New Roman"/>
                <w:color w:val="000000"/>
                <w:sz w:val="22"/>
              </w:rPr>
              <w:t>Министарство за рад, запошљавање, борачка и социјална питања</w:t>
            </w:r>
          </w:p>
        </w:tc>
        <w:tc>
          <w:tcPr>
            <w:tcW w:w="1735" w:type="pct"/>
            <w:tcBorders>
              <w:top w:val="nil"/>
              <w:left w:val="nil"/>
              <w:bottom w:val="single" w:sz="4" w:space="0" w:color="auto"/>
              <w:right w:val="single" w:sz="4" w:space="0" w:color="auto"/>
            </w:tcBorders>
            <w:shd w:val="clear" w:color="000000" w:fill="FFFFFF"/>
            <w:vAlign w:val="center"/>
            <w:hideMark/>
          </w:tcPr>
          <w:p w14:paraId="2CFDA59E" w14:textId="77777777" w:rsidR="00293F00" w:rsidRPr="00C531A2" w:rsidRDefault="00293F00" w:rsidP="00725D9F">
            <w:pPr>
              <w:rPr>
                <w:rFonts w:ascii="Times New Roman" w:hAnsi="Times New Roman"/>
                <w:color w:val="000000"/>
                <w:sz w:val="22"/>
              </w:rPr>
            </w:pPr>
            <w:r w:rsidRPr="00C531A2">
              <w:rPr>
                <w:rFonts w:ascii="Times New Roman" w:hAnsi="Times New Roman"/>
                <w:color w:val="000000"/>
                <w:sz w:val="22"/>
              </w:rPr>
              <w:t>Закон о социјалној заштити</w:t>
            </w:r>
          </w:p>
        </w:tc>
        <w:tc>
          <w:tcPr>
            <w:tcW w:w="887" w:type="pct"/>
            <w:gridSpan w:val="2"/>
            <w:tcBorders>
              <w:top w:val="nil"/>
              <w:left w:val="nil"/>
              <w:bottom w:val="single" w:sz="4" w:space="0" w:color="auto"/>
              <w:right w:val="single" w:sz="4" w:space="0" w:color="auto"/>
            </w:tcBorders>
            <w:shd w:val="clear" w:color="000000" w:fill="FFFFFF"/>
            <w:noWrap/>
            <w:vAlign w:val="center"/>
            <w:hideMark/>
          </w:tcPr>
          <w:p w14:paraId="19C77492" w14:textId="77777777" w:rsidR="00293F00" w:rsidRPr="00C531A2" w:rsidRDefault="00293F00" w:rsidP="00725D9F">
            <w:pPr>
              <w:jc w:val="right"/>
              <w:rPr>
                <w:rFonts w:ascii="Times New Roman" w:hAnsi="Times New Roman"/>
                <w:color w:val="000000"/>
                <w:sz w:val="22"/>
              </w:rPr>
            </w:pPr>
            <w:r w:rsidRPr="00C531A2">
              <w:rPr>
                <w:rFonts w:ascii="Times New Roman" w:hAnsi="Times New Roman"/>
                <w:color w:val="000000"/>
                <w:sz w:val="22"/>
              </w:rPr>
              <w:t>145.000.000</w:t>
            </w:r>
          </w:p>
        </w:tc>
        <w:tc>
          <w:tcPr>
            <w:tcW w:w="378" w:type="pct"/>
            <w:gridSpan w:val="2"/>
            <w:vAlign w:val="center"/>
            <w:hideMark/>
          </w:tcPr>
          <w:p w14:paraId="13CFB42C" w14:textId="77777777" w:rsidR="00293F00" w:rsidRPr="00C531A2" w:rsidRDefault="00293F00" w:rsidP="00725D9F">
            <w:pPr>
              <w:rPr>
                <w:rFonts w:ascii="Times New Roman" w:hAnsi="Times New Roman"/>
                <w:sz w:val="22"/>
              </w:rPr>
            </w:pPr>
          </w:p>
        </w:tc>
      </w:tr>
      <w:tr w:rsidR="00502209" w:rsidRPr="00C531A2" w14:paraId="290669EA" w14:textId="77777777" w:rsidTr="00502209">
        <w:trPr>
          <w:trHeight w:val="300"/>
        </w:trPr>
        <w:tc>
          <w:tcPr>
            <w:tcW w:w="387" w:type="pct"/>
            <w:tcBorders>
              <w:top w:val="nil"/>
              <w:left w:val="single" w:sz="4" w:space="0" w:color="auto"/>
              <w:bottom w:val="single" w:sz="4" w:space="0" w:color="auto"/>
              <w:right w:val="single" w:sz="4" w:space="0" w:color="auto"/>
            </w:tcBorders>
            <w:shd w:val="clear" w:color="000000" w:fill="FFFFFF"/>
            <w:vAlign w:val="center"/>
            <w:hideMark/>
          </w:tcPr>
          <w:p w14:paraId="01ADE2DC" w14:textId="77777777" w:rsidR="00293F00" w:rsidRPr="00C531A2" w:rsidRDefault="00293F00" w:rsidP="00725D9F">
            <w:pPr>
              <w:jc w:val="center"/>
              <w:rPr>
                <w:rFonts w:ascii="Times New Roman" w:hAnsi="Times New Roman"/>
                <w:color w:val="000000"/>
                <w:sz w:val="22"/>
              </w:rPr>
            </w:pPr>
            <w:r w:rsidRPr="00C531A2">
              <w:rPr>
                <w:rFonts w:ascii="Times New Roman" w:hAnsi="Times New Roman"/>
                <w:color w:val="000000"/>
                <w:sz w:val="22"/>
              </w:rPr>
              <w:t>7</w:t>
            </w:r>
          </w:p>
        </w:tc>
        <w:tc>
          <w:tcPr>
            <w:tcW w:w="1613" w:type="pct"/>
            <w:tcBorders>
              <w:top w:val="nil"/>
              <w:left w:val="nil"/>
              <w:bottom w:val="single" w:sz="4" w:space="0" w:color="auto"/>
              <w:right w:val="single" w:sz="4" w:space="0" w:color="auto"/>
            </w:tcBorders>
            <w:shd w:val="clear" w:color="000000" w:fill="FFFFFF"/>
            <w:noWrap/>
            <w:vAlign w:val="center"/>
            <w:hideMark/>
          </w:tcPr>
          <w:p w14:paraId="06E4CA6C" w14:textId="77777777" w:rsidR="00293F00" w:rsidRPr="00C531A2" w:rsidRDefault="00293F00" w:rsidP="00725D9F">
            <w:pPr>
              <w:rPr>
                <w:rFonts w:ascii="Times New Roman" w:hAnsi="Times New Roman"/>
                <w:color w:val="000000"/>
                <w:sz w:val="22"/>
              </w:rPr>
            </w:pPr>
            <w:r w:rsidRPr="00C531A2">
              <w:rPr>
                <w:rFonts w:ascii="Times New Roman" w:hAnsi="Times New Roman"/>
                <w:color w:val="000000"/>
                <w:sz w:val="22"/>
              </w:rPr>
              <w:t>Министарство унутрашње и спољне трговине</w:t>
            </w:r>
          </w:p>
        </w:tc>
        <w:tc>
          <w:tcPr>
            <w:tcW w:w="1735" w:type="pct"/>
            <w:tcBorders>
              <w:top w:val="nil"/>
              <w:left w:val="nil"/>
              <w:bottom w:val="single" w:sz="4" w:space="0" w:color="auto"/>
              <w:right w:val="single" w:sz="4" w:space="0" w:color="auto"/>
            </w:tcBorders>
            <w:shd w:val="clear" w:color="000000" w:fill="FFFFFF"/>
            <w:vAlign w:val="center"/>
            <w:hideMark/>
          </w:tcPr>
          <w:p w14:paraId="12364311" w14:textId="77777777" w:rsidR="00293F00" w:rsidRPr="00C531A2" w:rsidRDefault="00293F00" w:rsidP="00725D9F">
            <w:pPr>
              <w:rPr>
                <w:rFonts w:ascii="Times New Roman" w:hAnsi="Times New Roman"/>
                <w:color w:val="000000"/>
                <w:sz w:val="22"/>
              </w:rPr>
            </w:pPr>
            <w:r w:rsidRPr="00C531A2">
              <w:rPr>
                <w:rFonts w:ascii="Times New Roman" w:hAnsi="Times New Roman"/>
                <w:color w:val="000000"/>
                <w:sz w:val="22"/>
              </w:rPr>
              <w:t>Закон о утврђивању надлежности АПВ</w:t>
            </w:r>
          </w:p>
        </w:tc>
        <w:tc>
          <w:tcPr>
            <w:tcW w:w="887" w:type="pct"/>
            <w:gridSpan w:val="2"/>
            <w:tcBorders>
              <w:top w:val="nil"/>
              <w:left w:val="nil"/>
              <w:bottom w:val="single" w:sz="4" w:space="0" w:color="auto"/>
              <w:right w:val="single" w:sz="4" w:space="0" w:color="auto"/>
            </w:tcBorders>
            <w:shd w:val="clear" w:color="000000" w:fill="FFFFFF"/>
            <w:noWrap/>
            <w:vAlign w:val="center"/>
            <w:hideMark/>
          </w:tcPr>
          <w:p w14:paraId="46B7A5A1" w14:textId="77777777" w:rsidR="00293F00" w:rsidRPr="00C531A2" w:rsidRDefault="00293F00" w:rsidP="00725D9F">
            <w:pPr>
              <w:jc w:val="right"/>
              <w:rPr>
                <w:rFonts w:ascii="Times New Roman" w:hAnsi="Times New Roman"/>
                <w:color w:val="000000"/>
                <w:sz w:val="22"/>
              </w:rPr>
            </w:pPr>
            <w:r w:rsidRPr="00C531A2">
              <w:rPr>
                <w:rFonts w:ascii="Times New Roman" w:hAnsi="Times New Roman"/>
                <w:color w:val="000000"/>
                <w:sz w:val="22"/>
              </w:rPr>
              <w:t>2.700.000</w:t>
            </w:r>
          </w:p>
        </w:tc>
        <w:tc>
          <w:tcPr>
            <w:tcW w:w="378" w:type="pct"/>
            <w:gridSpan w:val="2"/>
            <w:vAlign w:val="center"/>
            <w:hideMark/>
          </w:tcPr>
          <w:p w14:paraId="0E59E081" w14:textId="77777777" w:rsidR="00293F00" w:rsidRPr="00C531A2" w:rsidRDefault="00293F00" w:rsidP="00725D9F">
            <w:pPr>
              <w:rPr>
                <w:rFonts w:ascii="Times New Roman" w:hAnsi="Times New Roman"/>
                <w:sz w:val="22"/>
              </w:rPr>
            </w:pPr>
          </w:p>
        </w:tc>
      </w:tr>
      <w:tr w:rsidR="00502209" w:rsidRPr="00C531A2" w14:paraId="0ABF0C23" w14:textId="77777777" w:rsidTr="00502209">
        <w:trPr>
          <w:trHeight w:val="300"/>
        </w:trPr>
        <w:tc>
          <w:tcPr>
            <w:tcW w:w="387" w:type="pct"/>
            <w:tcBorders>
              <w:top w:val="nil"/>
              <w:left w:val="single" w:sz="4" w:space="0" w:color="auto"/>
              <w:bottom w:val="single" w:sz="4" w:space="0" w:color="auto"/>
              <w:right w:val="single" w:sz="4" w:space="0" w:color="auto"/>
            </w:tcBorders>
            <w:shd w:val="clear" w:color="000000" w:fill="FFFFFF"/>
            <w:vAlign w:val="center"/>
            <w:hideMark/>
          </w:tcPr>
          <w:p w14:paraId="761A008F" w14:textId="77777777" w:rsidR="00293F00" w:rsidRPr="00C531A2" w:rsidRDefault="00293F00" w:rsidP="00725D9F">
            <w:pPr>
              <w:jc w:val="center"/>
              <w:rPr>
                <w:rFonts w:ascii="Times New Roman" w:hAnsi="Times New Roman"/>
                <w:color w:val="000000"/>
                <w:sz w:val="22"/>
              </w:rPr>
            </w:pPr>
            <w:r w:rsidRPr="00C531A2">
              <w:rPr>
                <w:rFonts w:ascii="Times New Roman" w:hAnsi="Times New Roman"/>
                <w:color w:val="000000"/>
                <w:sz w:val="22"/>
              </w:rPr>
              <w:t>8</w:t>
            </w:r>
          </w:p>
        </w:tc>
        <w:tc>
          <w:tcPr>
            <w:tcW w:w="1613" w:type="pct"/>
            <w:tcBorders>
              <w:top w:val="nil"/>
              <w:left w:val="nil"/>
              <w:bottom w:val="single" w:sz="4" w:space="0" w:color="auto"/>
              <w:right w:val="single" w:sz="4" w:space="0" w:color="auto"/>
            </w:tcBorders>
            <w:shd w:val="clear" w:color="000000" w:fill="FFFFFF"/>
            <w:vAlign w:val="center"/>
            <w:hideMark/>
          </w:tcPr>
          <w:p w14:paraId="5E9463E3" w14:textId="77777777" w:rsidR="00293F00" w:rsidRPr="00C531A2" w:rsidRDefault="00293F00" w:rsidP="00725D9F">
            <w:pPr>
              <w:rPr>
                <w:rFonts w:ascii="Times New Roman" w:hAnsi="Times New Roman"/>
                <w:color w:val="000000"/>
                <w:sz w:val="22"/>
              </w:rPr>
            </w:pPr>
            <w:r w:rsidRPr="00C531A2">
              <w:rPr>
                <w:rFonts w:ascii="Times New Roman" w:hAnsi="Times New Roman"/>
                <w:color w:val="000000"/>
                <w:sz w:val="22"/>
              </w:rPr>
              <w:t>Министарство за бригу о селу</w:t>
            </w:r>
          </w:p>
        </w:tc>
        <w:tc>
          <w:tcPr>
            <w:tcW w:w="1735" w:type="pct"/>
            <w:tcBorders>
              <w:top w:val="nil"/>
              <w:left w:val="nil"/>
              <w:bottom w:val="single" w:sz="4" w:space="0" w:color="auto"/>
              <w:right w:val="single" w:sz="4" w:space="0" w:color="auto"/>
            </w:tcBorders>
            <w:shd w:val="clear" w:color="000000" w:fill="FFFFFF"/>
            <w:vAlign w:val="center"/>
            <w:hideMark/>
          </w:tcPr>
          <w:p w14:paraId="7DC8D1B4" w14:textId="77777777" w:rsidR="00293F00" w:rsidRPr="00C531A2" w:rsidRDefault="00293F00" w:rsidP="00725D9F">
            <w:pPr>
              <w:rPr>
                <w:rFonts w:ascii="Times New Roman" w:hAnsi="Times New Roman"/>
                <w:color w:val="000000"/>
                <w:sz w:val="22"/>
              </w:rPr>
            </w:pPr>
            <w:r w:rsidRPr="00C531A2">
              <w:rPr>
                <w:rFonts w:ascii="Times New Roman" w:hAnsi="Times New Roman"/>
                <w:color w:val="000000"/>
                <w:sz w:val="22"/>
              </w:rPr>
              <w:t>Закон о министарствима</w:t>
            </w:r>
          </w:p>
        </w:tc>
        <w:tc>
          <w:tcPr>
            <w:tcW w:w="887" w:type="pct"/>
            <w:gridSpan w:val="2"/>
            <w:tcBorders>
              <w:top w:val="nil"/>
              <w:left w:val="nil"/>
              <w:bottom w:val="single" w:sz="4" w:space="0" w:color="auto"/>
              <w:right w:val="single" w:sz="4" w:space="0" w:color="auto"/>
            </w:tcBorders>
            <w:shd w:val="clear" w:color="000000" w:fill="FFFFFF"/>
            <w:noWrap/>
            <w:vAlign w:val="center"/>
            <w:hideMark/>
          </w:tcPr>
          <w:p w14:paraId="1C21E938" w14:textId="77777777" w:rsidR="00293F00" w:rsidRPr="00C531A2" w:rsidRDefault="00293F00" w:rsidP="00725D9F">
            <w:pPr>
              <w:jc w:val="right"/>
              <w:rPr>
                <w:rFonts w:ascii="Times New Roman" w:hAnsi="Times New Roman"/>
                <w:color w:val="000000"/>
                <w:sz w:val="22"/>
              </w:rPr>
            </w:pPr>
            <w:r w:rsidRPr="00C531A2">
              <w:rPr>
                <w:rFonts w:ascii="Times New Roman" w:hAnsi="Times New Roman"/>
                <w:color w:val="000000"/>
                <w:sz w:val="22"/>
              </w:rPr>
              <w:t>519.200.000</w:t>
            </w:r>
          </w:p>
        </w:tc>
        <w:tc>
          <w:tcPr>
            <w:tcW w:w="378" w:type="pct"/>
            <w:gridSpan w:val="2"/>
            <w:vAlign w:val="center"/>
            <w:hideMark/>
          </w:tcPr>
          <w:p w14:paraId="5BFCC283" w14:textId="77777777" w:rsidR="00293F00" w:rsidRPr="00C531A2" w:rsidRDefault="00293F00" w:rsidP="00725D9F">
            <w:pPr>
              <w:rPr>
                <w:rFonts w:ascii="Times New Roman" w:hAnsi="Times New Roman"/>
                <w:sz w:val="22"/>
              </w:rPr>
            </w:pPr>
          </w:p>
        </w:tc>
      </w:tr>
      <w:tr w:rsidR="00502209" w:rsidRPr="00C531A2" w14:paraId="3797CECA" w14:textId="77777777" w:rsidTr="00502209">
        <w:trPr>
          <w:trHeight w:val="900"/>
        </w:trPr>
        <w:tc>
          <w:tcPr>
            <w:tcW w:w="387" w:type="pct"/>
            <w:vMerge w:val="restart"/>
            <w:tcBorders>
              <w:top w:val="nil"/>
              <w:left w:val="single" w:sz="4" w:space="0" w:color="auto"/>
              <w:bottom w:val="single" w:sz="4" w:space="0" w:color="auto"/>
              <w:right w:val="single" w:sz="4" w:space="0" w:color="auto"/>
            </w:tcBorders>
            <w:shd w:val="clear" w:color="000000" w:fill="FFFFFF"/>
            <w:vAlign w:val="center"/>
            <w:hideMark/>
          </w:tcPr>
          <w:p w14:paraId="5E414772" w14:textId="77777777" w:rsidR="00293F00" w:rsidRPr="00C531A2" w:rsidRDefault="00293F00" w:rsidP="00725D9F">
            <w:pPr>
              <w:jc w:val="center"/>
              <w:rPr>
                <w:rFonts w:ascii="Times New Roman" w:hAnsi="Times New Roman"/>
                <w:color w:val="000000"/>
                <w:sz w:val="22"/>
              </w:rPr>
            </w:pPr>
            <w:r w:rsidRPr="00C531A2">
              <w:rPr>
                <w:rFonts w:ascii="Times New Roman" w:hAnsi="Times New Roman"/>
                <w:color w:val="000000"/>
                <w:sz w:val="22"/>
              </w:rPr>
              <w:t>9</w:t>
            </w:r>
          </w:p>
        </w:tc>
        <w:tc>
          <w:tcPr>
            <w:tcW w:w="1613" w:type="pct"/>
            <w:vMerge w:val="restart"/>
            <w:tcBorders>
              <w:top w:val="nil"/>
              <w:left w:val="single" w:sz="4" w:space="0" w:color="auto"/>
              <w:bottom w:val="single" w:sz="4" w:space="0" w:color="auto"/>
              <w:right w:val="single" w:sz="4" w:space="0" w:color="auto"/>
            </w:tcBorders>
            <w:shd w:val="clear" w:color="000000" w:fill="FFFFFF"/>
            <w:vAlign w:val="center"/>
            <w:hideMark/>
          </w:tcPr>
          <w:p w14:paraId="095ECB1E" w14:textId="77777777" w:rsidR="00293F00" w:rsidRPr="00C531A2" w:rsidRDefault="00293F00" w:rsidP="00725D9F">
            <w:pPr>
              <w:rPr>
                <w:rFonts w:ascii="Times New Roman" w:hAnsi="Times New Roman"/>
                <w:color w:val="000000"/>
                <w:sz w:val="22"/>
              </w:rPr>
            </w:pPr>
            <w:r w:rsidRPr="00C531A2">
              <w:rPr>
                <w:rFonts w:ascii="Times New Roman" w:hAnsi="Times New Roman"/>
                <w:color w:val="000000"/>
                <w:sz w:val="22"/>
              </w:rPr>
              <w:t>Министарство информисања и телекомуникација</w:t>
            </w:r>
          </w:p>
        </w:tc>
        <w:tc>
          <w:tcPr>
            <w:tcW w:w="1735" w:type="pct"/>
            <w:tcBorders>
              <w:top w:val="nil"/>
              <w:left w:val="nil"/>
              <w:bottom w:val="single" w:sz="4" w:space="0" w:color="auto"/>
              <w:right w:val="single" w:sz="4" w:space="0" w:color="auto"/>
            </w:tcBorders>
            <w:shd w:val="clear" w:color="000000" w:fill="FFFFFF"/>
            <w:vAlign w:val="center"/>
            <w:hideMark/>
          </w:tcPr>
          <w:p w14:paraId="14A2E431" w14:textId="77777777" w:rsidR="00293F00" w:rsidRPr="00C531A2" w:rsidRDefault="00293F00" w:rsidP="00725D9F">
            <w:pPr>
              <w:rPr>
                <w:rFonts w:ascii="Times New Roman" w:hAnsi="Times New Roman"/>
                <w:color w:val="000000"/>
                <w:sz w:val="22"/>
              </w:rPr>
            </w:pPr>
            <w:r w:rsidRPr="00C531A2">
              <w:rPr>
                <w:rFonts w:ascii="Times New Roman" w:hAnsi="Times New Roman"/>
                <w:color w:val="000000"/>
                <w:sz w:val="22"/>
              </w:rPr>
              <w:t>Закон о министарствима, Закон о јавном информисању и медијима, Закон о јавним медијским сервисима</w:t>
            </w:r>
          </w:p>
        </w:tc>
        <w:tc>
          <w:tcPr>
            <w:tcW w:w="887" w:type="pct"/>
            <w:gridSpan w:val="2"/>
            <w:tcBorders>
              <w:top w:val="nil"/>
              <w:left w:val="nil"/>
              <w:bottom w:val="single" w:sz="4" w:space="0" w:color="auto"/>
              <w:right w:val="single" w:sz="4" w:space="0" w:color="auto"/>
            </w:tcBorders>
            <w:shd w:val="clear" w:color="000000" w:fill="FFFFFF"/>
            <w:noWrap/>
            <w:vAlign w:val="center"/>
            <w:hideMark/>
          </w:tcPr>
          <w:p w14:paraId="4818D84F" w14:textId="77777777" w:rsidR="00293F00" w:rsidRPr="00C531A2" w:rsidRDefault="00293F00" w:rsidP="00725D9F">
            <w:pPr>
              <w:jc w:val="right"/>
              <w:rPr>
                <w:rFonts w:ascii="Times New Roman" w:hAnsi="Times New Roman"/>
                <w:color w:val="000000"/>
                <w:sz w:val="22"/>
              </w:rPr>
            </w:pPr>
            <w:r w:rsidRPr="00C531A2">
              <w:rPr>
                <w:rFonts w:ascii="Times New Roman" w:hAnsi="Times New Roman"/>
                <w:color w:val="000000"/>
                <w:sz w:val="22"/>
              </w:rPr>
              <w:t>980.000.000</w:t>
            </w:r>
          </w:p>
        </w:tc>
        <w:tc>
          <w:tcPr>
            <w:tcW w:w="378" w:type="pct"/>
            <w:gridSpan w:val="2"/>
            <w:vAlign w:val="center"/>
            <w:hideMark/>
          </w:tcPr>
          <w:p w14:paraId="7C2F247D" w14:textId="77777777" w:rsidR="00293F00" w:rsidRPr="00C531A2" w:rsidRDefault="00293F00" w:rsidP="00725D9F">
            <w:pPr>
              <w:rPr>
                <w:rFonts w:ascii="Times New Roman" w:hAnsi="Times New Roman"/>
                <w:sz w:val="22"/>
              </w:rPr>
            </w:pPr>
          </w:p>
        </w:tc>
      </w:tr>
      <w:tr w:rsidR="00502209" w:rsidRPr="00C531A2" w14:paraId="21029CE1" w14:textId="77777777" w:rsidTr="00502209">
        <w:trPr>
          <w:trHeight w:val="300"/>
        </w:trPr>
        <w:tc>
          <w:tcPr>
            <w:tcW w:w="387" w:type="pct"/>
            <w:vMerge/>
            <w:tcBorders>
              <w:top w:val="nil"/>
              <w:left w:val="single" w:sz="4" w:space="0" w:color="auto"/>
              <w:bottom w:val="single" w:sz="4" w:space="0" w:color="auto"/>
              <w:right w:val="single" w:sz="4" w:space="0" w:color="auto"/>
            </w:tcBorders>
            <w:vAlign w:val="center"/>
            <w:hideMark/>
          </w:tcPr>
          <w:p w14:paraId="55E4ED21" w14:textId="77777777" w:rsidR="00293F00" w:rsidRPr="00C531A2" w:rsidRDefault="00293F00" w:rsidP="00725D9F">
            <w:pPr>
              <w:rPr>
                <w:rFonts w:ascii="Times New Roman" w:hAnsi="Times New Roman"/>
                <w:color w:val="000000"/>
                <w:sz w:val="22"/>
              </w:rPr>
            </w:pPr>
          </w:p>
        </w:tc>
        <w:tc>
          <w:tcPr>
            <w:tcW w:w="1613" w:type="pct"/>
            <w:vMerge/>
            <w:tcBorders>
              <w:top w:val="nil"/>
              <w:left w:val="single" w:sz="4" w:space="0" w:color="auto"/>
              <w:bottom w:val="single" w:sz="4" w:space="0" w:color="auto"/>
              <w:right w:val="single" w:sz="4" w:space="0" w:color="auto"/>
            </w:tcBorders>
            <w:vAlign w:val="center"/>
            <w:hideMark/>
          </w:tcPr>
          <w:p w14:paraId="4A69EB59" w14:textId="77777777" w:rsidR="00293F00" w:rsidRPr="00C531A2" w:rsidRDefault="00293F00" w:rsidP="00725D9F">
            <w:pPr>
              <w:rPr>
                <w:rFonts w:ascii="Times New Roman" w:hAnsi="Times New Roman"/>
                <w:color w:val="000000"/>
                <w:sz w:val="22"/>
              </w:rPr>
            </w:pPr>
          </w:p>
        </w:tc>
        <w:tc>
          <w:tcPr>
            <w:tcW w:w="1735" w:type="pct"/>
            <w:tcBorders>
              <w:top w:val="nil"/>
              <w:left w:val="nil"/>
              <w:bottom w:val="single" w:sz="4" w:space="0" w:color="auto"/>
              <w:right w:val="single" w:sz="4" w:space="0" w:color="auto"/>
            </w:tcBorders>
            <w:shd w:val="clear" w:color="000000" w:fill="FFFFFF"/>
            <w:vAlign w:val="center"/>
            <w:hideMark/>
          </w:tcPr>
          <w:p w14:paraId="5C767F6F" w14:textId="77777777" w:rsidR="00293F00" w:rsidRPr="00C531A2" w:rsidRDefault="00293F00" w:rsidP="00725D9F">
            <w:pPr>
              <w:rPr>
                <w:rFonts w:ascii="Times New Roman" w:hAnsi="Times New Roman"/>
                <w:color w:val="000000"/>
                <w:sz w:val="22"/>
              </w:rPr>
            </w:pPr>
            <w:r w:rsidRPr="00C531A2">
              <w:rPr>
                <w:rFonts w:ascii="Times New Roman" w:hAnsi="Times New Roman"/>
                <w:color w:val="000000"/>
                <w:sz w:val="22"/>
              </w:rPr>
              <w:t>Закон о електронским комуникацијама</w:t>
            </w:r>
          </w:p>
        </w:tc>
        <w:tc>
          <w:tcPr>
            <w:tcW w:w="887" w:type="pct"/>
            <w:gridSpan w:val="2"/>
            <w:tcBorders>
              <w:top w:val="nil"/>
              <w:left w:val="nil"/>
              <w:bottom w:val="single" w:sz="4" w:space="0" w:color="auto"/>
              <w:right w:val="single" w:sz="4" w:space="0" w:color="auto"/>
            </w:tcBorders>
            <w:shd w:val="clear" w:color="000000" w:fill="FFFFFF"/>
            <w:noWrap/>
            <w:vAlign w:val="center"/>
            <w:hideMark/>
          </w:tcPr>
          <w:p w14:paraId="4903B7D0" w14:textId="77777777" w:rsidR="00293F00" w:rsidRPr="00C531A2" w:rsidRDefault="00293F00" w:rsidP="00725D9F">
            <w:pPr>
              <w:jc w:val="right"/>
              <w:rPr>
                <w:rFonts w:ascii="Times New Roman" w:hAnsi="Times New Roman"/>
                <w:color w:val="000000"/>
                <w:sz w:val="22"/>
              </w:rPr>
            </w:pPr>
            <w:r w:rsidRPr="00C531A2">
              <w:rPr>
                <w:rFonts w:ascii="Times New Roman" w:hAnsi="Times New Roman"/>
                <w:color w:val="000000"/>
                <w:sz w:val="22"/>
              </w:rPr>
              <w:t>1.500.000</w:t>
            </w:r>
          </w:p>
        </w:tc>
        <w:tc>
          <w:tcPr>
            <w:tcW w:w="378" w:type="pct"/>
            <w:gridSpan w:val="2"/>
            <w:vAlign w:val="center"/>
            <w:hideMark/>
          </w:tcPr>
          <w:p w14:paraId="2EAF9562" w14:textId="77777777" w:rsidR="00293F00" w:rsidRPr="00C531A2" w:rsidRDefault="00293F00" w:rsidP="00725D9F">
            <w:pPr>
              <w:rPr>
                <w:rFonts w:ascii="Times New Roman" w:hAnsi="Times New Roman"/>
                <w:sz w:val="22"/>
              </w:rPr>
            </w:pPr>
          </w:p>
        </w:tc>
      </w:tr>
      <w:tr w:rsidR="00502209" w:rsidRPr="00C531A2" w14:paraId="229AB854" w14:textId="77777777" w:rsidTr="00502209">
        <w:trPr>
          <w:trHeight w:val="900"/>
        </w:trPr>
        <w:tc>
          <w:tcPr>
            <w:tcW w:w="387" w:type="pct"/>
            <w:tcBorders>
              <w:top w:val="nil"/>
              <w:left w:val="single" w:sz="4" w:space="0" w:color="auto"/>
              <w:bottom w:val="single" w:sz="4" w:space="0" w:color="auto"/>
              <w:right w:val="single" w:sz="4" w:space="0" w:color="auto"/>
            </w:tcBorders>
            <w:shd w:val="clear" w:color="000000" w:fill="FFFFFF"/>
            <w:vAlign w:val="center"/>
            <w:hideMark/>
          </w:tcPr>
          <w:p w14:paraId="7C493A21" w14:textId="77777777" w:rsidR="00293F00" w:rsidRPr="00C531A2" w:rsidRDefault="00293F00" w:rsidP="00725D9F">
            <w:pPr>
              <w:jc w:val="center"/>
              <w:rPr>
                <w:rFonts w:ascii="Times New Roman" w:hAnsi="Times New Roman"/>
                <w:color w:val="000000"/>
                <w:sz w:val="22"/>
              </w:rPr>
            </w:pPr>
            <w:r w:rsidRPr="00C531A2">
              <w:rPr>
                <w:rFonts w:ascii="Times New Roman" w:hAnsi="Times New Roman"/>
                <w:color w:val="000000"/>
                <w:sz w:val="22"/>
              </w:rPr>
              <w:t>10</w:t>
            </w:r>
          </w:p>
        </w:tc>
        <w:tc>
          <w:tcPr>
            <w:tcW w:w="1613" w:type="pct"/>
            <w:tcBorders>
              <w:top w:val="nil"/>
              <w:left w:val="nil"/>
              <w:bottom w:val="single" w:sz="4" w:space="0" w:color="auto"/>
              <w:right w:val="single" w:sz="4" w:space="0" w:color="auto"/>
            </w:tcBorders>
            <w:shd w:val="clear" w:color="000000" w:fill="FFFFFF"/>
            <w:noWrap/>
            <w:vAlign w:val="center"/>
            <w:hideMark/>
          </w:tcPr>
          <w:p w14:paraId="2047EE64" w14:textId="77777777" w:rsidR="00293F00" w:rsidRPr="00C531A2" w:rsidRDefault="00293F00" w:rsidP="00725D9F">
            <w:pPr>
              <w:rPr>
                <w:rFonts w:ascii="Times New Roman" w:hAnsi="Times New Roman"/>
                <w:color w:val="000000"/>
                <w:sz w:val="22"/>
              </w:rPr>
            </w:pPr>
            <w:r w:rsidRPr="00C531A2">
              <w:rPr>
                <w:rFonts w:ascii="Times New Roman" w:hAnsi="Times New Roman"/>
                <w:color w:val="000000"/>
                <w:sz w:val="22"/>
              </w:rPr>
              <w:t>Комесаријат за избеглице и миграције</w:t>
            </w:r>
          </w:p>
        </w:tc>
        <w:tc>
          <w:tcPr>
            <w:tcW w:w="1735" w:type="pct"/>
            <w:tcBorders>
              <w:top w:val="nil"/>
              <w:left w:val="nil"/>
              <w:bottom w:val="single" w:sz="4" w:space="0" w:color="auto"/>
              <w:right w:val="single" w:sz="4" w:space="0" w:color="auto"/>
            </w:tcBorders>
            <w:shd w:val="clear" w:color="000000" w:fill="FFFFFF"/>
            <w:vAlign w:val="center"/>
            <w:hideMark/>
          </w:tcPr>
          <w:p w14:paraId="0291231C" w14:textId="77777777" w:rsidR="00293F00" w:rsidRPr="00C531A2" w:rsidRDefault="00293F00" w:rsidP="00725D9F">
            <w:pPr>
              <w:rPr>
                <w:rFonts w:ascii="Times New Roman" w:hAnsi="Times New Roman"/>
                <w:color w:val="000000"/>
                <w:sz w:val="22"/>
              </w:rPr>
            </w:pPr>
            <w:r w:rsidRPr="00C531A2">
              <w:rPr>
                <w:rFonts w:ascii="Times New Roman" w:hAnsi="Times New Roman"/>
                <w:color w:val="000000"/>
                <w:sz w:val="22"/>
              </w:rPr>
              <w:t>Закон о избеглицама, Закон о управљању миграцијама, Национална стратегија за решавање питања избеглица и ИРЛ</w:t>
            </w:r>
          </w:p>
        </w:tc>
        <w:tc>
          <w:tcPr>
            <w:tcW w:w="887" w:type="pct"/>
            <w:gridSpan w:val="2"/>
            <w:tcBorders>
              <w:top w:val="nil"/>
              <w:left w:val="nil"/>
              <w:bottom w:val="single" w:sz="4" w:space="0" w:color="auto"/>
              <w:right w:val="single" w:sz="4" w:space="0" w:color="auto"/>
            </w:tcBorders>
            <w:shd w:val="clear" w:color="000000" w:fill="FFFFFF"/>
            <w:noWrap/>
            <w:vAlign w:val="center"/>
            <w:hideMark/>
          </w:tcPr>
          <w:p w14:paraId="14FCA62B" w14:textId="77777777" w:rsidR="00293F00" w:rsidRPr="00C531A2" w:rsidRDefault="00293F00" w:rsidP="00725D9F">
            <w:pPr>
              <w:jc w:val="right"/>
              <w:rPr>
                <w:rFonts w:ascii="Times New Roman" w:hAnsi="Times New Roman"/>
                <w:color w:val="000000"/>
                <w:sz w:val="22"/>
              </w:rPr>
            </w:pPr>
            <w:r w:rsidRPr="00C531A2">
              <w:rPr>
                <w:rFonts w:ascii="Times New Roman" w:hAnsi="Times New Roman"/>
                <w:color w:val="000000"/>
                <w:sz w:val="22"/>
              </w:rPr>
              <w:t>260.000.000</w:t>
            </w:r>
          </w:p>
        </w:tc>
        <w:tc>
          <w:tcPr>
            <w:tcW w:w="378" w:type="pct"/>
            <w:gridSpan w:val="2"/>
            <w:vAlign w:val="center"/>
            <w:hideMark/>
          </w:tcPr>
          <w:p w14:paraId="3B7F6D8E" w14:textId="77777777" w:rsidR="00293F00" w:rsidRPr="00C531A2" w:rsidRDefault="00293F00" w:rsidP="00725D9F">
            <w:pPr>
              <w:rPr>
                <w:rFonts w:ascii="Times New Roman" w:hAnsi="Times New Roman"/>
                <w:sz w:val="22"/>
              </w:rPr>
            </w:pPr>
          </w:p>
        </w:tc>
      </w:tr>
      <w:tr w:rsidR="00502209" w:rsidRPr="00C531A2" w14:paraId="04C3C892" w14:textId="77777777" w:rsidTr="00502209">
        <w:trPr>
          <w:trHeight w:val="300"/>
        </w:trPr>
        <w:tc>
          <w:tcPr>
            <w:tcW w:w="387" w:type="pct"/>
            <w:tcBorders>
              <w:top w:val="nil"/>
              <w:left w:val="single" w:sz="4" w:space="0" w:color="auto"/>
              <w:bottom w:val="single" w:sz="4" w:space="0" w:color="auto"/>
              <w:right w:val="single" w:sz="4" w:space="0" w:color="auto"/>
            </w:tcBorders>
            <w:noWrap/>
            <w:vAlign w:val="center"/>
            <w:hideMark/>
          </w:tcPr>
          <w:p w14:paraId="249E3CE5" w14:textId="77777777" w:rsidR="00293F00" w:rsidRPr="00C531A2" w:rsidRDefault="00293F00" w:rsidP="00725D9F">
            <w:pPr>
              <w:jc w:val="center"/>
              <w:rPr>
                <w:rFonts w:ascii="Times New Roman" w:hAnsi="Times New Roman"/>
                <w:b/>
                <w:bCs/>
                <w:color w:val="000000"/>
                <w:sz w:val="22"/>
              </w:rPr>
            </w:pPr>
            <w:r w:rsidRPr="00C531A2">
              <w:rPr>
                <w:rFonts w:ascii="Times New Roman" w:hAnsi="Times New Roman"/>
                <w:b/>
                <w:bCs/>
                <w:color w:val="000000"/>
                <w:sz w:val="22"/>
              </w:rPr>
              <w:t>I</w:t>
            </w:r>
          </w:p>
        </w:tc>
        <w:tc>
          <w:tcPr>
            <w:tcW w:w="1613" w:type="pct"/>
            <w:tcBorders>
              <w:top w:val="nil"/>
              <w:left w:val="nil"/>
              <w:bottom w:val="single" w:sz="4" w:space="0" w:color="auto"/>
              <w:right w:val="single" w:sz="4" w:space="0" w:color="auto"/>
            </w:tcBorders>
            <w:noWrap/>
            <w:vAlign w:val="center"/>
            <w:hideMark/>
          </w:tcPr>
          <w:p w14:paraId="6592D084" w14:textId="77777777" w:rsidR="00293F00" w:rsidRPr="00C531A2" w:rsidRDefault="00293F00" w:rsidP="00725D9F">
            <w:pPr>
              <w:jc w:val="center"/>
              <w:rPr>
                <w:rFonts w:ascii="Times New Roman" w:hAnsi="Times New Roman"/>
                <w:b/>
                <w:bCs/>
                <w:color w:val="000000"/>
                <w:sz w:val="22"/>
              </w:rPr>
            </w:pPr>
            <w:r w:rsidRPr="00C531A2">
              <w:rPr>
                <w:rFonts w:ascii="Times New Roman" w:hAnsi="Times New Roman"/>
                <w:b/>
                <w:bCs/>
                <w:color w:val="000000"/>
                <w:sz w:val="22"/>
              </w:rPr>
              <w:t>СВЕГА (од 1 до 10)</w:t>
            </w:r>
          </w:p>
        </w:tc>
        <w:tc>
          <w:tcPr>
            <w:tcW w:w="1735" w:type="pct"/>
            <w:tcBorders>
              <w:top w:val="nil"/>
              <w:left w:val="nil"/>
              <w:bottom w:val="single" w:sz="4" w:space="0" w:color="auto"/>
              <w:right w:val="single" w:sz="4" w:space="0" w:color="auto"/>
            </w:tcBorders>
            <w:vAlign w:val="center"/>
            <w:hideMark/>
          </w:tcPr>
          <w:p w14:paraId="4C56420D" w14:textId="77777777" w:rsidR="00293F00" w:rsidRPr="00C531A2" w:rsidRDefault="00293F00" w:rsidP="00725D9F">
            <w:pPr>
              <w:rPr>
                <w:rFonts w:ascii="Times New Roman" w:hAnsi="Times New Roman"/>
                <w:color w:val="000000"/>
                <w:sz w:val="22"/>
              </w:rPr>
            </w:pPr>
            <w:r w:rsidRPr="00C531A2">
              <w:rPr>
                <w:rFonts w:ascii="Times New Roman" w:hAnsi="Times New Roman"/>
                <w:color w:val="000000"/>
                <w:sz w:val="22"/>
              </w:rPr>
              <w:t> </w:t>
            </w:r>
          </w:p>
        </w:tc>
        <w:tc>
          <w:tcPr>
            <w:tcW w:w="887" w:type="pct"/>
            <w:gridSpan w:val="2"/>
            <w:tcBorders>
              <w:top w:val="nil"/>
              <w:left w:val="nil"/>
              <w:bottom w:val="single" w:sz="4" w:space="0" w:color="auto"/>
              <w:right w:val="single" w:sz="4" w:space="0" w:color="auto"/>
            </w:tcBorders>
            <w:noWrap/>
            <w:vAlign w:val="center"/>
            <w:hideMark/>
          </w:tcPr>
          <w:p w14:paraId="2430CE5B" w14:textId="77777777" w:rsidR="00293F00" w:rsidRPr="00C531A2" w:rsidRDefault="00293F00" w:rsidP="00725D9F">
            <w:pPr>
              <w:jc w:val="right"/>
              <w:rPr>
                <w:rFonts w:ascii="Times New Roman" w:hAnsi="Times New Roman"/>
                <w:b/>
                <w:bCs/>
                <w:color w:val="000000"/>
                <w:sz w:val="22"/>
              </w:rPr>
            </w:pPr>
            <w:r w:rsidRPr="00C531A2">
              <w:rPr>
                <w:rFonts w:ascii="Times New Roman" w:hAnsi="Times New Roman"/>
                <w:b/>
                <w:bCs/>
                <w:color w:val="000000"/>
                <w:sz w:val="22"/>
              </w:rPr>
              <w:t>10.830.054.000</w:t>
            </w:r>
          </w:p>
        </w:tc>
        <w:tc>
          <w:tcPr>
            <w:tcW w:w="378" w:type="pct"/>
            <w:gridSpan w:val="2"/>
            <w:vAlign w:val="center"/>
            <w:hideMark/>
          </w:tcPr>
          <w:p w14:paraId="7F694688" w14:textId="77777777" w:rsidR="00293F00" w:rsidRPr="00C531A2" w:rsidRDefault="00293F00" w:rsidP="00725D9F">
            <w:pPr>
              <w:rPr>
                <w:rFonts w:ascii="Times New Roman" w:hAnsi="Times New Roman"/>
                <w:sz w:val="22"/>
              </w:rPr>
            </w:pPr>
          </w:p>
        </w:tc>
      </w:tr>
      <w:tr w:rsidR="00502209" w:rsidRPr="00C531A2" w14:paraId="0E07207B" w14:textId="77777777" w:rsidTr="00502209">
        <w:trPr>
          <w:gridAfter w:val="1"/>
          <w:wAfter w:w="5" w:type="pct"/>
          <w:trHeight w:val="300"/>
        </w:trPr>
        <w:tc>
          <w:tcPr>
            <w:tcW w:w="4622" w:type="pct"/>
            <w:gridSpan w:val="5"/>
            <w:tcBorders>
              <w:top w:val="single" w:sz="4" w:space="0" w:color="auto"/>
              <w:left w:val="single" w:sz="4" w:space="0" w:color="auto"/>
              <w:bottom w:val="single" w:sz="4" w:space="0" w:color="auto"/>
              <w:right w:val="single" w:sz="4" w:space="0" w:color="auto"/>
            </w:tcBorders>
            <w:vAlign w:val="center"/>
            <w:hideMark/>
          </w:tcPr>
          <w:p w14:paraId="65F23193" w14:textId="77777777" w:rsidR="00293F00" w:rsidRPr="00C531A2" w:rsidRDefault="00293F00" w:rsidP="00725D9F">
            <w:pPr>
              <w:jc w:val="center"/>
              <w:rPr>
                <w:rFonts w:ascii="Times New Roman" w:hAnsi="Times New Roman"/>
                <w:b/>
                <w:bCs/>
                <w:color w:val="000000"/>
                <w:sz w:val="22"/>
              </w:rPr>
            </w:pPr>
            <w:r w:rsidRPr="00C531A2">
              <w:rPr>
                <w:rFonts w:ascii="Times New Roman" w:hAnsi="Times New Roman"/>
                <w:b/>
                <w:bCs/>
                <w:color w:val="000000"/>
                <w:sz w:val="22"/>
              </w:rPr>
              <w:t>СРЕДСТВА БУЏЕТА РС КОЈА СЕ УСМЕРАВАЈУ НА ТЕРИТОРИЈУ АПВ</w:t>
            </w:r>
          </w:p>
        </w:tc>
        <w:tc>
          <w:tcPr>
            <w:tcW w:w="373" w:type="pct"/>
            <w:vAlign w:val="center"/>
            <w:hideMark/>
          </w:tcPr>
          <w:p w14:paraId="1764B882" w14:textId="77777777" w:rsidR="00293F00" w:rsidRPr="00C531A2" w:rsidRDefault="00293F00" w:rsidP="00725D9F">
            <w:pPr>
              <w:rPr>
                <w:rFonts w:ascii="Times New Roman" w:hAnsi="Times New Roman"/>
                <w:sz w:val="22"/>
              </w:rPr>
            </w:pPr>
          </w:p>
        </w:tc>
      </w:tr>
      <w:tr w:rsidR="00502209" w:rsidRPr="00C531A2" w14:paraId="0F5E04D5" w14:textId="77777777" w:rsidTr="00502209">
        <w:trPr>
          <w:trHeight w:val="300"/>
        </w:trPr>
        <w:tc>
          <w:tcPr>
            <w:tcW w:w="387" w:type="pct"/>
            <w:tcBorders>
              <w:top w:val="nil"/>
              <w:left w:val="single" w:sz="4" w:space="0" w:color="auto"/>
              <w:bottom w:val="single" w:sz="4" w:space="0" w:color="auto"/>
              <w:right w:val="single" w:sz="4" w:space="0" w:color="auto"/>
            </w:tcBorders>
            <w:vAlign w:val="center"/>
            <w:hideMark/>
          </w:tcPr>
          <w:p w14:paraId="4275CC93" w14:textId="77777777" w:rsidR="00293F00" w:rsidRPr="00C531A2" w:rsidRDefault="00293F00" w:rsidP="00725D9F">
            <w:pPr>
              <w:jc w:val="center"/>
              <w:rPr>
                <w:rFonts w:ascii="Times New Roman" w:hAnsi="Times New Roman"/>
                <w:b/>
                <w:bCs/>
                <w:color w:val="000000"/>
                <w:sz w:val="22"/>
              </w:rPr>
            </w:pPr>
            <w:r w:rsidRPr="00C531A2">
              <w:rPr>
                <w:rFonts w:ascii="Times New Roman" w:hAnsi="Times New Roman"/>
                <w:color w:val="000000"/>
                <w:sz w:val="22"/>
              </w:rPr>
              <w:t> 11</w:t>
            </w:r>
          </w:p>
        </w:tc>
        <w:tc>
          <w:tcPr>
            <w:tcW w:w="1613" w:type="pct"/>
            <w:tcBorders>
              <w:top w:val="nil"/>
              <w:left w:val="nil"/>
              <w:bottom w:val="single" w:sz="4" w:space="0" w:color="auto"/>
              <w:right w:val="single" w:sz="4" w:space="0" w:color="auto"/>
            </w:tcBorders>
            <w:vAlign w:val="center"/>
            <w:hideMark/>
          </w:tcPr>
          <w:p w14:paraId="3C35FE97" w14:textId="77777777" w:rsidR="00293F00" w:rsidRPr="00C531A2" w:rsidRDefault="00293F00" w:rsidP="00725D9F">
            <w:pPr>
              <w:rPr>
                <w:rFonts w:ascii="Times New Roman" w:hAnsi="Times New Roman"/>
                <w:color w:val="000000"/>
                <w:sz w:val="22"/>
              </w:rPr>
            </w:pPr>
            <w:r w:rsidRPr="00C531A2">
              <w:rPr>
                <w:rFonts w:ascii="Times New Roman" w:hAnsi="Times New Roman"/>
                <w:color w:val="000000"/>
                <w:sz w:val="22"/>
              </w:rPr>
              <w:t>Министарство унутрашњих послова</w:t>
            </w:r>
          </w:p>
        </w:tc>
        <w:tc>
          <w:tcPr>
            <w:tcW w:w="1735" w:type="pct"/>
            <w:tcBorders>
              <w:top w:val="nil"/>
              <w:left w:val="nil"/>
              <w:bottom w:val="single" w:sz="4" w:space="0" w:color="auto"/>
              <w:right w:val="single" w:sz="4" w:space="0" w:color="auto"/>
            </w:tcBorders>
            <w:vAlign w:val="center"/>
            <w:hideMark/>
          </w:tcPr>
          <w:p w14:paraId="7E74C2DD" w14:textId="77777777" w:rsidR="00293F00" w:rsidRPr="00C531A2" w:rsidRDefault="00293F00" w:rsidP="00725D9F">
            <w:pPr>
              <w:rPr>
                <w:rFonts w:ascii="Times New Roman" w:hAnsi="Times New Roman"/>
                <w:color w:val="000000"/>
                <w:sz w:val="22"/>
              </w:rPr>
            </w:pPr>
            <w:r w:rsidRPr="00C531A2">
              <w:rPr>
                <w:rFonts w:ascii="Times New Roman" w:hAnsi="Times New Roman"/>
                <w:color w:val="000000"/>
                <w:sz w:val="22"/>
              </w:rPr>
              <w:t>Средства за безбедност саобраћаја</w:t>
            </w:r>
          </w:p>
        </w:tc>
        <w:tc>
          <w:tcPr>
            <w:tcW w:w="887" w:type="pct"/>
            <w:gridSpan w:val="2"/>
            <w:tcBorders>
              <w:top w:val="nil"/>
              <w:left w:val="nil"/>
              <w:bottom w:val="single" w:sz="4" w:space="0" w:color="auto"/>
              <w:right w:val="single" w:sz="4" w:space="0" w:color="auto"/>
            </w:tcBorders>
            <w:noWrap/>
            <w:vAlign w:val="bottom"/>
            <w:hideMark/>
          </w:tcPr>
          <w:p w14:paraId="60649A95" w14:textId="77777777" w:rsidR="00293F00" w:rsidRPr="00C531A2" w:rsidRDefault="00293F00" w:rsidP="00725D9F">
            <w:pPr>
              <w:jc w:val="right"/>
              <w:rPr>
                <w:rFonts w:ascii="Times New Roman" w:hAnsi="Times New Roman"/>
                <w:color w:val="000000"/>
                <w:sz w:val="22"/>
                <w:highlight w:val="yellow"/>
              </w:rPr>
            </w:pPr>
            <w:r w:rsidRPr="00C531A2">
              <w:rPr>
                <w:rFonts w:ascii="Times New Roman" w:hAnsi="Times New Roman"/>
                <w:color w:val="000000"/>
                <w:sz w:val="22"/>
              </w:rPr>
              <w:t>200.000.000</w:t>
            </w:r>
          </w:p>
        </w:tc>
        <w:tc>
          <w:tcPr>
            <w:tcW w:w="378" w:type="pct"/>
            <w:gridSpan w:val="2"/>
            <w:vAlign w:val="center"/>
            <w:hideMark/>
          </w:tcPr>
          <w:p w14:paraId="0E8B418A" w14:textId="77777777" w:rsidR="00293F00" w:rsidRPr="00C531A2" w:rsidRDefault="00293F00" w:rsidP="00725D9F">
            <w:pPr>
              <w:rPr>
                <w:rFonts w:ascii="Times New Roman" w:hAnsi="Times New Roman"/>
                <w:sz w:val="22"/>
              </w:rPr>
            </w:pPr>
          </w:p>
        </w:tc>
      </w:tr>
      <w:tr w:rsidR="00502209" w:rsidRPr="00C531A2" w14:paraId="09A5F24E" w14:textId="77777777" w:rsidTr="00502209">
        <w:trPr>
          <w:trHeight w:val="900"/>
        </w:trPr>
        <w:tc>
          <w:tcPr>
            <w:tcW w:w="387" w:type="pct"/>
            <w:tcBorders>
              <w:top w:val="nil"/>
              <w:left w:val="single" w:sz="4" w:space="0" w:color="auto"/>
              <w:bottom w:val="single" w:sz="4" w:space="0" w:color="auto"/>
              <w:right w:val="single" w:sz="4" w:space="0" w:color="auto"/>
            </w:tcBorders>
            <w:noWrap/>
            <w:vAlign w:val="center"/>
            <w:hideMark/>
          </w:tcPr>
          <w:p w14:paraId="24EC0D9D" w14:textId="77777777" w:rsidR="00293F00" w:rsidRPr="00C531A2" w:rsidRDefault="00293F00" w:rsidP="00725D9F">
            <w:pPr>
              <w:jc w:val="center"/>
              <w:rPr>
                <w:rFonts w:ascii="Times New Roman" w:hAnsi="Times New Roman"/>
                <w:color w:val="000000"/>
                <w:sz w:val="22"/>
              </w:rPr>
            </w:pPr>
            <w:r w:rsidRPr="00C531A2">
              <w:rPr>
                <w:rFonts w:ascii="Times New Roman" w:hAnsi="Times New Roman"/>
                <w:color w:val="000000"/>
                <w:sz w:val="22"/>
              </w:rPr>
              <w:t>12</w:t>
            </w:r>
          </w:p>
        </w:tc>
        <w:tc>
          <w:tcPr>
            <w:tcW w:w="1613" w:type="pct"/>
            <w:tcBorders>
              <w:top w:val="nil"/>
              <w:left w:val="nil"/>
              <w:bottom w:val="single" w:sz="4" w:space="0" w:color="auto"/>
              <w:right w:val="single" w:sz="4" w:space="0" w:color="auto"/>
            </w:tcBorders>
            <w:vAlign w:val="center"/>
            <w:hideMark/>
          </w:tcPr>
          <w:p w14:paraId="0ED2F649" w14:textId="77777777" w:rsidR="00293F00" w:rsidRPr="00C531A2" w:rsidRDefault="00293F00" w:rsidP="00725D9F">
            <w:pPr>
              <w:rPr>
                <w:rFonts w:ascii="Times New Roman" w:hAnsi="Times New Roman"/>
                <w:color w:val="000000"/>
                <w:sz w:val="22"/>
              </w:rPr>
            </w:pPr>
            <w:r w:rsidRPr="00C531A2">
              <w:rPr>
                <w:rFonts w:ascii="Times New Roman" w:hAnsi="Times New Roman"/>
                <w:color w:val="000000"/>
                <w:sz w:val="22"/>
              </w:rPr>
              <w:t>Министарство привреде</w:t>
            </w:r>
          </w:p>
        </w:tc>
        <w:tc>
          <w:tcPr>
            <w:tcW w:w="1735" w:type="pct"/>
            <w:tcBorders>
              <w:top w:val="nil"/>
              <w:left w:val="nil"/>
              <w:bottom w:val="single" w:sz="4" w:space="0" w:color="auto"/>
              <w:right w:val="single" w:sz="4" w:space="0" w:color="auto"/>
            </w:tcBorders>
            <w:vAlign w:val="center"/>
            <w:hideMark/>
          </w:tcPr>
          <w:p w14:paraId="4E3F157A" w14:textId="77777777" w:rsidR="00293F00" w:rsidRPr="00C531A2" w:rsidRDefault="00293F00" w:rsidP="00725D9F">
            <w:pPr>
              <w:rPr>
                <w:rFonts w:ascii="Times New Roman" w:hAnsi="Times New Roman"/>
                <w:color w:val="000000"/>
                <w:sz w:val="22"/>
              </w:rPr>
            </w:pPr>
            <w:r w:rsidRPr="00C531A2">
              <w:rPr>
                <w:rFonts w:ascii="Times New Roman" w:hAnsi="Times New Roman"/>
                <w:color w:val="000000"/>
                <w:sz w:val="22"/>
              </w:rPr>
              <w:t>Субвенције приватним предузећима за спровођење уговора о додели средстава подстицаја</w:t>
            </w:r>
          </w:p>
        </w:tc>
        <w:tc>
          <w:tcPr>
            <w:tcW w:w="887" w:type="pct"/>
            <w:gridSpan w:val="2"/>
            <w:tcBorders>
              <w:top w:val="nil"/>
              <w:left w:val="nil"/>
              <w:bottom w:val="single" w:sz="4" w:space="0" w:color="auto"/>
              <w:right w:val="single" w:sz="4" w:space="0" w:color="auto"/>
            </w:tcBorders>
            <w:shd w:val="clear" w:color="000000" w:fill="FFFFFF"/>
            <w:vAlign w:val="center"/>
            <w:hideMark/>
          </w:tcPr>
          <w:p w14:paraId="6527C3AF" w14:textId="77777777" w:rsidR="00293F00" w:rsidRPr="00C531A2" w:rsidRDefault="00293F00" w:rsidP="00725D9F">
            <w:pPr>
              <w:jc w:val="right"/>
              <w:rPr>
                <w:rFonts w:ascii="Times New Roman" w:hAnsi="Times New Roman"/>
                <w:color w:val="000000"/>
                <w:sz w:val="22"/>
                <w:highlight w:val="yellow"/>
              </w:rPr>
            </w:pPr>
            <w:r w:rsidRPr="00C531A2">
              <w:rPr>
                <w:rFonts w:ascii="Times New Roman" w:hAnsi="Times New Roman"/>
                <w:color w:val="000000"/>
                <w:sz w:val="22"/>
              </w:rPr>
              <w:t>6.677.547.000</w:t>
            </w:r>
          </w:p>
        </w:tc>
        <w:tc>
          <w:tcPr>
            <w:tcW w:w="378" w:type="pct"/>
            <w:gridSpan w:val="2"/>
            <w:vAlign w:val="center"/>
            <w:hideMark/>
          </w:tcPr>
          <w:p w14:paraId="418AECA9" w14:textId="77777777" w:rsidR="00293F00" w:rsidRPr="00C531A2" w:rsidRDefault="00293F00" w:rsidP="00725D9F">
            <w:pPr>
              <w:rPr>
                <w:rFonts w:ascii="Times New Roman" w:hAnsi="Times New Roman"/>
                <w:sz w:val="22"/>
              </w:rPr>
            </w:pPr>
          </w:p>
        </w:tc>
      </w:tr>
      <w:tr w:rsidR="00502209" w:rsidRPr="00C531A2" w14:paraId="138261CC" w14:textId="77777777" w:rsidTr="00502209">
        <w:trPr>
          <w:trHeight w:val="315"/>
        </w:trPr>
        <w:tc>
          <w:tcPr>
            <w:tcW w:w="387" w:type="pct"/>
            <w:vMerge w:val="restart"/>
            <w:tcBorders>
              <w:top w:val="nil"/>
              <w:left w:val="single" w:sz="4" w:space="0" w:color="auto"/>
              <w:bottom w:val="single" w:sz="4" w:space="0" w:color="auto"/>
              <w:right w:val="single" w:sz="4" w:space="0" w:color="auto"/>
            </w:tcBorders>
            <w:noWrap/>
            <w:vAlign w:val="center"/>
            <w:hideMark/>
          </w:tcPr>
          <w:p w14:paraId="3E4D44D2" w14:textId="77777777" w:rsidR="00293F00" w:rsidRPr="00C531A2" w:rsidRDefault="00293F00" w:rsidP="00725D9F">
            <w:pPr>
              <w:jc w:val="center"/>
              <w:rPr>
                <w:rFonts w:ascii="Times New Roman" w:hAnsi="Times New Roman"/>
                <w:color w:val="000000"/>
                <w:sz w:val="22"/>
              </w:rPr>
            </w:pPr>
            <w:r w:rsidRPr="00C531A2">
              <w:rPr>
                <w:rFonts w:ascii="Times New Roman" w:hAnsi="Times New Roman"/>
                <w:color w:val="000000"/>
                <w:sz w:val="22"/>
              </w:rPr>
              <w:t>13</w:t>
            </w:r>
          </w:p>
        </w:tc>
        <w:tc>
          <w:tcPr>
            <w:tcW w:w="1613" w:type="pct"/>
            <w:vMerge w:val="restart"/>
            <w:tcBorders>
              <w:top w:val="nil"/>
              <w:left w:val="single" w:sz="4" w:space="0" w:color="auto"/>
              <w:bottom w:val="single" w:sz="4" w:space="0" w:color="auto"/>
              <w:right w:val="single" w:sz="4" w:space="0" w:color="auto"/>
            </w:tcBorders>
            <w:vAlign w:val="center"/>
            <w:hideMark/>
          </w:tcPr>
          <w:p w14:paraId="355605C1" w14:textId="77777777" w:rsidR="00293F00" w:rsidRPr="00C531A2" w:rsidRDefault="00293F00" w:rsidP="00725D9F">
            <w:pPr>
              <w:rPr>
                <w:rFonts w:ascii="Times New Roman" w:hAnsi="Times New Roman"/>
                <w:color w:val="000000"/>
                <w:sz w:val="22"/>
              </w:rPr>
            </w:pPr>
            <w:r w:rsidRPr="00C531A2">
              <w:rPr>
                <w:rFonts w:ascii="Times New Roman" w:hAnsi="Times New Roman"/>
                <w:color w:val="000000"/>
                <w:sz w:val="22"/>
              </w:rPr>
              <w:t>Министарство грађевинарства, саобраћаја и инфраструктуре</w:t>
            </w:r>
          </w:p>
        </w:tc>
        <w:tc>
          <w:tcPr>
            <w:tcW w:w="1735" w:type="pct"/>
            <w:tcBorders>
              <w:top w:val="nil"/>
              <w:left w:val="nil"/>
              <w:bottom w:val="single" w:sz="4" w:space="0" w:color="auto"/>
              <w:right w:val="single" w:sz="4" w:space="0" w:color="auto"/>
            </w:tcBorders>
            <w:noWrap/>
            <w:hideMark/>
          </w:tcPr>
          <w:p w14:paraId="4027924F" w14:textId="77777777" w:rsidR="00293F00" w:rsidRPr="00C531A2" w:rsidRDefault="00293F00" w:rsidP="00725D9F">
            <w:pPr>
              <w:rPr>
                <w:rFonts w:ascii="Times New Roman" w:hAnsi="Times New Roman"/>
                <w:sz w:val="22"/>
              </w:rPr>
            </w:pPr>
            <w:r w:rsidRPr="00C531A2">
              <w:rPr>
                <w:rFonts w:ascii="Times New Roman" w:hAnsi="Times New Roman"/>
                <w:sz w:val="22"/>
              </w:rPr>
              <w:t>Брза саобраћајница Iб реда Нови Сад-Рума</w:t>
            </w:r>
          </w:p>
        </w:tc>
        <w:tc>
          <w:tcPr>
            <w:tcW w:w="887" w:type="pct"/>
            <w:gridSpan w:val="2"/>
            <w:tcBorders>
              <w:top w:val="nil"/>
              <w:left w:val="nil"/>
              <w:bottom w:val="single" w:sz="4" w:space="0" w:color="auto"/>
              <w:right w:val="single" w:sz="4" w:space="0" w:color="auto"/>
            </w:tcBorders>
            <w:noWrap/>
            <w:hideMark/>
          </w:tcPr>
          <w:p w14:paraId="4924A855" w14:textId="77777777" w:rsidR="00293F00" w:rsidRPr="00C531A2" w:rsidRDefault="00293F00" w:rsidP="00725D9F">
            <w:pPr>
              <w:jc w:val="right"/>
              <w:rPr>
                <w:rFonts w:ascii="Times New Roman" w:hAnsi="Times New Roman"/>
                <w:color w:val="000000"/>
                <w:sz w:val="22"/>
                <w:highlight w:val="yellow"/>
              </w:rPr>
            </w:pPr>
            <w:r w:rsidRPr="00C531A2">
              <w:rPr>
                <w:rFonts w:ascii="Times New Roman" w:hAnsi="Times New Roman"/>
                <w:sz w:val="22"/>
              </w:rPr>
              <w:t>16.500.000.000</w:t>
            </w:r>
          </w:p>
        </w:tc>
        <w:tc>
          <w:tcPr>
            <w:tcW w:w="378" w:type="pct"/>
            <w:gridSpan w:val="2"/>
            <w:vAlign w:val="center"/>
            <w:hideMark/>
          </w:tcPr>
          <w:p w14:paraId="1E5A913C" w14:textId="77777777" w:rsidR="00293F00" w:rsidRPr="00C531A2" w:rsidRDefault="00293F00" w:rsidP="00725D9F">
            <w:pPr>
              <w:rPr>
                <w:rFonts w:ascii="Times New Roman" w:hAnsi="Times New Roman"/>
                <w:sz w:val="22"/>
              </w:rPr>
            </w:pPr>
          </w:p>
        </w:tc>
      </w:tr>
      <w:tr w:rsidR="00502209" w:rsidRPr="00C531A2" w14:paraId="5B546457" w14:textId="77777777" w:rsidTr="00502209">
        <w:trPr>
          <w:trHeight w:val="300"/>
        </w:trPr>
        <w:tc>
          <w:tcPr>
            <w:tcW w:w="387" w:type="pct"/>
            <w:vMerge/>
            <w:tcBorders>
              <w:top w:val="nil"/>
              <w:left w:val="single" w:sz="4" w:space="0" w:color="auto"/>
              <w:bottom w:val="single" w:sz="4" w:space="0" w:color="auto"/>
              <w:right w:val="single" w:sz="4" w:space="0" w:color="auto"/>
            </w:tcBorders>
            <w:vAlign w:val="center"/>
            <w:hideMark/>
          </w:tcPr>
          <w:p w14:paraId="0BEE8F07" w14:textId="77777777" w:rsidR="00293F00" w:rsidRPr="00C531A2" w:rsidRDefault="00293F00" w:rsidP="00725D9F">
            <w:pPr>
              <w:rPr>
                <w:rFonts w:ascii="Times New Roman" w:hAnsi="Times New Roman"/>
                <w:color w:val="000000"/>
                <w:sz w:val="22"/>
              </w:rPr>
            </w:pPr>
          </w:p>
        </w:tc>
        <w:tc>
          <w:tcPr>
            <w:tcW w:w="1613" w:type="pct"/>
            <w:vMerge/>
            <w:tcBorders>
              <w:top w:val="nil"/>
              <w:left w:val="single" w:sz="4" w:space="0" w:color="auto"/>
              <w:bottom w:val="single" w:sz="4" w:space="0" w:color="auto"/>
              <w:right w:val="single" w:sz="4" w:space="0" w:color="auto"/>
            </w:tcBorders>
            <w:vAlign w:val="center"/>
            <w:hideMark/>
          </w:tcPr>
          <w:p w14:paraId="59F1B0B2" w14:textId="77777777" w:rsidR="00293F00" w:rsidRPr="00C531A2" w:rsidRDefault="00293F00" w:rsidP="00725D9F">
            <w:pPr>
              <w:rPr>
                <w:rFonts w:ascii="Times New Roman" w:hAnsi="Times New Roman"/>
                <w:color w:val="000000"/>
                <w:sz w:val="22"/>
              </w:rPr>
            </w:pPr>
          </w:p>
        </w:tc>
        <w:tc>
          <w:tcPr>
            <w:tcW w:w="1735" w:type="pct"/>
            <w:tcBorders>
              <w:top w:val="nil"/>
              <w:left w:val="nil"/>
              <w:bottom w:val="single" w:sz="4" w:space="0" w:color="auto"/>
              <w:right w:val="single" w:sz="4" w:space="0" w:color="auto"/>
            </w:tcBorders>
            <w:noWrap/>
            <w:hideMark/>
          </w:tcPr>
          <w:p w14:paraId="28147C80" w14:textId="77777777" w:rsidR="00293F00" w:rsidRPr="00C531A2" w:rsidRDefault="00293F00" w:rsidP="00725D9F">
            <w:pPr>
              <w:rPr>
                <w:rFonts w:ascii="Times New Roman" w:hAnsi="Times New Roman"/>
                <w:sz w:val="22"/>
              </w:rPr>
            </w:pPr>
            <w:r w:rsidRPr="00C531A2">
              <w:rPr>
                <w:rFonts w:ascii="Times New Roman" w:hAnsi="Times New Roman"/>
                <w:sz w:val="22"/>
              </w:rPr>
              <w:t>Пројекат мађарско - српске железнице</w:t>
            </w:r>
          </w:p>
        </w:tc>
        <w:tc>
          <w:tcPr>
            <w:tcW w:w="887" w:type="pct"/>
            <w:gridSpan w:val="2"/>
            <w:tcBorders>
              <w:top w:val="nil"/>
              <w:left w:val="nil"/>
              <w:bottom w:val="single" w:sz="4" w:space="0" w:color="auto"/>
              <w:right w:val="single" w:sz="4" w:space="0" w:color="auto"/>
            </w:tcBorders>
            <w:noWrap/>
            <w:hideMark/>
          </w:tcPr>
          <w:p w14:paraId="34F8FA31" w14:textId="77777777" w:rsidR="00293F00" w:rsidRPr="00C531A2" w:rsidRDefault="00293F00" w:rsidP="00725D9F">
            <w:pPr>
              <w:jc w:val="right"/>
              <w:rPr>
                <w:rFonts w:ascii="Times New Roman" w:hAnsi="Times New Roman"/>
                <w:color w:val="000000"/>
                <w:sz w:val="22"/>
                <w:highlight w:val="yellow"/>
              </w:rPr>
            </w:pPr>
            <w:r w:rsidRPr="00C531A2">
              <w:rPr>
                <w:rFonts w:ascii="Times New Roman" w:hAnsi="Times New Roman"/>
                <w:sz w:val="22"/>
              </w:rPr>
              <w:t>14.775.858.000</w:t>
            </w:r>
          </w:p>
        </w:tc>
        <w:tc>
          <w:tcPr>
            <w:tcW w:w="378" w:type="pct"/>
            <w:gridSpan w:val="2"/>
            <w:vAlign w:val="center"/>
            <w:hideMark/>
          </w:tcPr>
          <w:p w14:paraId="4EA2EC69" w14:textId="77777777" w:rsidR="00293F00" w:rsidRPr="00C531A2" w:rsidRDefault="00293F00" w:rsidP="00725D9F">
            <w:pPr>
              <w:rPr>
                <w:rFonts w:ascii="Times New Roman" w:hAnsi="Times New Roman"/>
                <w:sz w:val="22"/>
              </w:rPr>
            </w:pPr>
          </w:p>
        </w:tc>
      </w:tr>
      <w:tr w:rsidR="00502209" w:rsidRPr="00C531A2" w14:paraId="3ABA1997" w14:textId="77777777" w:rsidTr="00502209">
        <w:trPr>
          <w:trHeight w:val="600"/>
        </w:trPr>
        <w:tc>
          <w:tcPr>
            <w:tcW w:w="387" w:type="pct"/>
            <w:vMerge/>
            <w:tcBorders>
              <w:top w:val="nil"/>
              <w:left w:val="single" w:sz="4" w:space="0" w:color="auto"/>
              <w:bottom w:val="single" w:sz="4" w:space="0" w:color="auto"/>
              <w:right w:val="single" w:sz="4" w:space="0" w:color="auto"/>
            </w:tcBorders>
            <w:vAlign w:val="center"/>
          </w:tcPr>
          <w:p w14:paraId="4F9A4289" w14:textId="77777777" w:rsidR="00293F00" w:rsidRPr="00C531A2" w:rsidRDefault="00293F00" w:rsidP="00725D9F">
            <w:pPr>
              <w:rPr>
                <w:rFonts w:ascii="Times New Roman" w:hAnsi="Times New Roman"/>
                <w:color w:val="000000"/>
                <w:sz w:val="22"/>
              </w:rPr>
            </w:pPr>
          </w:p>
        </w:tc>
        <w:tc>
          <w:tcPr>
            <w:tcW w:w="1613" w:type="pct"/>
            <w:vMerge/>
            <w:tcBorders>
              <w:top w:val="nil"/>
              <w:left w:val="single" w:sz="4" w:space="0" w:color="auto"/>
              <w:bottom w:val="single" w:sz="4" w:space="0" w:color="auto"/>
              <w:right w:val="single" w:sz="4" w:space="0" w:color="auto"/>
            </w:tcBorders>
            <w:vAlign w:val="center"/>
          </w:tcPr>
          <w:p w14:paraId="6BF74EF1" w14:textId="77777777" w:rsidR="00293F00" w:rsidRPr="00C531A2" w:rsidRDefault="00293F00" w:rsidP="00725D9F">
            <w:pPr>
              <w:rPr>
                <w:rFonts w:ascii="Times New Roman" w:hAnsi="Times New Roman"/>
                <w:color w:val="000000"/>
                <w:sz w:val="22"/>
              </w:rPr>
            </w:pPr>
          </w:p>
        </w:tc>
        <w:tc>
          <w:tcPr>
            <w:tcW w:w="1735" w:type="pct"/>
            <w:tcBorders>
              <w:top w:val="nil"/>
              <w:left w:val="nil"/>
              <w:bottom w:val="single" w:sz="4" w:space="0" w:color="auto"/>
              <w:right w:val="single" w:sz="4" w:space="0" w:color="auto"/>
            </w:tcBorders>
            <w:vAlign w:val="center"/>
          </w:tcPr>
          <w:p w14:paraId="099C7734" w14:textId="77777777" w:rsidR="00293F00" w:rsidRPr="00C531A2" w:rsidRDefault="00293F00" w:rsidP="00725D9F">
            <w:pPr>
              <w:rPr>
                <w:rFonts w:ascii="Times New Roman" w:hAnsi="Times New Roman"/>
                <w:color w:val="000000"/>
                <w:sz w:val="22"/>
              </w:rPr>
            </w:pPr>
            <w:r w:rsidRPr="00C531A2">
              <w:rPr>
                <w:rFonts w:ascii="Times New Roman" w:hAnsi="Times New Roman"/>
                <w:color w:val="000000"/>
                <w:sz w:val="22"/>
              </w:rPr>
              <w:t>Извођење дела радова на изградњи аутопута Е-75, деоница: ГП Келебија-петља Суботица Југ</w:t>
            </w:r>
          </w:p>
        </w:tc>
        <w:tc>
          <w:tcPr>
            <w:tcW w:w="887" w:type="pct"/>
            <w:gridSpan w:val="2"/>
            <w:tcBorders>
              <w:top w:val="nil"/>
              <w:left w:val="nil"/>
              <w:bottom w:val="single" w:sz="4" w:space="0" w:color="auto"/>
              <w:right w:val="single" w:sz="4" w:space="0" w:color="auto"/>
            </w:tcBorders>
            <w:noWrap/>
          </w:tcPr>
          <w:p w14:paraId="5295BEE9" w14:textId="77777777" w:rsidR="00293F00" w:rsidRPr="00C531A2" w:rsidRDefault="00293F00" w:rsidP="00725D9F">
            <w:pPr>
              <w:jc w:val="right"/>
              <w:rPr>
                <w:rFonts w:ascii="Times New Roman" w:hAnsi="Times New Roman"/>
                <w:sz w:val="22"/>
              </w:rPr>
            </w:pPr>
            <w:r w:rsidRPr="00C531A2">
              <w:rPr>
                <w:rFonts w:ascii="Times New Roman" w:hAnsi="Times New Roman"/>
                <w:sz w:val="22"/>
              </w:rPr>
              <w:t>500.000.000</w:t>
            </w:r>
          </w:p>
        </w:tc>
        <w:tc>
          <w:tcPr>
            <w:tcW w:w="378" w:type="pct"/>
            <w:gridSpan w:val="2"/>
            <w:vAlign w:val="center"/>
          </w:tcPr>
          <w:p w14:paraId="55C9D340" w14:textId="77777777" w:rsidR="00293F00" w:rsidRPr="00C531A2" w:rsidRDefault="00293F00" w:rsidP="00725D9F">
            <w:pPr>
              <w:rPr>
                <w:rFonts w:ascii="Times New Roman" w:hAnsi="Times New Roman"/>
                <w:sz w:val="22"/>
              </w:rPr>
            </w:pPr>
          </w:p>
        </w:tc>
      </w:tr>
      <w:tr w:rsidR="00502209" w:rsidRPr="00C531A2" w14:paraId="11241595" w14:textId="77777777" w:rsidTr="00502209">
        <w:trPr>
          <w:trHeight w:val="600"/>
        </w:trPr>
        <w:tc>
          <w:tcPr>
            <w:tcW w:w="387" w:type="pct"/>
            <w:vMerge/>
            <w:tcBorders>
              <w:top w:val="nil"/>
              <w:left w:val="single" w:sz="4" w:space="0" w:color="auto"/>
              <w:bottom w:val="single" w:sz="4" w:space="0" w:color="auto"/>
              <w:right w:val="single" w:sz="4" w:space="0" w:color="auto"/>
            </w:tcBorders>
            <w:vAlign w:val="center"/>
            <w:hideMark/>
          </w:tcPr>
          <w:p w14:paraId="10747972" w14:textId="77777777" w:rsidR="00293F00" w:rsidRPr="00C531A2" w:rsidRDefault="00293F00" w:rsidP="00725D9F">
            <w:pPr>
              <w:rPr>
                <w:rFonts w:ascii="Times New Roman" w:hAnsi="Times New Roman"/>
                <w:color w:val="000000"/>
                <w:sz w:val="22"/>
              </w:rPr>
            </w:pPr>
          </w:p>
        </w:tc>
        <w:tc>
          <w:tcPr>
            <w:tcW w:w="1613" w:type="pct"/>
            <w:vMerge/>
            <w:tcBorders>
              <w:top w:val="nil"/>
              <w:left w:val="single" w:sz="4" w:space="0" w:color="auto"/>
              <w:bottom w:val="single" w:sz="4" w:space="0" w:color="auto"/>
              <w:right w:val="single" w:sz="4" w:space="0" w:color="auto"/>
            </w:tcBorders>
            <w:vAlign w:val="center"/>
            <w:hideMark/>
          </w:tcPr>
          <w:p w14:paraId="5F63B7BE" w14:textId="77777777" w:rsidR="00293F00" w:rsidRPr="00C531A2" w:rsidRDefault="00293F00" w:rsidP="00725D9F">
            <w:pPr>
              <w:rPr>
                <w:rFonts w:ascii="Times New Roman" w:hAnsi="Times New Roman"/>
                <w:color w:val="000000"/>
                <w:sz w:val="22"/>
              </w:rPr>
            </w:pPr>
          </w:p>
        </w:tc>
        <w:tc>
          <w:tcPr>
            <w:tcW w:w="1735" w:type="pct"/>
            <w:tcBorders>
              <w:top w:val="nil"/>
              <w:left w:val="nil"/>
              <w:bottom w:val="single" w:sz="4" w:space="0" w:color="auto"/>
              <w:right w:val="single" w:sz="4" w:space="0" w:color="auto"/>
            </w:tcBorders>
            <w:vAlign w:val="center"/>
            <w:hideMark/>
          </w:tcPr>
          <w:p w14:paraId="0F8CF01C" w14:textId="77777777" w:rsidR="00293F00" w:rsidRPr="00C531A2" w:rsidRDefault="00293F00" w:rsidP="00725D9F">
            <w:pPr>
              <w:rPr>
                <w:rFonts w:ascii="Times New Roman" w:hAnsi="Times New Roman"/>
                <w:color w:val="000000"/>
                <w:sz w:val="22"/>
              </w:rPr>
            </w:pPr>
            <w:r w:rsidRPr="00C531A2">
              <w:rPr>
                <w:rFonts w:ascii="Times New Roman" w:hAnsi="Times New Roman"/>
                <w:color w:val="000000"/>
                <w:sz w:val="22"/>
              </w:rPr>
              <w:t>Унапређење услова за превођење бродова у оквиру бране на Тиси код Новог Бечеја</w:t>
            </w:r>
          </w:p>
        </w:tc>
        <w:tc>
          <w:tcPr>
            <w:tcW w:w="887" w:type="pct"/>
            <w:gridSpan w:val="2"/>
            <w:tcBorders>
              <w:top w:val="nil"/>
              <w:left w:val="nil"/>
              <w:bottom w:val="single" w:sz="4" w:space="0" w:color="auto"/>
              <w:right w:val="single" w:sz="4" w:space="0" w:color="auto"/>
            </w:tcBorders>
            <w:noWrap/>
            <w:hideMark/>
          </w:tcPr>
          <w:p w14:paraId="2CE40DDB" w14:textId="77777777" w:rsidR="00293F00" w:rsidRPr="00C531A2" w:rsidRDefault="00293F00" w:rsidP="00725D9F">
            <w:pPr>
              <w:jc w:val="right"/>
              <w:rPr>
                <w:rFonts w:ascii="Times New Roman" w:hAnsi="Times New Roman"/>
                <w:color w:val="000000"/>
                <w:sz w:val="22"/>
                <w:highlight w:val="yellow"/>
              </w:rPr>
            </w:pPr>
            <w:r w:rsidRPr="00C531A2">
              <w:rPr>
                <w:rFonts w:ascii="Times New Roman" w:hAnsi="Times New Roman"/>
                <w:sz w:val="22"/>
              </w:rPr>
              <w:t>137.300.000</w:t>
            </w:r>
          </w:p>
        </w:tc>
        <w:tc>
          <w:tcPr>
            <w:tcW w:w="378" w:type="pct"/>
            <w:gridSpan w:val="2"/>
            <w:vAlign w:val="center"/>
            <w:hideMark/>
          </w:tcPr>
          <w:p w14:paraId="43F4606D" w14:textId="77777777" w:rsidR="00293F00" w:rsidRPr="00C531A2" w:rsidRDefault="00293F00" w:rsidP="00725D9F">
            <w:pPr>
              <w:rPr>
                <w:rFonts w:ascii="Times New Roman" w:hAnsi="Times New Roman"/>
                <w:sz w:val="22"/>
              </w:rPr>
            </w:pPr>
          </w:p>
        </w:tc>
      </w:tr>
      <w:tr w:rsidR="00502209" w:rsidRPr="00C531A2" w14:paraId="3345EAA2" w14:textId="77777777" w:rsidTr="00502209">
        <w:trPr>
          <w:trHeight w:val="300"/>
        </w:trPr>
        <w:tc>
          <w:tcPr>
            <w:tcW w:w="387" w:type="pct"/>
            <w:vMerge/>
            <w:tcBorders>
              <w:top w:val="nil"/>
              <w:left w:val="single" w:sz="4" w:space="0" w:color="auto"/>
              <w:bottom w:val="single" w:sz="4" w:space="0" w:color="auto"/>
              <w:right w:val="single" w:sz="4" w:space="0" w:color="auto"/>
            </w:tcBorders>
            <w:vAlign w:val="center"/>
            <w:hideMark/>
          </w:tcPr>
          <w:p w14:paraId="305CC2C2" w14:textId="77777777" w:rsidR="00293F00" w:rsidRPr="00C531A2" w:rsidRDefault="00293F00" w:rsidP="00725D9F">
            <w:pPr>
              <w:rPr>
                <w:rFonts w:ascii="Times New Roman" w:hAnsi="Times New Roman"/>
                <w:color w:val="000000"/>
                <w:sz w:val="22"/>
              </w:rPr>
            </w:pPr>
          </w:p>
        </w:tc>
        <w:tc>
          <w:tcPr>
            <w:tcW w:w="1613" w:type="pct"/>
            <w:vMerge/>
            <w:tcBorders>
              <w:top w:val="nil"/>
              <w:left w:val="single" w:sz="4" w:space="0" w:color="auto"/>
              <w:bottom w:val="single" w:sz="4" w:space="0" w:color="auto"/>
              <w:right w:val="single" w:sz="4" w:space="0" w:color="auto"/>
            </w:tcBorders>
            <w:vAlign w:val="center"/>
            <w:hideMark/>
          </w:tcPr>
          <w:p w14:paraId="71A846D8" w14:textId="77777777" w:rsidR="00293F00" w:rsidRPr="00C531A2" w:rsidRDefault="00293F00" w:rsidP="00725D9F">
            <w:pPr>
              <w:rPr>
                <w:rFonts w:ascii="Times New Roman" w:hAnsi="Times New Roman"/>
                <w:color w:val="000000"/>
                <w:sz w:val="22"/>
              </w:rPr>
            </w:pPr>
          </w:p>
        </w:tc>
        <w:tc>
          <w:tcPr>
            <w:tcW w:w="1735" w:type="pct"/>
            <w:tcBorders>
              <w:top w:val="nil"/>
              <w:left w:val="nil"/>
              <w:bottom w:val="single" w:sz="4" w:space="0" w:color="auto"/>
              <w:right w:val="single" w:sz="4" w:space="0" w:color="auto"/>
            </w:tcBorders>
            <w:vAlign w:val="center"/>
            <w:hideMark/>
          </w:tcPr>
          <w:p w14:paraId="5FB2B96A" w14:textId="77777777" w:rsidR="00293F00" w:rsidRPr="00C531A2" w:rsidRDefault="00293F00" w:rsidP="00725D9F">
            <w:pPr>
              <w:rPr>
                <w:rFonts w:ascii="Times New Roman" w:hAnsi="Times New Roman"/>
                <w:color w:val="000000"/>
                <w:sz w:val="22"/>
              </w:rPr>
            </w:pPr>
            <w:r w:rsidRPr="00C531A2">
              <w:rPr>
                <w:rFonts w:ascii="Times New Roman" w:hAnsi="Times New Roman"/>
                <w:color w:val="000000"/>
                <w:sz w:val="22"/>
              </w:rPr>
              <w:t>Проширење капацитета Луке Сремска Митровица</w:t>
            </w:r>
          </w:p>
        </w:tc>
        <w:tc>
          <w:tcPr>
            <w:tcW w:w="887" w:type="pct"/>
            <w:gridSpan w:val="2"/>
            <w:tcBorders>
              <w:top w:val="nil"/>
              <w:left w:val="nil"/>
              <w:bottom w:val="single" w:sz="4" w:space="0" w:color="auto"/>
              <w:right w:val="single" w:sz="4" w:space="0" w:color="auto"/>
            </w:tcBorders>
            <w:noWrap/>
            <w:hideMark/>
          </w:tcPr>
          <w:p w14:paraId="667FF58A" w14:textId="77777777" w:rsidR="00293F00" w:rsidRPr="00C531A2" w:rsidRDefault="00293F00" w:rsidP="00725D9F">
            <w:pPr>
              <w:jc w:val="right"/>
              <w:rPr>
                <w:rFonts w:ascii="Times New Roman" w:hAnsi="Times New Roman"/>
                <w:color w:val="000000"/>
                <w:sz w:val="22"/>
                <w:highlight w:val="yellow"/>
              </w:rPr>
            </w:pPr>
            <w:r w:rsidRPr="00C531A2">
              <w:rPr>
                <w:rFonts w:ascii="Times New Roman" w:hAnsi="Times New Roman"/>
                <w:color w:val="000000"/>
                <w:sz w:val="22"/>
              </w:rPr>
              <w:t>79.880.000</w:t>
            </w:r>
          </w:p>
        </w:tc>
        <w:tc>
          <w:tcPr>
            <w:tcW w:w="378" w:type="pct"/>
            <w:gridSpan w:val="2"/>
            <w:vAlign w:val="center"/>
            <w:hideMark/>
          </w:tcPr>
          <w:p w14:paraId="55FBADC3" w14:textId="77777777" w:rsidR="00293F00" w:rsidRPr="00C531A2" w:rsidRDefault="00293F00" w:rsidP="00725D9F">
            <w:pPr>
              <w:rPr>
                <w:rFonts w:ascii="Times New Roman" w:hAnsi="Times New Roman"/>
                <w:sz w:val="22"/>
              </w:rPr>
            </w:pPr>
          </w:p>
        </w:tc>
      </w:tr>
      <w:tr w:rsidR="00502209" w:rsidRPr="00C531A2" w14:paraId="37F4BDDC" w14:textId="77777777" w:rsidTr="00502209">
        <w:trPr>
          <w:trHeight w:val="300"/>
        </w:trPr>
        <w:tc>
          <w:tcPr>
            <w:tcW w:w="387" w:type="pct"/>
            <w:vMerge/>
            <w:tcBorders>
              <w:top w:val="nil"/>
              <w:left w:val="single" w:sz="4" w:space="0" w:color="auto"/>
              <w:bottom w:val="single" w:sz="4" w:space="0" w:color="auto"/>
              <w:right w:val="single" w:sz="4" w:space="0" w:color="auto"/>
            </w:tcBorders>
            <w:vAlign w:val="center"/>
            <w:hideMark/>
          </w:tcPr>
          <w:p w14:paraId="1C4705B2" w14:textId="77777777" w:rsidR="00293F00" w:rsidRPr="00C531A2" w:rsidRDefault="00293F00" w:rsidP="00725D9F">
            <w:pPr>
              <w:rPr>
                <w:rFonts w:ascii="Times New Roman" w:hAnsi="Times New Roman"/>
                <w:color w:val="000000"/>
                <w:sz w:val="22"/>
              </w:rPr>
            </w:pPr>
          </w:p>
        </w:tc>
        <w:tc>
          <w:tcPr>
            <w:tcW w:w="1613" w:type="pct"/>
            <w:vMerge/>
            <w:tcBorders>
              <w:top w:val="nil"/>
              <w:left w:val="single" w:sz="4" w:space="0" w:color="auto"/>
              <w:bottom w:val="single" w:sz="4" w:space="0" w:color="auto"/>
              <w:right w:val="single" w:sz="4" w:space="0" w:color="auto"/>
            </w:tcBorders>
            <w:vAlign w:val="center"/>
            <w:hideMark/>
          </w:tcPr>
          <w:p w14:paraId="6BB24405" w14:textId="77777777" w:rsidR="00293F00" w:rsidRPr="00C531A2" w:rsidRDefault="00293F00" w:rsidP="00725D9F">
            <w:pPr>
              <w:rPr>
                <w:rFonts w:ascii="Times New Roman" w:hAnsi="Times New Roman"/>
                <w:color w:val="000000"/>
                <w:sz w:val="22"/>
              </w:rPr>
            </w:pPr>
          </w:p>
        </w:tc>
        <w:tc>
          <w:tcPr>
            <w:tcW w:w="1735" w:type="pct"/>
            <w:tcBorders>
              <w:top w:val="nil"/>
              <w:left w:val="nil"/>
              <w:bottom w:val="single" w:sz="4" w:space="0" w:color="auto"/>
              <w:right w:val="single" w:sz="4" w:space="0" w:color="auto"/>
            </w:tcBorders>
            <w:vAlign w:val="center"/>
            <w:hideMark/>
          </w:tcPr>
          <w:p w14:paraId="30E86329" w14:textId="77777777" w:rsidR="00293F00" w:rsidRPr="00C531A2" w:rsidRDefault="00293F00" w:rsidP="00725D9F">
            <w:pPr>
              <w:rPr>
                <w:rFonts w:ascii="Times New Roman" w:hAnsi="Times New Roman"/>
                <w:color w:val="000000"/>
                <w:sz w:val="22"/>
              </w:rPr>
            </w:pPr>
            <w:r w:rsidRPr="00C531A2">
              <w:rPr>
                <w:rFonts w:ascii="Times New Roman" w:hAnsi="Times New Roman"/>
                <w:color w:val="000000"/>
                <w:sz w:val="22"/>
              </w:rPr>
              <w:t>Проширење капацитета Луке Богојево</w:t>
            </w:r>
          </w:p>
        </w:tc>
        <w:tc>
          <w:tcPr>
            <w:tcW w:w="887" w:type="pct"/>
            <w:gridSpan w:val="2"/>
            <w:tcBorders>
              <w:top w:val="nil"/>
              <w:left w:val="nil"/>
              <w:bottom w:val="single" w:sz="4" w:space="0" w:color="auto"/>
              <w:right w:val="single" w:sz="4" w:space="0" w:color="auto"/>
            </w:tcBorders>
            <w:noWrap/>
          </w:tcPr>
          <w:p w14:paraId="5E30F2BC" w14:textId="77777777" w:rsidR="00293F00" w:rsidRPr="00C531A2" w:rsidRDefault="00293F00" w:rsidP="00725D9F">
            <w:pPr>
              <w:jc w:val="right"/>
              <w:rPr>
                <w:rFonts w:ascii="Times New Roman" w:hAnsi="Times New Roman"/>
                <w:color w:val="000000"/>
                <w:sz w:val="22"/>
              </w:rPr>
            </w:pPr>
            <w:r w:rsidRPr="00C531A2">
              <w:rPr>
                <w:rFonts w:ascii="Times New Roman" w:hAnsi="Times New Roman"/>
                <w:color w:val="000000"/>
                <w:sz w:val="22"/>
              </w:rPr>
              <w:t>432.000.000</w:t>
            </w:r>
          </w:p>
        </w:tc>
        <w:tc>
          <w:tcPr>
            <w:tcW w:w="378" w:type="pct"/>
            <w:gridSpan w:val="2"/>
            <w:vAlign w:val="center"/>
            <w:hideMark/>
          </w:tcPr>
          <w:p w14:paraId="16DD0425" w14:textId="77777777" w:rsidR="00293F00" w:rsidRPr="00C531A2" w:rsidRDefault="00293F00" w:rsidP="00725D9F">
            <w:pPr>
              <w:rPr>
                <w:rFonts w:ascii="Times New Roman" w:hAnsi="Times New Roman"/>
                <w:sz w:val="22"/>
              </w:rPr>
            </w:pPr>
          </w:p>
        </w:tc>
      </w:tr>
      <w:tr w:rsidR="00502209" w:rsidRPr="00C531A2" w14:paraId="5E06E79D" w14:textId="77777777" w:rsidTr="00502209">
        <w:trPr>
          <w:trHeight w:val="600"/>
        </w:trPr>
        <w:tc>
          <w:tcPr>
            <w:tcW w:w="387" w:type="pct"/>
            <w:vMerge/>
            <w:tcBorders>
              <w:top w:val="nil"/>
              <w:left w:val="single" w:sz="4" w:space="0" w:color="auto"/>
              <w:bottom w:val="single" w:sz="4" w:space="0" w:color="auto"/>
              <w:right w:val="single" w:sz="4" w:space="0" w:color="auto"/>
            </w:tcBorders>
            <w:vAlign w:val="center"/>
            <w:hideMark/>
          </w:tcPr>
          <w:p w14:paraId="43246029" w14:textId="77777777" w:rsidR="00293F00" w:rsidRPr="00C531A2" w:rsidRDefault="00293F00" w:rsidP="00725D9F">
            <w:pPr>
              <w:rPr>
                <w:rFonts w:ascii="Times New Roman" w:hAnsi="Times New Roman"/>
                <w:color w:val="000000"/>
                <w:sz w:val="22"/>
              </w:rPr>
            </w:pPr>
          </w:p>
        </w:tc>
        <w:tc>
          <w:tcPr>
            <w:tcW w:w="1613" w:type="pct"/>
            <w:vMerge/>
            <w:tcBorders>
              <w:top w:val="nil"/>
              <w:left w:val="single" w:sz="4" w:space="0" w:color="auto"/>
              <w:bottom w:val="single" w:sz="4" w:space="0" w:color="auto"/>
              <w:right w:val="single" w:sz="4" w:space="0" w:color="auto"/>
            </w:tcBorders>
            <w:vAlign w:val="center"/>
            <w:hideMark/>
          </w:tcPr>
          <w:p w14:paraId="6589EA6C" w14:textId="77777777" w:rsidR="00293F00" w:rsidRPr="00C531A2" w:rsidRDefault="00293F00" w:rsidP="00725D9F">
            <w:pPr>
              <w:rPr>
                <w:rFonts w:ascii="Times New Roman" w:hAnsi="Times New Roman"/>
                <w:color w:val="000000"/>
                <w:sz w:val="22"/>
              </w:rPr>
            </w:pPr>
          </w:p>
        </w:tc>
        <w:tc>
          <w:tcPr>
            <w:tcW w:w="1735" w:type="pct"/>
            <w:tcBorders>
              <w:top w:val="nil"/>
              <w:left w:val="nil"/>
              <w:bottom w:val="single" w:sz="4" w:space="0" w:color="auto"/>
              <w:right w:val="single" w:sz="4" w:space="0" w:color="auto"/>
            </w:tcBorders>
            <w:vAlign w:val="center"/>
            <w:hideMark/>
          </w:tcPr>
          <w:p w14:paraId="76F30FCA" w14:textId="77777777" w:rsidR="00293F00" w:rsidRPr="00C531A2" w:rsidRDefault="00293F00" w:rsidP="00725D9F">
            <w:pPr>
              <w:rPr>
                <w:rFonts w:ascii="Times New Roman" w:hAnsi="Times New Roman"/>
                <w:color w:val="000000"/>
                <w:sz w:val="22"/>
              </w:rPr>
            </w:pPr>
            <w:r w:rsidRPr="00C531A2">
              <w:rPr>
                <w:rFonts w:ascii="Times New Roman" w:hAnsi="Times New Roman"/>
                <w:color w:val="000000"/>
                <w:sz w:val="22"/>
              </w:rPr>
              <w:t>Реконструкција и доградња граничног прелаза Хоргош</w:t>
            </w:r>
          </w:p>
        </w:tc>
        <w:tc>
          <w:tcPr>
            <w:tcW w:w="887" w:type="pct"/>
            <w:gridSpan w:val="2"/>
            <w:tcBorders>
              <w:top w:val="nil"/>
              <w:left w:val="nil"/>
              <w:bottom w:val="single" w:sz="4" w:space="0" w:color="auto"/>
              <w:right w:val="single" w:sz="4" w:space="0" w:color="auto"/>
            </w:tcBorders>
            <w:noWrap/>
          </w:tcPr>
          <w:p w14:paraId="65B1C16D" w14:textId="77777777" w:rsidR="00293F00" w:rsidRPr="00C531A2" w:rsidRDefault="00293F00" w:rsidP="00725D9F">
            <w:pPr>
              <w:jc w:val="right"/>
              <w:rPr>
                <w:rFonts w:ascii="Times New Roman" w:hAnsi="Times New Roman"/>
                <w:color w:val="000000"/>
                <w:sz w:val="22"/>
              </w:rPr>
            </w:pPr>
            <w:r w:rsidRPr="00C531A2">
              <w:rPr>
                <w:rFonts w:ascii="Times New Roman" w:hAnsi="Times New Roman"/>
                <w:color w:val="000000"/>
                <w:sz w:val="22"/>
              </w:rPr>
              <w:t>200.000.000</w:t>
            </w:r>
          </w:p>
        </w:tc>
        <w:tc>
          <w:tcPr>
            <w:tcW w:w="378" w:type="pct"/>
            <w:gridSpan w:val="2"/>
            <w:vAlign w:val="center"/>
            <w:hideMark/>
          </w:tcPr>
          <w:p w14:paraId="6F5654FA" w14:textId="77777777" w:rsidR="00293F00" w:rsidRPr="00C531A2" w:rsidRDefault="00293F00" w:rsidP="00725D9F">
            <w:pPr>
              <w:rPr>
                <w:rFonts w:ascii="Times New Roman" w:hAnsi="Times New Roman"/>
                <w:sz w:val="22"/>
              </w:rPr>
            </w:pPr>
          </w:p>
        </w:tc>
      </w:tr>
      <w:tr w:rsidR="00502209" w:rsidRPr="00C531A2" w14:paraId="329603E7" w14:textId="77777777" w:rsidTr="00502209">
        <w:trPr>
          <w:trHeight w:val="600"/>
        </w:trPr>
        <w:tc>
          <w:tcPr>
            <w:tcW w:w="387" w:type="pct"/>
            <w:vMerge/>
            <w:tcBorders>
              <w:top w:val="nil"/>
              <w:left w:val="single" w:sz="4" w:space="0" w:color="auto"/>
              <w:bottom w:val="single" w:sz="4" w:space="0" w:color="auto"/>
              <w:right w:val="single" w:sz="4" w:space="0" w:color="auto"/>
            </w:tcBorders>
            <w:vAlign w:val="center"/>
            <w:hideMark/>
          </w:tcPr>
          <w:p w14:paraId="49F06859" w14:textId="77777777" w:rsidR="00293F00" w:rsidRPr="00C531A2" w:rsidRDefault="00293F00" w:rsidP="00725D9F">
            <w:pPr>
              <w:rPr>
                <w:rFonts w:ascii="Times New Roman" w:hAnsi="Times New Roman"/>
                <w:color w:val="000000"/>
                <w:sz w:val="22"/>
              </w:rPr>
            </w:pPr>
          </w:p>
        </w:tc>
        <w:tc>
          <w:tcPr>
            <w:tcW w:w="1613" w:type="pct"/>
            <w:vMerge/>
            <w:tcBorders>
              <w:top w:val="nil"/>
              <w:left w:val="single" w:sz="4" w:space="0" w:color="auto"/>
              <w:bottom w:val="single" w:sz="4" w:space="0" w:color="auto"/>
              <w:right w:val="single" w:sz="4" w:space="0" w:color="auto"/>
            </w:tcBorders>
            <w:vAlign w:val="center"/>
            <w:hideMark/>
          </w:tcPr>
          <w:p w14:paraId="26DFF0E8" w14:textId="77777777" w:rsidR="00293F00" w:rsidRPr="00C531A2" w:rsidRDefault="00293F00" w:rsidP="00725D9F">
            <w:pPr>
              <w:rPr>
                <w:rFonts w:ascii="Times New Roman" w:hAnsi="Times New Roman"/>
                <w:color w:val="000000"/>
                <w:sz w:val="22"/>
              </w:rPr>
            </w:pPr>
          </w:p>
        </w:tc>
        <w:tc>
          <w:tcPr>
            <w:tcW w:w="1735" w:type="pct"/>
            <w:tcBorders>
              <w:top w:val="nil"/>
              <w:left w:val="nil"/>
              <w:bottom w:val="single" w:sz="4" w:space="0" w:color="auto"/>
              <w:right w:val="single" w:sz="4" w:space="0" w:color="auto"/>
            </w:tcBorders>
            <w:vAlign w:val="center"/>
            <w:hideMark/>
          </w:tcPr>
          <w:p w14:paraId="7829AE33" w14:textId="77777777" w:rsidR="00293F00" w:rsidRPr="00C531A2" w:rsidRDefault="00293F00" w:rsidP="00725D9F">
            <w:pPr>
              <w:rPr>
                <w:rFonts w:ascii="Times New Roman" w:hAnsi="Times New Roman"/>
                <w:color w:val="000000"/>
                <w:sz w:val="22"/>
              </w:rPr>
            </w:pPr>
            <w:r w:rsidRPr="00C531A2">
              <w:rPr>
                <w:rFonts w:ascii="Times New Roman" w:hAnsi="Times New Roman"/>
                <w:color w:val="000000"/>
                <w:sz w:val="22"/>
              </w:rPr>
              <w:t>Изградња моста - обилазнице око Новог Сада са приступним саобраћајницама</w:t>
            </w:r>
          </w:p>
        </w:tc>
        <w:tc>
          <w:tcPr>
            <w:tcW w:w="887" w:type="pct"/>
            <w:gridSpan w:val="2"/>
            <w:tcBorders>
              <w:top w:val="nil"/>
              <w:left w:val="nil"/>
              <w:bottom w:val="single" w:sz="4" w:space="0" w:color="auto"/>
              <w:right w:val="single" w:sz="4" w:space="0" w:color="auto"/>
            </w:tcBorders>
            <w:noWrap/>
            <w:vAlign w:val="bottom"/>
          </w:tcPr>
          <w:p w14:paraId="720CC406" w14:textId="77777777" w:rsidR="00293F00" w:rsidRPr="00C531A2" w:rsidRDefault="00293F00" w:rsidP="00725D9F">
            <w:pPr>
              <w:jc w:val="right"/>
              <w:rPr>
                <w:rFonts w:ascii="Times New Roman" w:hAnsi="Times New Roman"/>
                <w:color w:val="000000"/>
                <w:sz w:val="22"/>
              </w:rPr>
            </w:pPr>
            <w:r w:rsidRPr="00C531A2">
              <w:rPr>
                <w:rFonts w:ascii="Times New Roman" w:hAnsi="Times New Roman"/>
                <w:color w:val="000000"/>
                <w:sz w:val="22"/>
              </w:rPr>
              <w:t>7.600.000.000</w:t>
            </w:r>
          </w:p>
        </w:tc>
        <w:tc>
          <w:tcPr>
            <w:tcW w:w="378" w:type="pct"/>
            <w:gridSpan w:val="2"/>
            <w:vAlign w:val="center"/>
            <w:hideMark/>
          </w:tcPr>
          <w:p w14:paraId="6EC910CA" w14:textId="77777777" w:rsidR="00293F00" w:rsidRPr="00C531A2" w:rsidRDefault="00293F00" w:rsidP="00725D9F">
            <w:pPr>
              <w:rPr>
                <w:rFonts w:ascii="Times New Roman" w:hAnsi="Times New Roman"/>
                <w:sz w:val="22"/>
              </w:rPr>
            </w:pPr>
          </w:p>
        </w:tc>
      </w:tr>
      <w:tr w:rsidR="00502209" w:rsidRPr="00C531A2" w14:paraId="1E38225A" w14:textId="77777777" w:rsidTr="00502209">
        <w:trPr>
          <w:trHeight w:val="300"/>
        </w:trPr>
        <w:tc>
          <w:tcPr>
            <w:tcW w:w="387" w:type="pct"/>
            <w:vMerge/>
            <w:tcBorders>
              <w:top w:val="nil"/>
              <w:left w:val="single" w:sz="4" w:space="0" w:color="auto"/>
              <w:bottom w:val="single" w:sz="4" w:space="0" w:color="auto"/>
              <w:right w:val="single" w:sz="4" w:space="0" w:color="auto"/>
            </w:tcBorders>
            <w:vAlign w:val="center"/>
            <w:hideMark/>
          </w:tcPr>
          <w:p w14:paraId="40208BC3" w14:textId="77777777" w:rsidR="00293F00" w:rsidRPr="00C531A2" w:rsidRDefault="00293F00" w:rsidP="00725D9F">
            <w:pPr>
              <w:rPr>
                <w:rFonts w:ascii="Times New Roman" w:hAnsi="Times New Roman"/>
                <w:color w:val="000000"/>
                <w:sz w:val="22"/>
              </w:rPr>
            </w:pPr>
          </w:p>
        </w:tc>
        <w:tc>
          <w:tcPr>
            <w:tcW w:w="1613" w:type="pct"/>
            <w:vMerge/>
            <w:tcBorders>
              <w:top w:val="nil"/>
              <w:left w:val="single" w:sz="4" w:space="0" w:color="auto"/>
              <w:bottom w:val="single" w:sz="4" w:space="0" w:color="auto"/>
              <w:right w:val="single" w:sz="4" w:space="0" w:color="auto"/>
            </w:tcBorders>
            <w:vAlign w:val="center"/>
            <w:hideMark/>
          </w:tcPr>
          <w:p w14:paraId="3B9E7F52" w14:textId="77777777" w:rsidR="00293F00" w:rsidRPr="00C531A2" w:rsidRDefault="00293F00" w:rsidP="00725D9F">
            <w:pPr>
              <w:rPr>
                <w:rFonts w:ascii="Times New Roman" w:hAnsi="Times New Roman"/>
                <w:color w:val="000000"/>
                <w:sz w:val="22"/>
              </w:rPr>
            </w:pPr>
          </w:p>
        </w:tc>
        <w:tc>
          <w:tcPr>
            <w:tcW w:w="1735" w:type="pct"/>
            <w:tcBorders>
              <w:top w:val="nil"/>
              <w:left w:val="nil"/>
              <w:bottom w:val="single" w:sz="4" w:space="0" w:color="auto"/>
              <w:right w:val="single" w:sz="4" w:space="0" w:color="auto"/>
            </w:tcBorders>
            <w:vAlign w:val="center"/>
            <w:hideMark/>
          </w:tcPr>
          <w:p w14:paraId="4A875191" w14:textId="77777777" w:rsidR="00293F00" w:rsidRPr="00C531A2" w:rsidRDefault="00293F00" w:rsidP="00725D9F">
            <w:pPr>
              <w:rPr>
                <w:rFonts w:ascii="Times New Roman" w:hAnsi="Times New Roman"/>
                <w:color w:val="000000"/>
                <w:sz w:val="22"/>
              </w:rPr>
            </w:pPr>
            <w:r w:rsidRPr="00C531A2">
              <w:rPr>
                <w:rFonts w:ascii="Times New Roman" w:hAnsi="Times New Roman"/>
                <w:color w:val="000000"/>
                <w:sz w:val="22"/>
              </w:rPr>
              <w:t>Изградња аутопута, деоница: Београд - Зрењанин</w:t>
            </w:r>
          </w:p>
        </w:tc>
        <w:tc>
          <w:tcPr>
            <w:tcW w:w="887" w:type="pct"/>
            <w:gridSpan w:val="2"/>
            <w:tcBorders>
              <w:top w:val="nil"/>
              <w:left w:val="nil"/>
              <w:bottom w:val="single" w:sz="4" w:space="0" w:color="auto"/>
              <w:right w:val="single" w:sz="4" w:space="0" w:color="auto"/>
            </w:tcBorders>
            <w:noWrap/>
          </w:tcPr>
          <w:p w14:paraId="44510D47" w14:textId="77777777" w:rsidR="00293F00" w:rsidRPr="00C531A2" w:rsidRDefault="00293F00" w:rsidP="00725D9F">
            <w:pPr>
              <w:jc w:val="right"/>
              <w:rPr>
                <w:rFonts w:ascii="Times New Roman" w:hAnsi="Times New Roman"/>
                <w:sz w:val="22"/>
              </w:rPr>
            </w:pPr>
            <w:r w:rsidRPr="00C531A2">
              <w:rPr>
                <w:rFonts w:ascii="Times New Roman" w:hAnsi="Times New Roman"/>
                <w:sz w:val="22"/>
              </w:rPr>
              <w:t>12.000.000.000</w:t>
            </w:r>
          </w:p>
        </w:tc>
        <w:tc>
          <w:tcPr>
            <w:tcW w:w="378" w:type="pct"/>
            <w:gridSpan w:val="2"/>
            <w:vAlign w:val="center"/>
            <w:hideMark/>
          </w:tcPr>
          <w:p w14:paraId="74774251" w14:textId="77777777" w:rsidR="00293F00" w:rsidRPr="00C531A2" w:rsidRDefault="00293F00" w:rsidP="00725D9F">
            <w:pPr>
              <w:rPr>
                <w:rFonts w:ascii="Times New Roman" w:hAnsi="Times New Roman"/>
                <w:sz w:val="22"/>
              </w:rPr>
            </w:pPr>
          </w:p>
        </w:tc>
      </w:tr>
      <w:tr w:rsidR="00502209" w:rsidRPr="00C531A2" w14:paraId="42ED8C83" w14:textId="77777777" w:rsidTr="00502209">
        <w:trPr>
          <w:trHeight w:val="600"/>
        </w:trPr>
        <w:tc>
          <w:tcPr>
            <w:tcW w:w="387" w:type="pct"/>
            <w:vMerge/>
            <w:tcBorders>
              <w:top w:val="nil"/>
              <w:left w:val="single" w:sz="4" w:space="0" w:color="auto"/>
              <w:bottom w:val="single" w:sz="4" w:space="0" w:color="auto"/>
              <w:right w:val="single" w:sz="4" w:space="0" w:color="auto"/>
            </w:tcBorders>
            <w:vAlign w:val="center"/>
            <w:hideMark/>
          </w:tcPr>
          <w:p w14:paraId="6A8A9329" w14:textId="77777777" w:rsidR="00293F00" w:rsidRPr="00C531A2" w:rsidRDefault="00293F00" w:rsidP="00725D9F">
            <w:pPr>
              <w:rPr>
                <w:rFonts w:ascii="Times New Roman" w:hAnsi="Times New Roman"/>
                <w:color w:val="000000"/>
                <w:sz w:val="22"/>
              </w:rPr>
            </w:pPr>
          </w:p>
        </w:tc>
        <w:tc>
          <w:tcPr>
            <w:tcW w:w="1613" w:type="pct"/>
            <w:vMerge/>
            <w:tcBorders>
              <w:top w:val="nil"/>
              <w:left w:val="single" w:sz="4" w:space="0" w:color="auto"/>
              <w:bottom w:val="single" w:sz="4" w:space="0" w:color="auto"/>
              <w:right w:val="single" w:sz="4" w:space="0" w:color="auto"/>
            </w:tcBorders>
            <w:vAlign w:val="center"/>
            <w:hideMark/>
          </w:tcPr>
          <w:p w14:paraId="613C7C23" w14:textId="77777777" w:rsidR="00293F00" w:rsidRPr="00C531A2" w:rsidRDefault="00293F00" w:rsidP="00725D9F">
            <w:pPr>
              <w:rPr>
                <w:rFonts w:ascii="Times New Roman" w:hAnsi="Times New Roman"/>
                <w:color w:val="000000"/>
                <w:sz w:val="22"/>
              </w:rPr>
            </w:pPr>
          </w:p>
        </w:tc>
        <w:tc>
          <w:tcPr>
            <w:tcW w:w="1735" w:type="pct"/>
            <w:tcBorders>
              <w:top w:val="nil"/>
              <w:left w:val="nil"/>
              <w:bottom w:val="single" w:sz="4" w:space="0" w:color="auto"/>
              <w:right w:val="single" w:sz="4" w:space="0" w:color="auto"/>
            </w:tcBorders>
            <w:vAlign w:val="center"/>
            <w:hideMark/>
          </w:tcPr>
          <w:p w14:paraId="6873284C" w14:textId="77777777" w:rsidR="00293F00" w:rsidRPr="00C531A2" w:rsidRDefault="00293F00" w:rsidP="00725D9F">
            <w:pPr>
              <w:rPr>
                <w:rFonts w:ascii="Times New Roman" w:hAnsi="Times New Roman"/>
                <w:color w:val="000000"/>
                <w:sz w:val="22"/>
              </w:rPr>
            </w:pPr>
            <w:r w:rsidRPr="00C531A2">
              <w:rPr>
                <w:rFonts w:ascii="Times New Roman" w:hAnsi="Times New Roman"/>
                <w:color w:val="000000"/>
                <w:sz w:val="22"/>
              </w:rPr>
              <w:t>Пројекат изградње пешачко-бициклистичког моста на стубовима старог моста у Новом Саду</w:t>
            </w:r>
          </w:p>
        </w:tc>
        <w:tc>
          <w:tcPr>
            <w:tcW w:w="887" w:type="pct"/>
            <w:gridSpan w:val="2"/>
            <w:tcBorders>
              <w:top w:val="nil"/>
              <w:left w:val="nil"/>
              <w:bottom w:val="single" w:sz="4" w:space="0" w:color="auto"/>
              <w:right w:val="single" w:sz="4" w:space="0" w:color="auto"/>
            </w:tcBorders>
            <w:noWrap/>
          </w:tcPr>
          <w:p w14:paraId="24DDE6CB" w14:textId="77777777" w:rsidR="00293F00" w:rsidRPr="00C531A2" w:rsidRDefault="00293F00" w:rsidP="00725D9F">
            <w:pPr>
              <w:jc w:val="right"/>
              <w:rPr>
                <w:rFonts w:ascii="Times New Roman" w:hAnsi="Times New Roman"/>
                <w:color w:val="000000"/>
                <w:sz w:val="22"/>
              </w:rPr>
            </w:pPr>
            <w:r w:rsidRPr="00C531A2">
              <w:rPr>
                <w:rFonts w:ascii="Times New Roman" w:hAnsi="Times New Roman"/>
                <w:color w:val="000000"/>
                <w:sz w:val="22"/>
              </w:rPr>
              <w:t>500.000.000</w:t>
            </w:r>
          </w:p>
        </w:tc>
        <w:tc>
          <w:tcPr>
            <w:tcW w:w="378" w:type="pct"/>
            <w:gridSpan w:val="2"/>
            <w:vAlign w:val="center"/>
            <w:hideMark/>
          </w:tcPr>
          <w:p w14:paraId="6FEBC4E6" w14:textId="77777777" w:rsidR="00293F00" w:rsidRPr="00C531A2" w:rsidRDefault="00293F00" w:rsidP="00725D9F">
            <w:pPr>
              <w:rPr>
                <w:rFonts w:ascii="Times New Roman" w:hAnsi="Times New Roman"/>
                <w:sz w:val="22"/>
              </w:rPr>
            </w:pPr>
          </w:p>
        </w:tc>
      </w:tr>
      <w:tr w:rsidR="00502209" w:rsidRPr="00C531A2" w14:paraId="385FF399" w14:textId="77777777" w:rsidTr="00502209">
        <w:trPr>
          <w:trHeight w:val="300"/>
        </w:trPr>
        <w:tc>
          <w:tcPr>
            <w:tcW w:w="387" w:type="pct"/>
            <w:vMerge/>
            <w:tcBorders>
              <w:top w:val="nil"/>
              <w:left w:val="single" w:sz="4" w:space="0" w:color="auto"/>
              <w:bottom w:val="single" w:sz="4" w:space="0" w:color="auto"/>
              <w:right w:val="single" w:sz="4" w:space="0" w:color="auto"/>
            </w:tcBorders>
            <w:vAlign w:val="center"/>
          </w:tcPr>
          <w:p w14:paraId="2E34593B" w14:textId="77777777" w:rsidR="00293F00" w:rsidRPr="00C531A2" w:rsidRDefault="00293F00" w:rsidP="00725D9F">
            <w:pPr>
              <w:rPr>
                <w:rFonts w:ascii="Times New Roman" w:hAnsi="Times New Roman"/>
                <w:color w:val="000000"/>
                <w:sz w:val="22"/>
              </w:rPr>
            </w:pPr>
          </w:p>
        </w:tc>
        <w:tc>
          <w:tcPr>
            <w:tcW w:w="1613" w:type="pct"/>
            <w:vMerge/>
            <w:tcBorders>
              <w:top w:val="nil"/>
              <w:left w:val="single" w:sz="4" w:space="0" w:color="auto"/>
              <w:bottom w:val="single" w:sz="4" w:space="0" w:color="auto"/>
              <w:right w:val="single" w:sz="4" w:space="0" w:color="auto"/>
            </w:tcBorders>
            <w:vAlign w:val="center"/>
          </w:tcPr>
          <w:p w14:paraId="294FE588" w14:textId="77777777" w:rsidR="00293F00" w:rsidRPr="00C531A2" w:rsidRDefault="00293F00" w:rsidP="00725D9F">
            <w:pPr>
              <w:rPr>
                <w:rFonts w:ascii="Times New Roman" w:hAnsi="Times New Roman"/>
                <w:color w:val="000000"/>
                <w:sz w:val="22"/>
              </w:rPr>
            </w:pPr>
          </w:p>
        </w:tc>
        <w:tc>
          <w:tcPr>
            <w:tcW w:w="1735" w:type="pct"/>
            <w:tcBorders>
              <w:top w:val="nil"/>
              <w:left w:val="nil"/>
              <w:bottom w:val="single" w:sz="4" w:space="0" w:color="auto"/>
              <w:right w:val="single" w:sz="4" w:space="0" w:color="auto"/>
            </w:tcBorders>
            <w:vAlign w:val="center"/>
          </w:tcPr>
          <w:p w14:paraId="7925559D" w14:textId="77777777" w:rsidR="00293F00" w:rsidRPr="00C531A2" w:rsidRDefault="00293F00" w:rsidP="00725D9F">
            <w:pPr>
              <w:rPr>
                <w:rFonts w:ascii="Times New Roman" w:hAnsi="Times New Roman"/>
                <w:color w:val="000000"/>
                <w:sz w:val="22"/>
              </w:rPr>
            </w:pPr>
            <w:r w:rsidRPr="00C531A2">
              <w:rPr>
                <w:rFonts w:ascii="Times New Roman" w:hAnsi="Times New Roman"/>
                <w:color w:val="000000"/>
                <w:sz w:val="22"/>
              </w:rPr>
              <w:t>Пројекат изградње комуналне (канализационе) инфраструктуре и инфраструктуре за одлагање комуналног чврстог отпада у Републици Србији</w:t>
            </w:r>
          </w:p>
        </w:tc>
        <w:tc>
          <w:tcPr>
            <w:tcW w:w="887" w:type="pct"/>
            <w:gridSpan w:val="2"/>
            <w:tcBorders>
              <w:top w:val="nil"/>
              <w:left w:val="nil"/>
              <w:bottom w:val="single" w:sz="4" w:space="0" w:color="auto"/>
              <w:right w:val="single" w:sz="4" w:space="0" w:color="auto"/>
            </w:tcBorders>
            <w:noWrap/>
            <w:vAlign w:val="bottom"/>
          </w:tcPr>
          <w:p w14:paraId="2852659E" w14:textId="77777777" w:rsidR="00293F00" w:rsidRPr="00C531A2" w:rsidRDefault="00293F00" w:rsidP="00725D9F">
            <w:pPr>
              <w:jc w:val="right"/>
              <w:rPr>
                <w:rFonts w:ascii="Times New Roman" w:hAnsi="Times New Roman"/>
                <w:color w:val="000000"/>
                <w:sz w:val="22"/>
              </w:rPr>
            </w:pPr>
            <w:r w:rsidRPr="00C531A2">
              <w:rPr>
                <w:rFonts w:ascii="Times New Roman" w:hAnsi="Times New Roman"/>
                <w:color w:val="000000"/>
                <w:sz w:val="22"/>
              </w:rPr>
              <w:t>4.200.000.000</w:t>
            </w:r>
          </w:p>
        </w:tc>
        <w:tc>
          <w:tcPr>
            <w:tcW w:w="378" w:type="pct"/>
            <w:gridSpan w:val="2"/>
            <w:vAlign w:val="center"/>
          </w:tcPr>
          <w:p w14:paraId="7C11225B" w14:textId="77777777" w:rsidR="00293F00" w:rsidRPr="00C531A2" w:rsidRDefault="00293F00" w:rsidP="00725D9F">
            <w:pPr>
              <w:rPr>
                <w:rFonts w:ascii="Times New Roman" w:hAnsi="Times New Roman"/>
                <w:sz w:val="22"/>
              </w:rPr>
            </w:pPr>
          </w:p>
        </w:tc>
      </w:tr>
      <w:tr w:rsidR="00502209" w:rsidRPr="00C531A2" w14:paraId="2E1FFCAC" w14:textId="77777777" w:rsidTr="00502209">
        <w:trPr>
          <w:trHeight w:val="300"/>
        </w:trPr>
        <w:tc>
          <w:tcPr>
            <w:tcW w:w="387" w:type="pct"/>
            <w:vMerge/>
            <w:tcBorders>
              <w:top w:val="nil"/>
              <w:left w:val="single" w:sz="4" w:space="0" w:color="auto"/>
              <w:right w:val="single" w:sz="4" w:space="0" w:color="auto"/>
            </w:tcBorders>
            <w:vAlign w:val="center"/>
            <w:hideMark/>
          </w:tcPr>
          <w:p w14:paraId="5410F5D8" w14:textId="77777777" w:rsidR="00293F00" w:rsidRPr="00C531A2" w:rsidRDefault="00293F00" w:rsidP="00725D9F">
            <w:pPr>
              <w:rPr>
                <w:rFonts w:ascii="Times New Roman" w:hAnsi="Times New Roman"/>
                <w:color w:val="000000"/>
                <w:sz w:val="22"/>
              </w:rPr>
            </w:pPr>
          </w:p>
        </w:tc>
        <w:tc>
          <w:tcPr>
            <w:tcW w:w="1613" w:type="pct"/>
            <w:vMerge/>
            <w:tcBorders>
              <w:top w:val="nil"/>
              <w:left w:val="single" w:sz="4" w:space="0" w:color="auto"/>
              <w:right w:val="single" w:sz="4" w:space="0" w:color="auto"/>
            </w:tcBorders>
            <w:vAlign w:val="center"/>
            <w:hideMark/>
          </w:tcPr>
          <w:p w14:paraId="29B44154" w14:textId="77777777" w:rsidR="00293F00" w:rsidRPr="00C531A2" w:rsidRDefault="00293F00" w:rsidP="00725D9F">
            <w:pPr>
              <w:rPr>
                <w:rFonts w:ascii="Times New Roman" w:hAnsi="Times New Roman"/>
                <w:color w:val="000000"/>
                <w:sz w:val="22"/>
              </w:rPr>
            </w:pPr>
          </w:p>
        </w:tc>
        <w:tc>
          <w:tcPr>
            <w:tcW w:w="1735" w:type="pct"/>
            <w:tcBorders>
              <w:top w:val="nil"/>
              <w:left w:val="nil"/>
              <w:bottom w:val="single" w:sz="4" w:space="0" w:color="auto"/>
              <w:right w:val="single" w:sz="4" w:space="0" w:color="auto"/>
            </w:tcBorders>
            <w:vAlign w:val="center"/>
          </w:tcPr>
          <w:p w14:paraId="033AEF8A" w14:textId="77777777" w:rsidR="00293F00" w:rsidRPr="00C531A2" w:rsidRDefault="00293F00" w:rsidP="00725D9F">
            <w:pPr>
              <w:rPr>
                <w:rFonts w:ascii="Times New Roman" w:hAnsi="Times New Roman"/>
                <w:color w:val="000000"/>
                <w:sz w:val="22"/>
              </w:rPr>
            </w:pPr>
            <w:r w:rsidRPr="00C531A2">
              <w:rPr>
                <w:rFonts w:ascii="Times New Roman" w:hAnsi="Times New Roman"/>
                <w:color w:val="000000"/>
                <w:sz w:val="22"/>
              </w:rPr>
              <w:t>Имплементација ВТС и говорног ВХФ система на реци Тиси у Републици Србији</w:t>
            </w:r>
          </w:p>
        </w:tc>
        <w:tc>
          <w:tcPr>
            <w:tcW w:w="887" w:type="pct"/>
            <w:gridSpan w:val="2"/>
            <w:tcBorders>
              <w:top w:val="nil"/>
              <w:left w:val="nil"/>
              <w:bottom w:val="single" w:sz="4" w:space="0" w:color="auto"/>
              <w:right w:val="single" w:sz="4" w:space="0" w:color="auto"/>
            </w:tcBorders>
            <w:noWrap/>
            <w:vAlign w:val="bottom"/>
          </w:tcPr>
          <w:p w14:paraId="07042135" w14:textId="77777777" w:rsidR="00293F00" w:rsidRPr="00C531A2" w:rsidRDefault="00293F00" w:rsidP="00725D9F">
            <w:pPr>
              <w:jc w:val="right"/>
              <w:rPr>
                <w:rFonts w:ascii="Times New Roman" w:hAnsi="Times New Roman"/>
                <w:color w:val="000000"/>
                <w:sz w:val="22"/>
              </w:rPr>
            </w:pPr>
            <w:r w:rsidRPr="00C531A2">
              <w:rPr>
                <w:rFonts w:ascii="Times New Roman" w:hAnsi="Times New Roman"/>
                <w:color w:val="000000"/>
                <w:sz w:val="22"/>
              </w:rPr>
              <w:t>1.000.000</w:t>
            </w:r>
          </w:p>
        </w:tc>
        <w:tc>
          <w:tcPr>
            <w:tcW w:w="378" w:type="pct"/>
            <w:gridSpan w:val="2"/>
            <w:vAlign w:val="center"/>
            <w:hideMark/>
          </w:tcPr>
          <w:p w14:paraId="447A97D7" w14:textId="77777777" w:rsidR="00293F00" w:rsidRPr="00C531A2" w:rsidRDefault="00293F00" w:rsidP="00725D9F">
            <w:pPr>
              <w:rPr>
                <w:rFonts w:ascii="Times New Roman" w:hAnsi="Times New Roman"/>
                <w:sz w:val="22"/>
              </w:rPr>
            </w:pPr>
          </w:p>
        </w:tc>
      </w:tr>
      <w:tr w:rsidR="00EB393F" w:rsidRPr="00C531A2" w14:paraId="3E57D466" w14:textId="77777777" w:rsidTr="004914FC">
        <w:trPr>
          <w:trHeight w:val="600"/>
        </w:trPr>
        <w:tc>
          <w:tcPr>
            <w:tcW w:w="387" w:type="pct"/>
            <w:tcBorders>
              <w:top w:val="nil"/>
              <w:left w:val="single" w:sz="4" w:space="0" w:color="auto"/>
              <w:right w:val="single" w:sz="4" w:space="0" w:color="auto"/>
            </w:tcBorders>
            <w:noWrap/>
            <w:vAlign w:val="center"/>
          </w:tcPr>
          <w:p w14:paraId="62C90FBA" w14:textId="77777777" w:rsidR="00EB393F" w:rsidRPr="00C531A2" w:rsidRDefault="00EB393F" w:rsidP="00725D9F">
            <w:pPr>
              <w:jc w:val="center"/>
              <w:rPr>
                <w:rFonts w:ascii="Times New Roman" w:hAnsi="Times New Roman"/>
                <w:color w:val="000000"/>
                <w:sz w:val="22"/>
              </w:rPr>
            </w:pPr>
          </w:p>
        </w:tc>
        <w:tc>
          <w:tcPr>
            <w:tcW w:w="1613" w:type="pct"/>
            <w:tcBorders>
              <w:top w:val="nil"/>
              <w:left w:val="nil"/>
              <w:right w:val="single" w:sz="4" w:space="0" w:color="auto"/>
            </w:tcBorders>
            <w:vAlign w:val="center"/>
          </w:tcPr>
          <w:p w14:paraId="566D3DDE" w14:textId="77777777" w:rsidR="00EB393F" w:rsidRPr="00C531A2" w:rsidRDefault="00EB393F" w:rsidP="00725D9F">
            <w:pPr>
              <w:rPr>
                <w:rFonts w:ascii="Times New Roman" w:hAnsi="Times New Roman"/>
                <w:color w:val="000000"/>
                <w:sz w:val="22"/>
              </w:rPr>
            </w:pPr>
          </w:p>
        </w:tc>
        <w:tc>
          <w:tcPr>
            <w:tcW w:w="1735" w:type="pct"/>
            <w:tcBorders>
              <w:top w:val="nil"/>
              <w:left w:val="nil"/>
              <w:bottom w:val="single" w:sz="4" w:space="0" w:color="auto"/>
              <w:right w:val="single" w:sz="4" w:space="0" w:color="auto"/>
            </w:tcBorders>
            <w:vAlign w:val="center"/>
          </w:tcPr>
          <w:p w14:paraId="37EB4BAF" w14:textId="3349618F" w:rsidR="00EB393F" w:rsidRPr="00C531A2" w:rsidRDefault="00EB393F" w:rsidP="00725D9F">
            <w:pPr>
              <w:rPr>
                <w:rFonts w:ascii="Times New Roman" w:hAnsi="Times New Roman"/>
                <w:color w:val="000000"/>
                <w:sz w:val="22"/>
              </w:rPr>
            </w:pPr>
            <w:r w:rsidRPr="00C531A2">
              <w:rPr>
                <w:rFonts w:ascii="Times New Roman" w:hAnsi="Times New Roman"/>
                <w:color w:val="000000"/>
                <w:sz w:val="22"/>
              </w:rPr>
              <w:t>Имплементација АИС</w:t>
            </w:r>
            <w:r w:rsidR="006B4A65" w:rsidRPr="00C531A2">
              <w:rPr>
                <w:rFonts w:ascii="Times New Roman" w:hAnsi="Times New Roman"/>
                <w:color w:val="000000"/>
                <w:sz w:val="22"/>
              </w:rPr>
              <w:t xml:space="preserve"> </w:t>
            </w:r>
            <w:r w:rsidRPr="00C531A2">
              <w:rPr>
                <w:rFonts w:ascii="Times New Roman" w:hAnsi="Times New Roman"/>
                <w:color w:val="000000"/>
                <w:sz w:val="22"/>
              </w:rPr>
              <w:t>Атонс система на реци Тиси у Републици Србији     </w:t>
            </w:r>
          </w:p>
        </w:tc>
        <w:tc>
          <w:tcPr>
            <w:tcW w:w="887" w:type="pct"/>
            <w:gridSpan w:val="2"/>
            <w:tcBorders>
              <w:top w:val="nil"/>
              <w:left w:val="nil"/>
              <w:bottom w:val="single" w:sz="4" w:space="0" w:color="auto"/>
              <w:right w:val="single" w:sz="4" w:space="0" w:color="auto"/>
            </w:tcBorders>
            <w:vAlign w:val="center"/>
          </w:tcPr>
          <w:p w14:paraId="58C350D7" w14:textId="4FF47FFE" w:rsidR="00EB393F" w:rsidRPr="00C531A2" w:rsidRDefault="00EB393F" w:rsidP="00725D9F">
            <w:pPr>
              <w:jc w:val="right"/>
              <w:rPr>
                <w:rFonts w:ascii="Times New Roman" w:hAnsi="Times New Roman"/>
                <w:color w:val="000000"/>
                <w:sz w:val="22"/>
              </w:rPr>
            </w:pPr>
            <w:r w:rsidRPr="00C531A2">
              <w:rPr>
                <w:rFonts w:ascii="Times New Roman" w:hAnsi="Times New Roman"/>
                <w:color w:val="000000"/>
                <w:sz w:val="22"/>
              </w:rPr>
              <w:t>1.000.000</w:t>
            </w:r>
          </w:p>
        </w:tc>
        <w:tc>
          <w:tcPr>
            <w:tcW w:w="378" w:type="pct"/>
            <w:gridSpan w:val="2"/>
            <w:vAlign w:val="center"/>
          </w:tcPr>
          <w:p w14:paraId="580120E5" w14:textId="77777777" w:rsidR="00EB393F" w:rsidRPr="00C531A2" w:rsidRDefault="00EB393F" w:rsidP="00725D9F">
            <w:pPr>
              <w:rPr>
                <w:rFonts w:ascii="Times New Roman" w:hAnsi="Times New Roman"/>
                <w:sz w:val="22"/>
              </w:rPr>
            </w:pPr>
          </w:p>
        </w:tc>
      </w:tr>
      <w:tr w:rsidR="00502209" w:rsidRPr="00C531A2" w14:paraId="3BAC7B35" w14:textId="77777777" w:rsidTr="00502209">
        <w:trPr>
          <w:trHeight w:val="600"/>
        </w:trPr>
        <w:tc>
          <w:tcPr>
            <w:tcW w:w="387" w:type="pct"/>
            <w:tcBorders>
              <w:top w:val="nil"/>
              <w:left w:val="single" w:sz="4" w:space="0" w:color="auto"/>
              <w:bottom w:val="single" w:sz="4" w:space="0" w:color="auto"/>
              <w:right w:val="single" w:sz="4" w:space="0" w:color="auto"/>
            </w:tcBorders>
            <w:noWrap/>
            <w:vAlign w:val="center"/>
          </w:tcPr>
          <w:p w14:paraId="1C2D1A6B" w14:textId="77777777" w:rsidR="00293F00" w:rsidRPr="00C531A2" w:rsidRDefault="00293F00" w:rsidP="00725D9F">
            <w:pPr>
              <w:jc w:val="center"/>
              <w:rPr>
                <w:rFonts w:ascii="Times New Roman" w:hAnsi="Times New Roman"/>
                <w:color w:val="000000"/>
                <w:sz w:val="22"/>
              </w:rPr>
            </w:pPr>
          </w:p>
        </w:tc>
        <w:tc>
          <w:tcPr>
            <w:tcW w:w="1613" w:type="pct"/>
            <w:tcBorders>
              <w:top w:val="nil"/>
              <w:left w:val="nil"/>
              <w:bottom w:val="single" w:sz="4" w:space="0" w:color="auto"/>
              <w:right w:val="single" w:sz="4" w:space="0" w:color="auto"/>
            </w:tcBorders>
            <w:vAlign w:val="center"/>
          </w:tcPr>
          <w:p w14:paraId="095B3CBD" w14:textId="77777777" w:rsidR="00293F00" w:rsidRPr="00C531A2" w:rsidRDefault="00293F00" w:rsidP="00725D9F">
            <w:pPr>
              <w:rPr>
                <w:rFonts w:ascii="Times New Roman" w:hAnsi="Times New Roman"/>
                <w:color w:val="000000"/>
                <w:sz w:val="22"/>
              </w:rPr>
            </w:pPr>
          </w:p>
        </w:tc>
        <w:tc>
          <w:tcPr>
            <w:tcW w:w="1735" w:type="pct"/>
            <w:tcBorders>
              <w:top w:val="nil"/>
              <w:left w:val="nil"/>
              <w:bottom w:val="single" w:sz="4" w:space="0" w:color="auto"/>
              <w:right w:val="single" w:sz="4" w:space="0" w:color="auto"/>
            </w:tcBorders>
            <w:vAlign w:val="center"/>
          </w:tcPr>
          <w:p w14:paraId="0C35C52D" w14:textId="77777777" w:rsidR="00293F00" w:rsidRPr="00C531A2" w:rsidRDefault="00293F00" w:rsidP="00725D9F">
            <w:pPr>
              <w:rPr>
                <w:rFonts w:ascii="Times New Roman" w:hAnsi="Times New Roman"/>
                <w:color w:val="000000"/>
                <w:sz w:val="22"/>
              </w:rPr>
            </w:pPr>
            <w:r w:rsidRPr="00C531A2">
              <w:rPr>
                <w:rFonts w:ascii="Times New Roman" w:hAnsi="Times New Roman"/>
                <w:color w:val="000000"/>
                <w:sz w:val="22"/>
              </w:rPr>
              <w:t>Изградња моста са приступним саобраћајницама на реци Дунав код Бачке Паланке</w:t>
            </w:r>
          </w:p>
        </w:tc>
        <w:tc>
          <w:tcPr>
            <w:tcW w:w="887" w:type="pct"/>
            <w:gridSpan w:val="2"/>
            <w:tcBorders>
              <w:top w:val="nil"/>
              <w:left w:val="nil"/>
              <w:bottom w:val="single" w:sz="4" w:space="0" w:color="auto"/>
              <w:right w:val="single" w:sz="4" w:space="0" w:color="auto"/>
            </w:tcBorders>
            <w:vAlign w:val="center"/>
          </w:tcPr>
          <w:p w14:paraId="05DA10C4" w14:textId="77777777" w:rsidR="00293F00" w:rsidRPr="00C531A2" w:rsidRDefault="00293F00" w:rsidP="00725D9F">
            <w:pPr>
              <w:jc w:val="right"/>
              <w:rPr>
                <w:rFonts w:ascii="Times New Roman" w:hAnsi="Times New Roman"/>
                <w:color w:val="000000"/>
                <w:sz w:val="22"/>
              </w:rPr>
            </w:pPr>
            <w:r w:rsidRPr="00C531A2">
              <w:rPr>
                <w:rFonts w:ascii="Times New Roman" w:hAnsi="Times New Roman"/>
                <w:color w:val="000000"/>
                <w:sz w:val="22"/>
              </w:rPr>
              <w:t>600.000.000</w:t>
            </w:r>
          </w:p>
        </w:tc>
        <w:tc>
          <w:tcPr>
            <w:tcW w:w="378" w:type="pct"/>
            <w:gridSpan w:val="2"/>
            <w:vAlign w:val="center"/>
          </w:tcPr>
          <w:p w14:paraId="19C1D246" w14:textId="77777777" w:rsidR="00293F00" w:rsidRPr="00C531A2" w:rsidRDefault="00293F00" w:rsidP="00725D9F">
            <w:pPr>
              <w:rPr>
                <w:rFonts w:ascii="Times New Roman" w:hAnsi="Times New Roman"/>
                <w:sz w:val="22"/>
              </w:rPr>
            </w:pPr>
          </w:p>
        </w:tc>
      </w:tr>
      <w:tr w:rsidR="00502209" w:rsidRPr="00C531A2" w14:paraId="4A656964" w14:textId="77777777" w:rsidTr="00502209">
        <w:trPr>
          <w:trHeight w:val="600"/>
        </w:trPr>
        <w:tc>
          <w:tcPr>
            <w:tcW w:w="387" w:type="pct"/>
            <w:tcBorders>
              <w:top w:val="nil"/>
              <w:left w:val="single" w:sz="4" w:space="0" w:color="auto"/>
              <w:bottom w:val="single" w:sz="4" w:space="0" w:color="auto"/>
              <w:right w:val="single" w:sz="4" w:space="0" w:color="auto"/>
            </w:tcBorders>
            <w:noWrap/>
            <w:vAlign w:val="center"/>
            <w:hideMark/>
          </w:tcPr>
          <w:p w14:paraId="62FF676F" w14:textId="77777777" w:rsidR="00293F00" w:rsidRPr="00C531A2" w:rsidRDefault="00293F00" w:rsidP="00725D9F">
            <w:pPr>
              <w:jc w:val="center"/>
              <w:rPr>
                <w:rFonts w:ascii="Times New Roman" w:hAnsi="Times New Roman"/>
                <w:color w:val="000000"/>
                <w:sz w:val="22"/>
              </w:rPr>
            </w:pPr>
            <w:r w:rsidRPr="00C531A2">
              <w:rPr>
                <w:rFonts w:ascii="Times New Roman" w:hAnsi="Times New Roman"/>
                <w:color w:val="000000"/>
                <w:sz w:val="22"/>
              </w:rPr>
              <w:t>14</w:t>
            </w:r>
          </w:p>
        </w:tc>
        <w:tc>
          <w:tcPr>
            <w:tcW w:w="1613" w:type="pct"/>
            <w:tcBorders>
              <w:top w:val="nil"/>
              <w:left w:val="nil"/>
              <w:bottom w:val="single" w:sz="4" w:space="0" w:color="auto"/>
              <w:right w:val="single" w:sz="4" w:space="0" w:color="auto"/>
            </w:tcBorders>
            <w:vAlign w:val="center"/>
            <w:hideMark/>
          </w:tcPr>
          <w:p w14:paraId="7B2FFC97" w14:textId="77777777" w:rsidR="00293F00" w:rsidRPr="00C531A2" w:rsidRDefault="00293F00" w:rsidP="00725D9F">
            <w:pPr>
              <w:rPr>
                <w:rFonts w:ascii="Times New Roman" w:hAnsi="Times New Roman"/>
                <w:color w:val="000000"/>
                <w:sz w:val="22"/>
              </w:rPr>
            </w:pPr>
            <w:r w:rsidRPr="00C531A2">
              <w:rPr>
                <w:rFonts w:ascii="Times New Roman" w:hAnsi="Times New Roman"/>
                <w:color w:val="000000"/>
                <w:sz w:val="22"/>
              </w:rPr>
              <w:t>Министарство правде</w:t>
            </w:r>
          </w:p>
        </w:tc>
        <w:tc>
          <w:tcPr>
            <w:tcW w:w="1735" w:type="pct"/>
            <w:tcBorders>
              <w:top w:val="nil"/>
              <w:left w:val="nil"/>
              <w:bottom w:val="single" w:sz="4" w:space="0" w:color="auto"/>
              <w:right w:val="single" w:sz="4" w:space="0" w:color="auto"/>
            </w:tcBorders>
            <w:vAlign w:val="center"/>
            <w:hideMark/>
          </w:tcPr>
          <w:p w14:paraId="7AFA22F0" w14:textId="77777777" w:rsidR="00293F00" w:rsidRPr="00C531A2" w:rsidRDefault="00293F00" w:rsidP="00725D9F">
            <w:pPr>
              <w:rPr>
                <w:rFonts w:ascii="Times New Roman" w:hAnsi="Times New Roman"/>
                <w:color w:val="000000"/>
                <w:sz w:val="22"/>
              </w:rPr>
            </w:pPr>
            <w:r w:rsidRPr="00C531A2">
              <w:rPr>
                <w:rFonts w:ascii="Times New Roman" w:hAnsi="Times New Roman"/>
                <w:color w:val="000000"/>
                <w:sz w:val="22"/>
              </w:rPr>
              <w:t>Реконструкција фасаде и фасадне столарије у објекту правосудних органа у Новом Саду</w:t>
            </w:r>
          </w:p>
        </w:tc>
        <w:tc>
          <w:tcPr>
            <w:tcW w:w="887" w:type="pct"/>
            <w:gridSpan w:val="2"/>
            <w:tcBorders>
              <w:top w:val="nil"/>
              <w:left w:val="nil"/>
              <w:bottom w:val="single" w:sz="4" w:space="0" w:color="auto"/>
              <w:right w:val="single" w:sz="4" w:space="0" w:color="auto"/>
            </w:tcBorders>
            <w:vAlign w:val="center"/>
            <w:hideMark/>
          </w:tcPr>
          <w:p w14:paraId="691B5B94" w14:textId="77777777" w:rsidR="00293F00" w:rsidRPr="00C531A2" w:rsidRDefault="00293F00" w:rsidP="00725D9F">
            <w:pPr>
              <w:jc w:val="right"/>
              <w:rPr>
                <w:rFonts w:ascii="Times New Roman" w:hAnsi="Times New Roman"/>
                <w:color w:val="000000"/>
                <w:sz w:val="22"/>
                <w:highlight w:val="yellow"/>
              </w:rPr>
            </w:pPr>
            <w:r w:rsidRPr="00C531A2">
              <w:rPr>
                <w:rFonts w:ascii="Times New Roman" w:hAnsi="Times New Roman"/>
                <w:color w:val="000000"/>
                <w:sz w:val="22"/>
              </w:rPr>
              <w:t>100.000.000</w:t>
            </w:r>
          </w:p>
        </w:tc>
        <w:tc>
          <w:tcPr>
            <w:tcW w:w="378" w:type="pct"/>
            <w:gridSpan w:val="2"/>
            <w:vAlign w:val="center"/>
            <w:hideMark/>
          </w:tcPr>
          <w:p w14:paraId="5995297C" w14:textId="77777777" w:rsidR="00293F00" w:rsidRPr="00C531A2" w:rsidRDefault="00293F00" w:rsidP="00725D9F">
            <w:pPr>
              <w:rPr>
                <w:rFonts w:ascii="Times New Roman" w:hAnsi="Times New Roman"/>
                <w:sz w:val="22"/>
              </w:rPr>
            </w:pPr>
          </w:p>
        </w:tc>
      </w:tr>
      <w:tr w:rsidR="00502209" w:rsidRPr="00C531A2" w14:paraId="3918D57C" w14:textId="77777777" w:rsidTr="00502209">
        <w:trPr>
          <w:trHeight w:val="600"/>
        </w:trPr>
        <w:tc>
          <w:tcPr>
            <w:tcW w:w="387" w:type="pct"/>
            <w:vMerge w:val="restart"/>
            <w:tcBorders>
              <w:top w:val="nil"/>
              <w:left w:val="single" w:sz="4" w:space="0" w:color="auto"/>
              <w:bottom w:val="single" w:sz="4" w:space="0" w:color="auto"/>
              <w:right w:val="single" w:sz="4" w:space="0" w:color="auto"/>
            </w:tcBorders>
            <w:noWrap/>
            <w:vAlign w:val="center"/>
            <w:hideMark/>
          </w:tcPr>
          <w:p w14:paraId="2F88F806" w14:textId="77777777" w:rsidR="00293F00" w:rsidRPr="00C531A2" w:rsidRDefault="00293F00" w:rsidP="00725D9F">
            <w:pPr>
              <w:jc w:val="center"/>
              <w:rPr>
                <w:rFonts w:ascii="Times New Roman" w:hAnsi="Times New Roman"/>
                <w:color w:val="000000"/>
                <w:sz w:val="22"/>
              </w:rPr>
            </w:pPr>
            <w:r w:rsidRPr="00C531A2">
              <w:rPr>
                <w:rFonts w:ascii="Times New Roman" w:hAnsi="Times New Roman"/>
                <w:color w:val="000000"/>
                <w:sz w:val="22"/>
              </w:rPr>
              <w:t>15</w:t>
            </w:r>
          </w:p>
        </w:tc>
        <w:tc>
          <w:tcPr>
            <w:tcW w:w="1613" w:type="pct"/>
            <w:vMerge w:val="restart"/>
            <w:tcBorders>
              <w:top w:val="nil"/>
              <w:left w:val="single" w:sz="4" w:space="0" w:color="auto"/>
              <w:bottom w:val="single" w:sz="4" w:space="0" w:color="auto"/>
              <w:right w:val="single" w:sz="4" w:space="0" w:color="auto"/>
            </w:tcBorders>
            <w:vAlign w:val="center"/>
            <w:hideMark/>
          </w:tcPr>
          <w:p w14:paraId="349FB7BA" w14:textId="77777777" w:rsidR="00293F00" w:rsidRPr="00C531A2" w:rsidRDefault="00293F00" w:rsidP="00725D9F">
            <w:pPr>
              <w:rPr>
                <w:rFonts w:ascii="Times New Roman" w:hAnsi="Times New Roman"/>
                <w:color w:val="000000"/>
                <w:sz w:val="22"/>
              </w:rPr>
            </w:pPr>
            <w:r w:rsidRPr="00C531A2">
              <w:rPr>
                <w:rFonts w:ascii="Times New Roman" w:hAnsi="Times New Roman"/>
                <w:color w:val="000000"/>
                <w:sz w:val="22"/>
              </w:rPr>
              <w:t>Министарство правде - Управа за извршење кривичних санкција</w:t>
            </w:r>
          </w:p>
        </w:tc>
        <w:tc>
          <w:tcPr>
            <w:tcW w:w="1735" w:type="pct"/>
            <w:tcBorders>
              <w:top w:val="nil"/>
              <w:left w:val="nil"/>
              <w:bottom w:val="single" w:sz="4" w:space="0" w:color="auto"/>
              <w:right w:val="single" w:sz="4" w:space="0" w:color="auto"/>
            </w:tcBorders>
            <w:vAlign w:val="center"/>
            <w:hideMark/>
          </w:tcPr>
          <w:p w14:paraId="6E58213A" w14:textId="77777777" w:rsidR="00293F00" w:rsidRPr="00C531A2" w:rsidRDefault="00293F00" w:rsidP="00725D9F">
            <w:pPr>
              <w:rPr>
                <w:rFonts w:ascii="Times New Roman" w:hAnsi="Times New Roman"/>
                <w:color w:val="000000"/>
                <w:sz w:val="22"/>
              </w:rPr>
            </w:pPr>
            <w:r w:rsidRPr="00C531A2">
              <w:rPr>
                <w:rFonts w:ascii="Times New Roman" w:hAnsi="Times New Roman"/>
                <w:color w:val="000000"/>
                <w:sz w:val="22"/>
              </w:rPr>
              <w:t>Радови на реконструкцији и изградњи објеката у оквиру КПЗ у Сремској Митровици</w:t>
            </w:r>
          </w:p>
        </w:tc>
        <w:tc>
          <w:tcPr>
            <w:tcW w:w="887" w:type="pct"/>
            <w:gridSpan w:val="2"/>
            <w:tcBorders>
              <w:top w:val="nil"/>
              <w:left w:val="nil"/>
              <w:bottom w:val="single" w:sz="4" w:space="0" w:color="auto"/>
              <w:right w:val="single" w:sz="4" w:space="0" w:color="auto"/>
            </w:tcBorders>
            <w:vAlign w:val="center"/>
            <w:hideMark/>
          </w:tcPr>
          <w:p w14:paraId="45FF92EC" w14:textId="77777777" w:rsidR="00293F00" w:rsidRPr="00C531A2" w:rsidRDefault="00293F00" w:rsidP="00725D9F">
            <w:pPr>
              <w:jc w:val="right"/>
              <w:rPr>
                <w:rFonts w:ascii="Times New Roman" w:hAnsi="Times New Roman"/>
                <w:color w:val="000000"/>
                <w:sz w:val="22"/>
              </w:rPr>
            </w:pPr>
            <w:r w:rsidRPr="00C531A2">
              <w:rPr>
                <w:rFonts w:ascii="Times New Roman" w:hAnsi="Times New Roman"/>
                <w:color w:val="000000"/>
                <w:sz w:val="22"/>
              </w:rPr>
              <w:t>105.000.000</w:t>
            </w:r>
          </w:p>
        </w:tc>
        <w:tc>
          <w:tcPr>
            <w:tcW w:w="378" w:type="pct"/>
            <w:gridSpan w:val="2"/>
            <w:vAlign w:val="center"/>
            <w:hideMark/>
          </w:tcPr>
          <w:p w14:paraId="78B45474" w14:textId="77777777" w:rsidR="00293F00" w:rsidRPr="00C531A2" w:rsidRDefault="00293F00" w:rsidP="00725D9F">
            <w:pPr>
              <w:rPr>
                <w:rFonts w:ascii="Times New Roman" w:hAnsi="Times New Roman"/>
                <w:sz w:val="22"/>
              </w:rPr>
            </w:pPr>
          </w:p>
        </w:tc>
      </w:tr>
      <w:tr w:rsidR="00502209" w:rsidRPr="00C531A2" w14:paraId="29B0A9E7" w14:textId="77777777" w:rsidTr="00502209">
        <w:trPr>
          <w:trHeight w:val="600"/>
        </w:trPr>
        <w:tc>
          <w:tcPr>
            <w:tcW w:w="387" w:type="pct"/>
            <w:vMerge/>
            <w:tcBorders>
              <w:top w:val="nil"/>
              <w:left w:val="single" w:sz="4" w:space="0" w:color="auto"/>
              <w:bottom w:val="single" w:sz="4" w:space="0" w:color="auto"/>
              <w:right w:val="single" w:sz="4" w:space="0" w:color="auto"/>
            </w:tcBorders>
            <w:vAlign w:val="center"/>
            <w:hideMark/>
          </w:tcPr>
          <w:p w14:paraId="08C2CCE4" w14:textId="77777777" w:rsidR="00293F00" w:rsidRPr="00C531A2" w:rsidRDefault="00293F00" w:rsidP="00725D9F">
            <w:pPr>
              <w:rPr>
                <w:rFonts w:ascii="Times New Roman" w:hAnsi="Times New Roman"/>
                <w:color w:val="000000"/>
                <w:sz w:val="22"/>
              </w:rPr>
            </w:pPr>
          </w:p>
        </w:tc>
        <w:tc>
          <w:tcPr>
            <w:tcW w:w="1613" w:type="pct"/>
            <w:vMerge/>
            <w:tcBorders>
              <w:top w:val="nil"/>
              <w:left w:val="single" w:sz="4" w:space="0" w:color="auto"/>
              <w:bottom w:val="single" w:sz="4" w:space="0" w:color="auto"/>
              <w:right w:val="single" w:sz="4" w:space="0" w:color="auto"/>
            </w:tcBorders>
            <w:vAlign w:val="center"/>
            <w:hideMark/>
          </w:tcPr>
          <w:p w14:paraId="343B0E50" w14:textId="77777777" w:rsidR="00293F00" w:rsidRPr="00C531A2" w:rsidRDefault="00293F00" w:rsidP="00725D9F">
            <w:pPr>
              <w:rPr>
                <w:rFonts w:ascii="Times New Roman" w:hAnsi="Times New Roman"/>
                <w:color w:val="000000"/>
                <w:sz w:val="22"/>
              </w:rPr>
            </w:pPr>
          </w:p>
        </w:tc>
        <w:tc>
          <w:tcPr>
            <w:tcW w:w="1735" w:type="pct"/>
            <w:tcBorders>
              <w:top w:val="nil"/>
              <w:left w:val="nil"/>
              <w:bottom w:val="single" w:sz="4" w:space="0" w:color="auto"/>
              <w:right w:val="single" w:sz="4" w:space="0" w:color="auto"/>
            </w:tcBorders>
            <w:vAlign w:val="center"/>
            <w:hideMark/>
          </w:tcPr>
          <w:p w14:paraId="58A0D17A" w14:textId="77777777" w:rsidR="00293F00" w:rsidRPr="00C531A2" w:rsidRDefault="00293F00" w:rsidP="00725D9F">
            <w:pPr>
              <w:rPr>
                <w:rFonts w:ascii="Times New Roman" w:hAnsi="Times New Roman"/>
                <w:color w:val="000000"/>
                <w:sz w:val="22"/>
              </w:rPr>
            </w:pPr>
            <w:r w:rsidRPr="00C531A2">
              <w:rPr>
                <w:rFonts w:ascii="Times New Roman" w:hAnsi="Times New Roman"/>
                <w:color w:val="000000"/>
                <w:sz w:val="22"/>
              </w:rPr>
              <w:t>Изградња и опремање новог павиљона у Сремској Митровици</w:t>
            </w:r>
          </w:p>
        </w:tc>
        <w:tc>
          <w:tcPr>
            <w:tcW w:w="887" w:type="pct"/>
            <w:gridSpan w:val="2"/>
            <w:tcBorders>
              <w:top w:val="nil"/>
              <w:left w:val="nil"/>
              <w:bottom w:val="single" w:sz="4" w:space="0" w:color="auto"/>
              <w:right w:val="single" w:sz="4" w:space="0" w:color="auto"/>
            </w:tcBorders>
            <w:vAlign w:val="center"/>
            <w:hideMark/>
          </w:tcPr>
          <w:p w14:paraId="2C911AED" w14:textId="77777777" w:rsidR="00293F00" w:rsidRPr="00C531A2" w:rsidRDefault="00293F00" w:rsidP="00725D9F">
            <w:pPr>
              <w:jc w:val="right"/>
              <w:rPr>
                <w:rFonts w:ascii="Times New Roman" w:hAnsi="Times New Roman"/>
                <w:color w:val="000000"/>
                <w:sz w:val="22"/>
              </w:rPr>
            </w:pPr>
            <w:r w:rsidRPr="00C531A2">
              <w:rPr>
                <w:rFonts w:ascii="Times New Roman" w:hAnsi="Times New Roman"/>
                <w:color w:val="000000"/>
                <w:sz w:val="22"/>
              </w:rPr>
              <w:t>111.300.000</w:t>
            </w:r>
          </w:p>
        </w:tc>
        <w:tc>
          <w:tcPr>
            <w:tcW w:w="378" w:type="pct"/>
            <w:gridSpan w:val="2"/>
            <w:vAlign w:val="center"/>
            <w:hideMark/>
          </w:tcPr>
          <w:p w14:paraId="55C2B543" w14:textId="77777777" w:rsidR="00293F00" w:rsidRPr="00C531A2" w:rsidRDefault="00293F00" w:rsidP="00725D9F">
            <w:pPr>
              <w:rPr>
                <w:rFonts w:ascii="Times New Roman" w:hAnsi="Times New Roman"/>
                <w:sz w:val="22"/>
              </w:rPr>
            </w:pPr>
          </w:p>
        </w:tc>
      </w:tr>
      <w:tr w:rsidR="00502209" w:rsidRPr="00C531A2" w14:paraId="0749D379" w14:textId="77777777" w:rsidTr="00502209">
        <w:trPr>
          <w:trHeight w:val="300"/>
        </w:trPr>
        <w:tc>
          <w:tcPr>
            <w:tcW w:w="387" w:type="pct"/>
            <w:vMerge/>
            <w:tcBorders>
              <w:top w:val="nil"/>
              <w:left w:val="single" w:sz="4" w:space="0" w:color="auto"/>
              <w:bottom w:val="single" w:sz="4" w:space="0" w:color="auto"/>
              <w:right w:val="single" w:sz="4" w:space="0" w:color="auto"/>
            </w:tcBorders>
            <w:vAlign w:val="center"/>
            <w:hideMark/>
          </w:tcPr>
          <w:p w14:paraId="7972BF3B" w14:textId="77777777" w:rsidR="00293F00" w:rsidRPr="00C531A2" w:rsidRDefault="00293F00" w:rsidP="00725D9F">
            <w:pPr>
              <w:rPr>
                <w:rFonts w:ascii="Times New Roman" w:hAnsi="Times New Roman"/>
                <w:color w:val="000000"/>
                <w:sz w:val="22"/>
              </w:rPr>
            </w:pPr>
          </w:p>
        </w:tc>
        <w:tc>
          <w:tcPr>
            <w:tcW w:w="1613" w:type="pct"/>
            <w:vMerge/>
            <w:tcBorders>
              <w:top w:val="nil"/>
              <w:left w:val="single" w:sz="4" w:space="0" w:color="auto"/>
              <w:bottom w:val="single" w:sz="4" w:space="0" w:color="auto"/>
              <w:right w:val="single" w:sz="4" w:space="0" w:color="auto"/>
            </w:tcBorders>
            <w:vAlign w:val="center"/>
            <w:hideMark/>
          </w:tcPr>
          <w:p w14:paraId="421F431A" w14:textId="77777777" w:rsidR="00293F00" w:rsidRPr="00C531A2" w:rsidRDefault="00293F00" w:rsidP="00725D9F">
            <w:pPr>
              <w:rPr>
                <w:rFonts w:ascii="Times New Roman" w:hAnsi="Times New Roman"/>
                <w:color w:val="000000"/>
                <w:sz w:val="22"/>
              </w:rPr>
            </w:pPr>
          </w:p>
        </w:tc>
        <w:tc>
          <w:tcPr>
            <w:tcW w:w="1735" w:type="pct"/>
            <w:tcBorders>
              <w:top w:val="nil"/>
              <w:left w:val="nil"/>
              <w:bottom w:val="single" w:sz="4" w:space="0" w:color="auto"/>
              <w:right w:val="single" w:sz="4" w:space="0" w:color="auto"/>
            </w:tcBorders>
            <w:vAlign w:val="center"/>
            <w:hideMark/>
          </w:tcPr>
          <w:p w14:paraId="445E2246" w14:textId="77777777" w:rsidR="00293F00" w:rsidRPr="00C531A2" w:rsidRDefault="00293F00" w:rsidP="00725D9F">
            <w:pPr>
              <w:rPr>
                <w:rFonts w:ascii="Times New Roman" w:hAnsi="Times New Roman"/>
                <w:color w:val="000000"/>
                <w:sz w:val="22"/>
              </w:rPr>
            </w:pPr>
            <w:r w:rsidRPr="00C531A2">
              <w:rPr>
                <w:rFonts w:ascii="Times New Roman" w:hAnsi="Times New Roman"/>
                <w:color w:val="000000"/>
                <w:sz w:val="22"/>
              </w:rPr>
              <w:t>Изградња и опремање новог затвора у Суботици</w:t>
            </w:r>
          </w:p>
        </w:tc>
        <w:tc>
          <w:tcPr>
            <w:tcW w:w="887" w:type="pct"/>
            <w:gridSpan w:val="2"/>
            <w:tcBorders>
              <w:top w:val="nil"/>
              <w:left w:val="nil"/>
              <w:bottom w:val="single" w:sz="4" w:space="0" w:color="auto"/>
              <w:right w:val="single" w:sz="4" w:space="0" w:color="auto"/>
            </w:tcBorders>
            <w:vAlign w:val="center"/>
            <w:hideMark/>
          </w:tcPr>
          <w:p w14:paraId="6A55AB7F" w14:textId="77777777" w:rsidR="00293F00" w:rsidRPr="00C531A2" w:rsidRDefault="00293F00" w:rsidP="00725D9F">
            <w:pPr>
              <w:jc w:val="right"/>
              <w:rPr>
                <w:rFonts w:ascii="Times New Roman" w:hAnsi="Times New Roman"/>
                <w:color w:val="000000"/>
                <w:sz w:val="22"/>
              </w:rPr>
            </w:pPr>
            <w:r w:rsidRPr="00C531A2">
              <w:rPr>
                <w:rFonts w:ascii="Times New Roman" w:hAnsi="Times New Roman"/>
                <w:color w:val="000000"/>
                <w:sz w:val="22"/>
              </w:rPr>
              <w:t>105.400.000</w:t>
            </w:r>
          </w:p>
        </w:tc>
        <w:tc>
          <w:tcPr>
            <w:tcW w:w="378" w:type="pct"/>
            <w:gridSpan w:val="2"/>
            <w:vAlign w:val="center"/>
            <w:hideMark/>
          </w:tcPr>
          <w:p w14:paraId="73A11FB2" w14:textId="77777777" w:rsidR="00293F00" w:rsidRPr="00C531A2" w:rsidRDefault="00293F00" w:rsidP="00725D9F">
            <w:pPr>
              <w:rPr>
                <w:rFonts w:ascii="Times New Roman" w:hAnsi="Times New Roman"/>
                <w:sz w:val="22"/>
              </w:rPr>
            </w:pPr>
          </w:p>
        </w:tc>
      </w:tr>
      <w:tr w:rsidR="00502209" w:rsidRPr="00C531A2" w14:paraId="438D5A63" w14:textId="77777777" w:rsidTr="00502209">
        <w:trPr>
          <w:trHeight w:val="300"/>
        </w:trPr>
        <w:tc>
          <w:tcPr>
            <w:tcW w:w="387" w:type="pct"/>
            <w:tcBorders>
              <w:top w:val="nil"/>
              <w:left w:val="single" w:sz="4" w:space="0" w:color="auto"/>
              <w:bottom w:val="single" w:sz="4" w:space="0" w:color="auto"/>
              <w:right w:val="single" w:sz="4" w:space="0" w:color="auto"/>
            </w:tcBorders>
            <w:noWrap/>
            <w:vAlign w:val="center"/>
          </w:tcPr>
          <w:p w14:paraId="36427A56" w14:textId="77777777" w:rsidR="00293F00" w:rsidRPr="00C531A2" w:rsidRDefault="00293F00" w:rsidP="00725D9F">
            <w:pPr>
              <w:jc w:val="center"/>
              <w:rPr>
                <w:rFonts w:ascii="Times New Roman" w:hAnsi="Times New Roman"/>
                <w:color w:val="000000"/>
                <w:sz w:val="22"/>
              </w:rPr>
            </w:pPr>
            <w:r w:rsidRPr="00C531A2">
              <w:rPr>
                <w:rFonts w:ascii="Times New Roman" w:hAnsi="Times New Roman"/>
                <w:color w:val="000000"/>
                <w:sz w:val="22"/>
              </w:rPr>
              <w:t>16</w:t>
            </w:r>
          </w:p>
        </w:tc>
        <w:tc>
          <w:tcPr>
            <w:tcW w:w="1613" w:type="pct"/>
            <w:tcBorders>
              <w:top w:val="nil"/>
              <w:left w:val="nil"/>
              <w:bottom w:val="single" w:sz="4" w:space="0" w:color="auto"/>
              <w:right w:val="single" w:sz="4" w:space="0" w:color="auto"/>
            </w:tcBorders>
            <w:vAlign w:val="center"/>
          </w:tcPr>
          <w:p w14:paraId="2F5C039E" w14:textId="77777777" w:rsidR="00293F00" w:rsidRPr="00C531A2" w:rsidRDefault="00293F00" w:rsidP="00725D9F">
            <w:pPr>
              <w:rPr>
                <w:rFonts w:ascii="Times New Roman" w:hAnsi="Times New Roman"/>
                <w:color w:val="000000"/>
                <w:sz w:val="22"/>
              </w:rPr>
            </w:pPr>
            <w:r w:rsidRPr="00C531A2">
              <w:rPr>
                <w:rFonts w:ascii="Times New Roman" w:hAnsi="Times New Roman"/>
                <w:color w:val="000000"/>
                <w:sz w:val="22"/>
              </w:rPr>
              <w:t>Министарство пољопривреде, шумарства и водопривреде - Управа за аграрна плаћања</w:t>
            </w:r>
          </w:p>
        </w:tc>
        <w:tc>
          <w:tcPr>
            <w:tcW w:w="1735" w:type="pct"/>
            <w:tcBorders>
              <w:top w:val="nil"/>
              <w:left w:val="nil"/>
              <w:bottom w:val="single" w:sz="4" w:space="0" w:color="auto"/>
              <w:right w:val="single" w:sz="4" w:space="0" w:color="auto"/>
            </w:tcBorders>
            <w:vAlign w:val="center"/>
          </w:tcPr>
          <w:p w14:paraId="78039E16" w14:textId="77777777" w:rsidR="00293F00" w:rsidRPr="00C531A2" w:rsidRDefault="00293F00" w:rsidP="00725D9F">
            <w:pPr>
              <w:rPr>
                <w:rFonts w:ascii="Times New Roman" w:hAnsi="Times New Roman"/>
                <w:color w:val="000000"/>
                <w:sz w:val="22"/>
              </w:rPr>
            </w:pPr>
            <w:r w:rsidRPr="00C531A2">
              <w:rPr>
                <w:rFonts w:ascii="Times New Roman" w:hAnsi="Times New Roman"/>
                <w:color w:val="000000"/>
                <w:sz w:val="22"/>
              </w:rPr>
              <w:t>Средства за подстицаје у пољопривреди</w:t>
            </w:r>
          </w:p>
        </w:tc>
        <w:tc>
          <w:tcPr>
            <w:tcW w:w="887" w:type="pct"/>
            <w:gridSpan w:val="2"/>
            <w:tcBorders>
              <w:top w:val="nil"/>
              <w:left w:val="nil"/>
              <w:bottom w:val="single" w:sz="4" w:space="0" w:color="auto"/>
              <w:right w:val="single" w:sz="4" w:space="0" w:color="auto"/>
            </w:tcBorders>
            <w:noWrap/>
            <w:vAlign w:val="center"/>
          </w:tcPr>
          <w:p w14:paraId="3DD49C17" w14:textId="77777777" w:rsidR="00293F00" w:rsidRPr="00C531A2" w:rsidRDefault="00293F00" w:rsidP="00725D9F">
            <w:pPr>
              <w:jc w:val="right"/>
              <w:rPr>
                <w:rFonts w:ascii="Times New Roman" w:hAnsi="Times New Roman"/>
                <w:color w:val="000000"/>
                <w:sz w:val="22"/>
                <w:highlight w:val="yellow"/>
              </w:rPr>
            </w:pPr>
            <w:r w:rsidRPr="00C531A2">
              <w:rPr>
                <w:rFonts w:ascii="Times New Roman" w:hAnsi="Times New Roman"/>
                <w:color w:val="000000"/>
                <w:sz w:val="22"/>
              </w:rPr>
              <w:t>27.400.000.000</w:t>
            </w:r>
          </w:p>
        </w:tc>
        <w:tc>
          <w:tcPr>
            <w:tcW w:w="378" w:type="pct"/>
            <w:gridSpan w:val="2"/>
            <w:vAlign w:val="center"/>
          </w:tcPr>
          <w:p w14:paraId="2074FFFD" w14:textId="77777777" w:rsidR="00293F00" w:rsidRPr="00C531A2" w:rsidRDefault="00293F00" w:rsidP="00725D9F">
            <w:pPr>
              <w:rPr>
                <w:rFonts w:ascii="Times New Roman" w:hAnsi="Times New Roman"/>
                <w:sz w:val="22"/>
              </w:rPr>
            </w:pPr>
          </w:p>
        </w:tc>
      </w:tr>
      <w:tr w:rsidR="00502209" w:rsidRPr="00C531A2" w14:paraId="357E3783" w14:textId="77777777" w:rsidTr="00502209">
        <w:trPr>
          <w:trHeight w:val="300"/>
        </w:trPr>
        <w:tc>
          <w:tcPr>
            <w:tcW w:w="387" w:type="pct"/>
            <w:tcBorders>
              <w:top w:val="nil"/>
              <w:left w:val="single" w:sz="4" w:space="0" w:color="auto"/>
              <w:bottom w:val="single" w:sz="4" w:space="0" w:color="auto"/>
              <w:right w:val="single" w:sz="4" w:space="0" w:color="auto"/>
            </w:tcBorders>
            <w:noWrap/>
            <w:vAlign w:val="center"/>
            <w:hideMark/>
          </w:tcPr>
          <w:p w14:paraId="20D15AC3" w14:textId="77777777" w:rsidR="00293F00" w:rsidRPr="00C531A2" w:rsidRDefault="00293F00" w:rsidP="00725D9F">
            <w:pPr>
              <w:jc w:val="center"/>
              <w:rPr>
                <w:rFonts w:ascii="Times New Roman" w:hAnsi="Times New Roman"/>
                <w:color w:val="000000"/>
                <w:sz w:val="22"/>
              </w:rPr>
            </w:pPr>
            <w:r w:rsidRPr="00C531A2">
              <w:rPr>
                <w:rFonts w:ascii="Times New Roman" w:hAnsi="Times New Roman"/>
                <w:color w:val="000000"/>
                <w:sz w:val="22"/>
              </w:rPr>
              <w:t>17</w:t>
            </w:r>
          </w:p>
        </w:tc>
        <w:tc>
          <w:tcPr>
            <w:tcW w:w="1613" w:type="pct"/>
            <w:tcBorders>
              <w:top w:val="nil"/>
              <w:left w:val="nil"/>
              <w:bottom w:val="single" w:sz="4" w:space="0" w:color="auto"/>
              <w:right w:val="single" w:sz="4" w:space="0" w:color="auto"/>
            </w:tcBorders>
            <w:vAlign w:val="center"/>
            <w:hideMark/>
          </w:tcPr>
          <w:p w14:paraId="1A93B9AB" w14:textId="77777777" w:rsidR="00293F00" w:rsidRPr="00C531A2" w:rsidRDefault="00293F00" w:rsidP="00725D9F">
            <w:pPr>
              <w:rPr>
                <w:rFonts w:ascii="Times New Roman" w:hAnsi="Times New Roman"/>
                <w:color w:val="000000"/>
                <w:sz w:val="22"/>
              </w:rPr>
            </w:pPr>
            <w:r w:rsidRPr="00C531A2">
              <w:rPr>
                <w:rFonts w:ascii="Times New Roman" w:hAnsi="Times New Roman"/>
                <w:color w:val="000000"/>
                <w:sz w:val="22"/>
              </w:rPr>
              <w:t>Министарство пољопривреде, шумарства и водопривреде - Републичка дирекција за воде</w:t>
            </w:r>
          </w:p>
        </w:tc>
        <w:tc>
          <w:tcPr>
            <w:tcW w:w="1735" w:type="pct"/>
            <w:tcBorders>
              <w:top w:val="nil"/>
              <w:left w:val="nil"/>
              <w:bottom w:val="single" w:sz="4" w:space="0" w:color="auto"/>
              <w:right w:val="single" w:sz="4" w:space="0" w:color="auto"/>
            </w:tcBorders>
            <w:vAlign w:val="center"/>
            <w:hideMark/>
          </w:tcPr>
          <w:p w14:paraId="30468BE5" w14:textId="77777777" w:rsidR="00293F00" w:rsidRPr="00C531A2" w:rsidRDefault="00293F00" w:rsidP="00725D9F">
            <w:pPr>
              <w:rPr>
                <w:rFonts w:ascii="Times New Roman" w:hAnsi="Times New Roman"/>
                <w:color w:val="000000"/>
                <w:sz w:val="22"/>
              </w:rPr>
            </w:pPr>
            <w:r w:rsidRPr="00C531A2">
              <w:rPr>
                <w:rFonts w:ascii="Times New Roman" w:hAnsi="Times New Roman"/>
                <w:color w:val="000000"/>
                <w:sz w:val="22"/>
              </w:rPr>
              <w:t>Изградња система за наводњавање - прва фаза</w:t>
            </w:r>
          </w:p>
        </w:tc>
        <w:tc>
          <w:tcPr>
            <w:tcW w:w="887" w:type="pct"/>
            <w:gridSpan w:val="2"/>
            <w:tcBorders>
              <w:top w:val="nil"/>
              <w:left w:val="nil"/>
              <w:bottom w:val="single" w:sz="4" w:space="0" w:color="auto"/>
              <w:right w:val="single" w:sz="4" w:space="0" w:color="auto"/>
            </w:tcBorders>
            <w:noWrap/>
            <w:vAlign w:val="center"/>
            <w:hideMark/>
          </w:tcPr>
          <w:p w14:paraId="1D71A191" w14:textId="77777777" w:rsidR="00293F00" w:rsidRPr="00C531A2" w:rsidRDefault="00293F00" w:rsidP="00725D9F">
            <w:pPr>
              <w:jc w:val="right"/>
              <w:rPr>
                <w:rFonts w:ascii="Times New Roman" w:hAnsi="Times New Roman"/>
                <w:color w:val="000000"/>
                <w:sz w:val="22"/>
                <w:highlight w:val="yellow"/>
              </w:rPr>
            </w:pPr>
            <w:r w:rsidRPr="00C531A2">
              <w:rPr>
                <w:rFonts w:ascii="Times New Roman" w:hAnsi="Times New Roman"/>
                <w:color w:val="000000"/>
                <w:sz w:val="22"/>
              </w:rPr>
              <w:t>57.715.000</w:t>
            </w:r>
          </w:p>
        </w:tc>
        <w:tc>
          <w:tcPr>
            <w:tcW w:w="378" w:type="pct"/>
            <w:gridSpan w:val="2"/>
            <w:vAlign w:val="center"/>
            <w:hideMark/>
          </w:tcPr>
          <w:p w14:paraId="2B4FF532" w14:textId="77777777" w:rsidR="00293F00" w:rsidRPr="00C531A2" w:rsidRDefault="00293F00" w:rsidP="00725D9F">
            <w:pPr>
              <w:rPr>
                <w:rFonts w:ascii="Times New Roman" w:hAnsi="Times New Roman"/>
                <w:sz w:val="22"/>
              </w:rPr>
            </w:pPr>
          </w:p>
        </w:tc>
      </w:tr>
      <w:tr w:rsidR="00502209" w:rsidRPr="00C531A2" w14:paraId="1C0A6E32" w14:textId="77777777" w:rsidTr="00502209">
        <w:trPr>
          <w:trHeight w:val="300"/>
        </w:trPr>
        <w:tc>
          <w:tcPr>
            <w:tcW w:w="387" w:type="pct"/>
            <w:vMerge w:val="restart"/>
            <w:tcBorders>
              <w:top w:val="nil"/>
              <w:left w:val="single" w:sz="4" w:space="0" w:color="auto"/>
              <w:bottom w:val="single" w:sz="4" w:space="0" w:color="auto"/>
              <w:right w:val="single" w:sz="4" w:space="0" w:color="auto"/>
            </w:tcBorders>
            <w:noWrap/>
            <w:vAlign w:val="center"/>
            <w:hideMark/>
          </w:tcPr>
          <w:p w14:paraId="462466D8" w14:textId="77777777" w:rsidR="00293F00" w:rsidRPr="00C531A2" w:rsidRDefault="00293F00" w:rsidP="00725D9F">
            <w:pPr>
              <w:jc w:val="center"/>
              <w:rPr>
                <w:rFonts w:ascii="Times New Roman" w:hAnsi="Times New Roman"/>
                <w:color w:val="000000"/>
                <w:sz w:val="22"/>
              </w:rPr>
            </w:pPr>
            <w:r w:rsidRPr="00C531A2">
              <w:rPr>
                <w:rFonts w:ascii="Times New Roman" w:hAnsi="Times New Roman"/>
                <w:color w:val="000000"/>
                <w:sz w:val="22"/>
              </w:rPr>
              <w:t>18</w:t>
            </w:r>
          </w:p>
        </w:tc>
        <w:tc>
          <w:tcPr>
            <w:tcW w:w="1613" w:type="pct"/>
            <w:vMerge w:val="restart"/>
            <w:tcBorders>
              <w:top w:val="nil"/>
              <w:left w:val="single" w:sz="4" w:space="0" w:color="auto"/>
              <w:bottom w:val="single" w:sz="4" w:space="0" w:color="auto"/>
              <w:right w:val="single" w:sz="4" w:space="0" w:color="auto"/>
            </w:tcBorders>
            <w:vAlign w:val="center"/>
            <w:hideMark/>
          </w:tcPr>
          <w:p w14:paraId="7D8A4687" w14:textId="77777777" w:rsidR="00293F00" w:rsidRPr="00C531A2" w:rsidRDefault="00293F00" w:rsidP="00725D9F">
            <w:pPr>
              <w:rPr>
                <w:rFonts w:ascii="Times New Roman" w:hAnsi="Times New Roman"/>
                <w:color w:val="000000"/>
                <w:sz w:val="22"/>
              </w:rPr>
            </w:pPr>
            <w:r w:rsidRPr="00C531A2">
              <w:rPr>
                <w:rFonts w:ascii="Times New Roman" w:hAnsi="Times New Roman"/>
                <w:color w:val="000000"/>
                <w:sz w:val="22"/>
              </w:rPr>
              <w:t>Министарство заштите животне средине</w:t>
            </w:r>
          </w:p>
        </w:tc>
        <w:tc>
          <w:tcPr>
            <w:tcW w:w="1735" w:type="pct"/>
            <w:tcBorders>
              <w:top w:val="nil"/>
              <w:left w:val="nil"/>
              <w:bottom w:val="single" w:sz="4" w:space="0" w:color="auto"/>
              <w:right w:val="single" w:sz="4" w:space="0" w:color="auto"/>
            </w:tcBorders>
            <w:noWrap/>
            <w:hideMark/>
          </w:tcPr>
          <w:p w14:paraId="3CC0B5FC" w14:textId="77777777" w:rsidR="00293F00" w:rsidRPr="00C531A2" w:rsidRDefault="00293F00" w:rsidP="00725D9F">
            <w:pPr>
              <w:rPr>
                <w:rFonts w:ascii="Times New Roman" w:hAnsi="Times New Roman"/>
                <w:sz w:val="22"/>
              </w:rPr>
            </w:pPr>
            <w:r w:rsidRPr="00C531A2">
              <w:rPr>
                <w:rFonts w:ascii="Times New Roman" w:hAnsi="Times New Roman"/>
                <w:sz w:val="22"/>
              </w:rPr>
              <w:t>Трансфери по конкурсима</w:t>
            </w:r>
          </w:p>
        </w:tc>
        <w:tc>
          <w:tcPr>
            <w:tcW w:w="887" w:type="pct"/>
            <w:gridSpan w:val="2"/>
            <w:tcBorders>
              <w:top w:val="nil"/>
              <w:left w:val="nil"/>
              <w:bottom w:val="single" w:sz="4" w:space="0" w:color="auto"/>
              <w:right w:val="single" w:sz="4" w:space="0" w:color="auto"/>
            </w:tcBorders>
            <w:noWrap/>
            <w:vAlign w:val="center"/>
            <w:hideMark/>
          </w:tcPr>
          <w:p w14:paraId="481251A6" w14:textId="77777777" w:rsidR="00293F00" w:rsidRPr="00C531A2" w:rsidRDefault="00293F00" w:rsidP="00725D9F">
            <w:pPr>
              <w:jc w:val="right"/>
              <w:rPr>
                <w:rFonts w:ascii="Times New Roman" w:hAnsi="Times New Roman"/>
                <w:color w:val="000000"/>
                <w:sz w:val="22"/>
                <w:highlight w:val="yellow"/>
              </w:rPr>
            </w:pPr>
            <w:r w:rsidRPr="00C531A2">
              <w:rPr>
                <w:rFonts w:ascii="Times New Roman" w:hAnsi="Times New Roman"/>
                <w:color w:val="000000"/>
                <w:sz w:val="22"/>
              </w:rPr>
              <w:t>750.000.000</w:t>
            </w:r>
          </w:p>
        </w:tc>
        <w:tc>
          <w:tcPr>
            <w:tcW w:w="378" w:type="pct"/>
            <w:gridSpan w:val="2"/>
            <w:vAlign w:val="center"/>
            <w:hideMark/>
          </w:tcPr>
          <w:p w14:paraId="01D323A0" w14:textId="77777777" w:rsidR="00293F00" w:rsidRPr="00C531A2" w:rsidRDefault="00293F00" w:rsidP="00725D9F">
            <w:pPr>
              <w:rPr>
                <w:rFonts w:ascii="Times New Roman" w:hAnsi="Times New Roman"/>
                <w:sz w:val="22"/>
              </w:rPr>
            </w:pPr>
          </w:p>
        </w:tc>
      </w:tr>
      <w:tr w:rsidR="00502209" w:rsidRPr="00C531A2" w14:paraId="53D85556" w14:textId="77777777" w:rsidTr="00502209">
        <w:trPr>
          <w:trHeight w:val="600"/>
        </w:trPr>
        <w:tc>
          <w:tcPr>
            <w:tcW w:w="387" w:type="pct"/>
            <w:vMerge/>
            <w:tcBorders>
              <w:top w:val="nil"/>
              <w:left w:val="single" w:sz="4" w:space="0" w:color="auto"/>
              <w:bottom w:val="single" w:sz="4" w:space="0" w:color="auto"/>
              <w:right w:val="single" w:sz="4" w:space="0" w:color="auto"/>
            </w:tcBorders>
            <w:vAlign w:val="center"/>
            <w:hideMark/>
          </w:tcPr>
          <w:p w14:paraId="57322911" w14:textId="77777777" w:rsidR="00293F00" w:rsidRPr="00C531A2" w:rsidRDefault="00293F00" w:rsidP="00725D9F">
            <w:pPr>
              <w:rPr>
                <w:rFonts w:ascii="Times New Roman" w:hAnsi="Times New Roman"/>
                <w:color w:val="000000"/>
                <w:sz w:val="22"/>
              </w:rPr>
            </w:pPr>
          </w:p>
        </w:tc>
        <w:tc>
          <w:tcPr>
            <w:tcW w:w="1613" w:type="pct"/>
            <w:vMerge/>
            <w:tcBorders>
              <w:top w:val="nil"/>
              <w:left w:val="single" w:sz="4" w:space="0" w:color="auto"/>
              <w:bottom w:val="single" w:sz="4" w:space="0" w:color="auto"/>
              <w:right w:val="single" w:sz="4" w:space="0" w:color="auto"/>
            </w:tcBorders>
            <w:vAlign w:val="center"/>
            <w:hideMark/>
          </w:tcPr>
          <w:p w14:paraId="3A5E44CC" w14:textId="77777777" w:rsidR="00293F00" w:rsidRPr="00C531A2" w:rsidRDefault="00293F00" w:rsidP="00725D9F">
            <w:pPr>
              <w:rPr>
                <w:rFonts w:ascii="Times New Roman" w:hAnsi="Times New Roman"/>
                <w:color w:val="000000"/>
                <w:sz w:val="22"/>
              </w:rPr>
            </w:pPr>
          </w:p>
        </w:tc>
        <w:tc>
          <w:tcPr>
            <w:tcW w:w="1735" w:type="pct"/>
            <w:tcBorders>
              <w:top w:val="nil"/>
              <w:left w:val="nil"/>
              <w:bottom w:val="single" w:sz="4" w:space="0" w:color="auto"/>
              <w:right w:val="single" w:sz="4" w:space="0" w:color="auto"/>
            </w:tcBorders>
            <w:vAlign w:val="center"/>
            <w:hideMark/>
          </w:tcPr>
          <w:p w14:paraId="4D8214DC" w14:textId="77777777" w:rsidR="00293F00" w:rsidRPr="00C531A2" w:rsidRDefault="00293F00" w:rsidP="00725D9F">
            <w:pPr>
              <w:rPr>
                <w:rFonts w:ascii="Times New Roman" w:hAnsi="Times New Roman"/>
                <w:color w:val="000000"/>
                <w:sz w:val="22"/>
              </w:rPr>
            </w:pPr>
            <w:r w:rsidRPr="00C531A2">
              <w:rPr>
                <w:rFonts w:ascii="Times New Roman" w:hAnsi="Times New Roman"/>
                <w:color w:val="000000"/>
                <w:sz w:val="22"/>
              </w:rPr>
              <w:t>Подстицаји за програме управљања заштићеним природним добрима од националног интереса</w:t>
            </w:r>
          </w:p>
        </w:tc>
        <w:tc>
          <w:tcPr>
            <w:tcW w:w="887" w:type="pct"/>
            <w:gridSpan w:val="2"/>
            <w:tcBorders>
              <w:top w:val="nil"/>
              <w:left w:val="nil"/>
              <w:bottom w:val="single" w:sz="4" w:space="0" w:color="auto"/>
              <w:right w:val="single" w:sz="4" w:space="0" w:color="auto"/>
            </w:tcBorders>
            <w:noWrap/>
            <w:vAlign w:val="center"/>
            <w:hideMark/>
          </w:tcPr>
          <w:p w14:paraId="12671218" w14:textId="77777777" w:rsidR="00293F00" w:rsidRPr="00C531A2" w:rsidRDefault="00293F00" w:rsidP="00725D9F">
            <w:pPr>
              <w:jc w:val="right"/>
              <w:rPr>
                <w:rFonts w:ascii="Times New Roman" w:hAnsi="Times New Roman"/>
                <w:color w:val="000000"/>
                <w:sz w:val="22"/>
              </w:rPr>
            </w:pPr>
            <w:r w:rsidRPr="00C531A2">
              <w:rPr>
                <w:rFonts w:ascii="Times New Roman" w:hAnsi="Times New Roman"/>
                <w:color w:val="000000"/>
                <w:sz w:val="22"/>
              </w:rPr>
              <w:t>150.000.000</w:t>
            </w:r>
          </w:p>
        </w:tc>
        <w:tc>
          <w:tcPr>
            <w:tcW w:w="378" w:type="pct"/>
            <w:gridSpan w:val="2"/>
            <w:vAlign w:val="center"/>
            <w:hideMark/>
          </w:tcPr>
          <w:p w14:paraId="172DD1DA" w14:textId="77777777" w:rsidR="00293F00" w:rsidRPr="00C531A2" w:rsidRDefault="00293F00" w:rsidP="00725D9F">
            <w:pPr>
              <w:rPr>
                <w:rFonts w:ascii="Times New Roman" w:hAnsi="Times New Roman"/>
                <w:sz w:val="22"/>
              </w:rPr>
            </w:pPr>
          </w:p>
        </w:tc>
      </w:tr>
      <w:tr w:rsidR="00502209" w:rsidRPr="00C531A2" w14:paraId="7F3EFFF7" w14:textId="77777777" w:rsidTr="00502209">
        <w:trPr>
          <w:trHeight w:val="600"/>
        </w:trPr>
        <w:tc>
          <w:tcPr>
            <w:tcW w:w="387" w:type="pct"/>
            <w:vMerge/>
            <w:tcBorders>
              <w:top w:val="nil"/>
              <w:left w:val="single" w:sz="4" w:space="0" w:color="auto"/>
              <w:bottom w:val="single" w:sz="4" w:space="0" w:color="auto"/>
              <w:right w:val="single" w:sz="4" w:space="0" w:color="auto"/>
            </w:tcBorders>
            <w:vAlign w:val="center"/>
            <w:hideMark/>
          </w:tcPr>
          <w:p w14:paraId="2D4EA67A" w14:textId="77777777" w:rsidR="00293F00" w:rsidRPr="00C531A2" w:rsidRDefault="00293F00" w:rsidP="00725D9F">
            <w:pPr>
              <w:rPr>
                <w:rFonts w:ascii="Times New Roman" w:hAnsi="Times New Roman"/>
                <w:color w:val="000000"/>
                <w:sz w:val="22"/>
              </w:rPr>
            </w:pPr>
          </w:p>
        </w:tc>
        <w:tc>
          <w:tcPr>
            <w:tcW w:w="1613" w:type="pct"/>
            <w:vMerge/>
            <w:tcBorders>
              <w:top w:val="nil"/>
              <w:left w:val="single" w:sz="4" w:space="0" w:color="auto"/>
              <w:bottom w:val="single" w:sz="4" w:space="0" w:color="auto"/>
              <w:right w:val="single" w:sz="4" w:space="0" w:color="auto"/>
            </w:tcBorders>
            <w:vAlign w:val="center"/>
            <w:hideMark/>
          </w:tcPr>
          <w:p w14:paraId="3D554ED1" w14:textId="77777777" w:rsidR="00293F00" w:rsidRPr="00C531A2" w:rsidRDefault="00293F00" w:rsidP="00725D9F">
            <w:pPr>
              <w:rPr>
                <w:rFonts w:ascii="Times New Roman" w:hAnsi="Times New Roman"/>
                <w:color w:val="000000"/>
                <w:sz w:val="22"/>
              </w:rPr>
            </w:pPr>
          </w:p>
        </w:tc>
        <w:tc>
          <w:tcPr>
            <w:tcW w:w="1735" w:type="pct"/>
            <w:tcBorders>
              <w:top w:val="nil"/>
              <w:left w:val="nil"/>
              <w:bottom w:val="single" w:sz="4" w:space="0" w:color="auto"/>
              <w:right w:val="single" w:sz="4" w:space="0" w:color="auto"/>
            </w:tcBorders>
            <w:vAlign w:val="center"/>
            <w:hideMark/>
          </w:tcPr>
          <w:p w14:paraId="0CBD801F" w14:textId="77777777" w:rsidR="00293F00" w:rsidRPr="00C531A2" w:rsidRDefault="00293F00" w:rsidP="00725D9F">
            <w:pPr>
              <w:rPr>
                <w:rFonts w:ascii="Times New Roman" w:hAnsi="Times New Roman"/>
                <w:color w:val="000000"/>
                <w:sz w:val="22"/>
              </w:rPr>
            </w:pPr>
            <w:r w:rsidRPr="00C531A2">
              <w:rPr>
                <w:rFonts w:ascii="Times New Roman" w:hAnsi="Times New Roman"/>
                <w:color w:val="000000"/>
                <w:sz w:val="22"/>
              </w:rPr>
              <w:t>Подстицаји за поновну употребу и искоришћење отпада</w:t>
            </w:r>
          </w:p>
        </w:tc>
        <w:tc>
          <w:tcPr>
            <w:tcW w:w="887" w:type="pct"/>
            <w:gridSpan w:val="2"/>
            <w:tcBorders>
              <w:top w:val="nil"/>
              <w:left w:val="nil"/>
              <w:bottom w:val="single" w:sz="4" w:space="0" w:color="auto"/>
              <w:right w:val="single" w:sz="4" w:space="0" w:color="auto"/>
            </w:tcBorders>
            <w:noWrap/>
            <w:vAlign w:val="center"/>
            <w:hideMark/>
          </w:tcPr>
          <w:p w14:paraId="5CE8D0B8" w14:textId="77777777" w:rsidR="00293F00" w:rsidRPr="00C531A2" w:rsidRDefault="00293F00" w:rsidP="00725D9F">
            <w:pPr>
              <w:jc w:val="right"/>
              <w:rPr>
                <w:rFonts w:ascii="Times New Roman" w:hAnsi="Times New Roman"/>
                <w:color w:val="000000"/>
                <w:sz w:val="22"/>
              </w:rPr>
            </w:pPr>
            <w:r w:rsidRPr="00C531A2">
              <w:rPr>
                <w:rFonts w:ascii="Times New Roman" w:hAnsi="Times New Roman"/>
                <w:color w:val="000000"/>
                <w:sz w:val="22"/>
              </w:rPr>
              <w:t>1.300.000.000</w:t>
            </w:r>
          </w:p>
        </w:tc>
        <w:tc>
          <w:tcPr>
            <w:tcW w:w="378" w:type="pct"/>
            <w:gridSpan w:val="2"/>
            <w:vAlign w:val="center"/>
            <w:hideMark/>
          </w:tcPr>
          <w:p w14:paraId="6A9C0A2B" w14:textId="77777777" w:rsidR="00293F00" w:rsidRPr="00C531A2" w:rsidRDefault="00293F00" w:rsidP="00725D9F">
            <w:pPr>
              <w:rPr>
                <w:rFonts w:ascii="Times New Roman" w:hAnsi="Times New Roman"/>
                <w:sz w:val="22"/>
              </w:rPr>
            </w:pPr>
          </w:p>
        </w:tc>
      </w:tr>
      <w:tr w:rsidR="00502209" w:rsidRPr="00C531A2" w14:paraId="67DF3628" w14:textId="77777777" w:rsidTr="00502209">
        <w:trPr>
          <w:trHeight w:val="600"/>
        </w:trPr>
        <w:tc>
          <w:tcPr>
            <w:tcW w:w="387" w:type="pct"/>
            <w:vMerge/>
            <w:tcBorders>
              <w:top w:val="nil"/>
              <w:left w:val="single" w:sz="4" w:space="0" w:color="auto"/>
              <w:bottom w:val="single" w:sz="4" w:space="0" w:color="auto"/>
              <w:right w:val="single" w:sz="4" w:space="0" w:color="auto"/>
            </w:tcBorders>
            <w:vAlign w:val="center"/>
            <w:hideMark/>
          </w:tcPr>
          <w:p w14:paraId="2EEE9999" w14:textId="77777777" w:rsidR="00293F00" w:rsidRPr="00C531A2" w:rsidRDefault="00293F00" w:rsidP="00725D9F">
            <w:pPr>
              <w:rPr>
                <w:rFonts w:ascii="Times New Roman" w:hAnsi="Times New Roman"/>
                <w:color w:val="000000"/>
                <w:sz w:val="22"/>
              </w:rPr>
            </w:pPr>
          </w:p>
        </w:tc>
        <w:tc>
          <w:tcPr>
            <w:tcW w:w="1613" w:type="pct"/>
            <w:vMerge/>
            <w:tcBorders>
              <w:top w:val="nil"/>
              <w:left w:val="single" w:sz="4" w:space="0" w:color="auto"/>
              <w:bottom w:val="single" w:sz="4" w:space="0" w:color="auto"/>
              <w:right w:val="single" w:sz="4" w:space="0" w:color="auto"/>
            </w:tcBorders>
            <w:vAlign w:val="center"/>
            <w:hideMark/>
          </w:tcPr>
          <w:p w14:paraId="12874798" w14:textId="77777777" w:rsidR="00293F00" w:rsidRPr="00C531A2" w:rsidRDefault="00293F00" w:rsidP="00725D9F">
            <w:pPr>
              <w:rPr>
                <w:rFonts w:ascii="Times New Roman" w:hAnsi="Times New Roman"/>
                <w:color w:val="000000"/>
                <w:sz w:val="22"/>
              </w:rPr>
            </w:pPr>
          </w:p>
        </w:tc>
        <w:tc>
          <w:tcPr>
            <w:tcW w:w="1735" w:type="pct"/>
            <w:tcBorders>
              <w:top w:val="nil"/>
              <w:left w:val="nil"/>
              <w:bottom w:val="single" w:sz="4" w:space="0" w:color="auto"/>
              <w:right w:val="single" w:sz="4" w:space="0" w:color="auto"/>
            </w:tcBorders>
            <w:vAlign w:val="center"/>
            <w:hideMark/>
          </w:tcPr>
          <w:p w14:paraId="6AD250DB" w14:textId="77777777" w:rsidR="00293F00" w:rsidRPr="00C531A2" w:rsidRDefault="00293F00" w:rsidP="00725D9F">
            <w:pPr>
              <w:rPr>
                <w:rFonts w:ascii="Times New Roman" w:hAnsi="Times New Roman"/>
                <w:color w:val="000000"/>
                <w:sz w:val="22"/>
              </w:rPr>
            </w:pPr>
            <w:r w:rsidRPr="00C531A2">
              <w:rPr>
                <w:rFonts w:ascii="Times New Roman" w:hAnsi="Times New Roman"/>
                <w:color w:val="000000"/>
                <w:sz w:val="22"/>
              </w:rPr>
              <w:t>Суфинансирање реализације пројеката заштите и очувања животне средине</w:t>
            </w:r>
          </w:p>
        </w:tc>
        <w:tc>
          <w:tcPr>
            <w:tcW w:w="887" w:type="pct"/>
            <w:gridSpan w:val="2"/>
            <w:tcBorders>
              <w:top w:val="nil"/>
              <w:left w:val="nil"/>
              <w:bottom w:val="single" w:sz="4" w:space="0" w:color="auto"/>
              <w:right w:val="single" w:sz="4" w:space="0" w:color="auto"/>
            </w:tcBorders>
            <w:noWrap/>
            <w:vAlign w:val="center"/>
            <w:hideMark/>
          </w:tcPr>
          <w:p w14:paraId="2174DC12" w14:textId="77777777" w:rsidR="00293F00" w:rsidRPr="00C531A2" w:rsidRDefault="00293F00" w:rsidP="00725D9F">
            <w:pPr>
              <w:jc w:val="right"/>
              <w:rPr>
                <w:rFonts w:ascii="Times New Roman" w:hAnsi="Times New Roman"/>
                <w:color w:val="000000"/>
                <w:sz w:val="22"/>
              </w:rPr>
            </w:pPr>
            <w:r w:rsidRPr="00C531A2">
              <w:rPr>
                <w:rFonts w:ascii="Times New Roman" w:hAnsi="Times New Roman"/>
                <w:color w:val="000000"/>
                <w:sz w:val="22"/>
              </w:rPr>
              <w:t>1.692.448.000</w:t>
            </w:r>
          </w:p>
        </w:tc>
        <w:tc>
          <w:tcPr>
            <w:tcW w:w="378" w:type="pct"/>
            <w:gridSpan w:val="2"/>
            <w:vAlign w:val="center"/>
            <w:hideMark/>
          </w:tcPr>
          <w:p w14:paraId="1B2B516B" w14:textId="77777777" w:rsidR="00293F00" w:rsidRPr="00C531A2" w:rsidRDefault="00293F00" w:rsidP="00725D9F">
            <w:pPr>
              <w:rPr>
                <w:rFonts w:ascii="Times New Roman" w:hAnsi="Times New Roman"/>
                <w:sz w:val="22"/>
              </w:rPr>
            </w:pPr>
          </w:p>
        </w:tc>
      </w:tr>
      <w:tr w:rsidR="00502209" w:rsidRPr="00C531A2" w14:paraId="404FBC59" w14:textId="77777777" w:rsidTr="00502209">
        <w:trPr>
          <w:trHeight w:val="600"/>
        </w:trPr>
        <w:tc>
          <w:tcPr>
            <w:tcW w:w="387" w:type="pct"/>
            <w:tcBorders>
              <w:top w:val="nil"/>
              <w:left w:val="single" w:sz="4" w:space="0" w:color="auto"/>
              <w:bottom w:val="single" w:sz="4" w:space="0" w:color="auto"/>
              <w:right w:val="single" w:sz="4" w:space="0" w:color="auto"/>
            </w:tcBorders>
            <w:shd w:val="clear" w:color="000000" w:fill="FFFFFF"/>
            <w:vAlign w:val="center"/>
            <w:hideMark/>
          </w:tcPr>
          <w:p w14:paraId="792D96E3" w14:textId="77777777" w:rsidR="00293F00" w:rsidRPr="00C531A2" w:rsidRDefault="00293F00" w:rsidP="00725D9F">
            <w:pPr>
              <w:jc w:val="center"/>
              <w:rPr>
                <w:rFonts w:ascii="Times New Roman" w:hAnsi="Times New Roman"/>
                <w:color w:val="000000"/>
                <w:sz w:val="22"/>
              </w:rPr>
            </w:pPr>
            <w:r w:rsidRPr="00C531A2">
              <w:rPr>
                <w:rFonts w:ascii="Times New Roman" w:hAnsi="Times New Roman"/>
                <w:color w:val="000000"/>
                <w:sz w:val="22"/>
              </w:rPr>
              <w:t>19</w:t>
            </w:r>
          </w:p>
        </w:tc>
        <w:tc>
          <w:tcPr>
            <w:tcW w:w="1613" w:type="pct"/>
            <w:tcBorders>
              <w:top w:val="nil"/>
              <w:left w:val="nil"/>
              <w:bottom w:val="single" w:sz="4" w:space="0" w:color="auto"/>
              <w:right w:val="single" w:sz="4" w:space="0" w:color="auto"/>
            </w:tcBorders>
            <w:shd w:val="clear" w:color="000000" w:fill="FFFFFF"/>
            <w:vAlign w:val="center"/>
            <w:hideMark/>
          </w:tcPr>
          <w:p w14:paraId="6502740E" w14:textId="77777777" w:rsidR="00293F00" w:rsidRPr="00C531A2" w:rsidRDefault="00293F00" w:rsidP="00725D9F">
            <w:pPr>
              <w:rPr>
                <w:rFonts w:ascii="Times New Roman" w:hAnsi="Times New Roman"/>
                <w:color w:val="000000"/>
                <w:sz w:val="22"/>
              </w:rPr>
            </w:pPr>
            <w:r w:rsidRPr="00C531A2">
              <w:rPr>
                <w:rFonts w:ascii="Times New Roman" w:hAnsi="Times New Roman"/>
                <w:color w:val="000000"/>
                <w:sz w:val="22"/>
              </w:rPr>
              <w:t>Министарство просвете</w:t>
            </w:r>
          </w:p>
        </w:tc>
        <w:tc>
          <w:tcPr>
            <w:tcW w:w="1735" w:type="pct"/>
            <w:tcBorders>
              <w:top w:val="nil"/>
              <w:left w:val="nil"/>
              <w:bottom w:val="single" w:sz="4" w:space="0" w:color="auto"/>
              <w:right w:val="single" w:sz="4" w:space="0" w:color="auto"/>
            </w:tcBorders>
            <w:shd w:val="clear" w:color="000000" w:fill="FFFFFF"/>
            <w:vAlign w:val="center"/>
            <w:hideMark/>
          </w:tcPr>
          <w:p w14:paraId="2A2B2503" w14:textId="041092E4" w:rsidR="00293F00" w:rsidRPr="00C531A2" w:rsidRDefault="00293F00" w:rsidP="00725D9F">
            <w:pPr>
              <w:rPr>
                <w:rFonts w:ascii="Times New Roman" w:hAnsi="Times New Roman"/>
                <w:color w:val="000000"/>
                <w:sz w:val="22"/>
              </w:rPr>
            </w:pPr>
            <w:r w:rsidRPr="00C531A2">
              <w:rPr>
                <w:rFonts w:ascii="Times New Roman" w:hAnsi="Times New Roman"/>
                <w:color w:val="000000"/>
                <w:sz w:val="22"/>
              </w:rPr>
              <w:t xml:space="preserve">Расходи у </w:t>
            </w:r>
            <w:r w:rsidR="003031B6" w:rsidRPr="00C531A2">
              <w:rPr>
                <w:rFonts w:ascii="Times New Roman" w:hAnsi="Times New Roman"/>
                <w:color w:val="000000"/>
                <w:sz w:val="22"/>
              </w:rPr>
              <w:t xml:space="preserve">основном и </w:t>
            </w:r>
            <w:r w:rsidRPr="00C531A2">
              <w:rPr>
                <w:rFonts w:ascii="Times New Roman" w:hAnsi="Times New Roman"/>
                <w:color w:val="000000"/>
                <w:sz w:val="22"/>
              </w:rPr>
              <w:t>средњем</w:t>
            </w:r>
            <w:r w:rsidR="003031B6" w:rsidRPr="00C531A2">
              <w:rPr>
                <w:rFonts w:ascii="Times New Roman" w:hAnsi="Times New Roman"/>
                <w:color w:val="000000"/>
                <w:sz w:val="22"/>
              </w:rPr>
              <w:t xml:space="preserve"> </w:t>
            </w:r>
            <w:r w:rsidRPr="00C531A2">
              <w:rPr>
                <w:rFonts w:ascii="Times New Roman" w:hAnsi="Times New Roman"/>
                <w:color w:val="000000"/>
                <w:sz w:val="22"/>
              </w:rPr>
              <w:t>образовању</w:t>
            </w:r>
            <w:r w:rsidR="003031B6" w:rsidRPr="00C531A2">
              <w:rPr>
                <w:rFonts w:ascii="Times New Roman" w:hAnsi="Times New Roman"/>
                <w:color w:val="000000"/>
                <w:sz w:val="22"/>
              </w:rPr>
              <w:t>,</w:t>
            </w:r>
            <w:r w:rsidRPr="00C531A2">
              <w:rPr>
                <w:rFonts w:ascii="Times New Roman" w:hAnsi="Times New Roman"/>
                <w:color w:val="000000"/>
                <w:sz w:val="22"/>
              </w:rPr>
              <w:t xml:space="preserve"> ученичком и студентском стандарду, а од 202</w:t>
            </w:r>
            <w:r w:rsidR="003031B6" w:rsidRPr="00C531A2">
              <w:rPr>
                <w:rFonts w:ascii="Times New Roman" w:hAnsi="Times New Roman"/>
                <w:color w:val="000000"/>
                <w:sz w:val="22"/>
              </w:rPr>
              <w:t>6</w:t>
            </w:r>
            <w:r w:rsidRPr="00C531A2">
              <w:rPr>
                <w:rFonts w:ascii="Times New Roman" w:hAnsi="Times New Roman"/>
                <w:color w:val="000000"/>
                <w:sz w:val="22"/>
              </w:rPr>
              <w:t>. године и у високом образовању</w:t>
            </w:r>
          </w:p>
        </w:tc>
        <w:tc>
          <w:tcPr>
            <w:tcW w:w="887" w:type="pct"/>
            <w:gridSpan w:val="2"/>
            <w:tcBorders>
              <w:top w:val="nil"/>
              <w:left w:val="nil"/>
              <w:bottom w:val="single" w:sz="4" w:space="0" w:color="auto"/>
              <w:right w:val="single" w:sz="4" w:space="0" w:color="auto"/>
            </w:tcBorders>
            <w:shd w:val="clear" w:color="000000" w:fill="FFFFFF"/>
            <w:noWrap/>
            <w:vAlign w:val="center"/>
            <w:hideMark/>
          </w:tcPr>
          <w:p w14:paraId="5437BB75" w14:textId="5A4CF521" w:rsidR="00293F00" w:rsidRPr="00C531A2" w:rsidRDefault="00394111" w:rsidP="00725D9F">
            <w:pPr>
              <w:jc w:val="right"/>
              <w:rPr>
                <w:rFonts w:ascii="Times New Roman" w:hAnsi="Times New Roman"/>
                <w:color w:val="000000"/>
                <w:sz w:val="22"/>
                <w:highlight w:val="yellow"/>
              </w:rPr>
            </w:pPr>
            <w:r w:rsidRPr="00C531A2">
              <w:rPr>
                <w:rFonts w:ascii="Times New Roman" w:hAnsi="Times New Roman"/>
                <w:color w:val="000000"/>
                <w:sz w:val="22"/>
              </w:rPr>
              <w:t>80.269.400</w:t>
            </w:r>
            <w:r w:rsidR="00293F00" w:rsidRPr="00C531A2">
              <w:rPr>
                <w:rFonts w:ascii="Times New Roman" w:hAnsi="Times New Roman"/>
                <w:color w:val="000000"/>
                <w:sz w:val="22"/>
              </w:rPr>
              <w:t>.000</w:t>
            </w:r>
          </w:p>
        </w:tc>
        <w:tc>
          <w:tcPr>
            <w:tcW w:w="378" w:type="pct"/>
            <w:gridSpan w:val="2"/>
            <w:vAlign w:val="center"/>
            <w:hideMark/>
          </w:tcPr>
          <w:p w14:paraId="791F4966" w14:textId="77777777" w:rsidR="00293F00" w:rsidRPr="00C531A2" w:rsidRDefault="00293F00" w:rsidP="00725D9F">
            <w:pPr>
              <w:rPr>
                <w:rFonts w:ascii="Times New Roman" w:hAnsi="Times New Roman"/>
                <w:sz w:val="22"/>
              </w:rPr>
            </w:pPr>
          </w:p>
        </w:tc>
      </w:tr>
      <w:tr w:rsidR="00502209" w:rsidRPr="00C531A2" w14:paraId="1167B18A" w14:textId="77777777" w:rsidTr="00502209">
        <w:trPr>
          <w:trHeight w:val="600"/>
        </w:trPr>
        <w:tc>
          <w:tcPr>
            <w:tcW w:w="387" w:type="pct"/>
            <w:tcBorders>
              <w:top w:val="nil"/>
              <w:left w:val="single" w:sz="4" w:space="0" w:color="auto"/>
              <w:bottom w:val="single" w:sz="4" w:space="0" w:color="auto"/>
              <w:right w:val="single" w:sz="4" w:space="0" w:color="auto"/>
            </w:tcBorders>
            <w:noWrap/>
            <w:vAlign w:val="center"/>
            <w:hideMark/>
          </w:tcPr>
          <w:p w14:paraId="4DF98A8F" w14:textId="77777777" w:rsidR="00293F00" w:rsidRPr="00C531A2" w:rsidRDefault="00293F00" w:rsidP="00725D9F">
            <w:pPr>
              <w:jc w:val="center"/>
              <w:rPr>
                <w:rFonts w:ascii="Times New Roman" w:hAnsi="Times New Roman"/>
                <w:color w:val="000000"/>
                <w:sz w:val="22"/>
              </w:rPr>
            </w:pPr>
            <w:r w:rsidRPr="00C531A2">
              <w:rPr>
                <w:rFonts w:ascii="Times New Roman" w:hAnsi="Times New Roman"/>
                <w:color w:val="000000"/>
                <w:sz w:val="22"/>
              </w:rPr>
              <w:t>20</w:t>
            </w:r>
          </w:p>
        </w:tc>
        <w:tc>
          <w:tcPr>
            <w:tcW w:w="1613" w:type="pct"/>
            <w:tcBorders>
              <w:top w:val="nil"/>
              <w:left w:val="nil"/>
              <w:bottom w:val="single" w:sz="4" w:space="0" w:color="auto"/>
              <w:right w:val="single" w:sz="4" w:space="0" w:color="auto"/>
            </w:tcBorders>
            <w:vAlign w:val="center"/>
            <w:hideMark/>
          </w:tcPr>
          <w:p w14:paraId="79455CD3" w14:textId="77777777" w:rsidR="00293F00" w:rsidRPr="00C531A2" w:rsidRDefault="00293F00" w:rsidP="00725D9F">
            <w:pPr>
              <w:rPr>
                <w:rFonts w:ascii="Times New Roman" w:hAnsi="Times New Roman"/>
                <w:color w:val="000000"/>
                <w:sz w:val="22"/>
              </w:rPr>
            </w:pPr>
            <w:r w:rsidRPr="00C531A2">
              <w:rPr>
                <w:rFonts w:ascii="Times New Roman" w:hAnsi="Times New Roman"/>
                <w:color w:val="000000"/>
                <w:sz w:val="22"/>
              </w:rPr>
              <w:t>Министарство здравља</w:t>
            </w:r>
          </w:p>
        </w:tc>
        <w:tc>
          <w:tcPr>
            <w:tcW w:w="1735" w:type="pct"/>
            <w:tcBorders>
              <w:top w:val="nil"/>
              <w:left w:val="nil"/>
              <w:bottom w:val="single" w:sz="4" w:space="0" w:color="auto"/>
              <w:right w:val="single" w:sz="4" w:space="0" w:color="auto"/>
            </w:tcBorders>
            <w:vAlign w:val="center"/>
            <w:hideMark/>
          </w:tcPr>
          <w:p w14:paraId="7506F26D" w14:textId="77777777" w:rsidR="00293F00" w:rsidRPr="00C531A2" w:rsidRDefault="00293F00" w:rsidP="00725D9F">
            <w:pPr>
              <w:rPr>
                <w:rFonts w:ascii="Times New Roman" w:hAnsi="Times New Roman"/>
                <w:color w:val="000000"/>
                <w:sz w:val="22"/>
              </w:rPr>
            </w:pPr>
            <w:r w:rsidRPr="00C531A2">
              <w:rPr>
                <w:rFonts w:ascii="Times New Roman" w:hAnsi="Times New Roman"/>
                <w:color w:val="000000"/>
                <w:sz w:val="22"/>
              </w:rPr>
              <w:t>Реконструкција Клиничког центра Војводине</w:t>
            </w:r>
          </w:p>
        </w:tc>
        <w:tc>
          <w:tcPr>
            <w:tcW w:w="887" w:type="pct"/>
            <w:gridSpan w:val="2"/>
            <w:tcBorders>
              <w:top w:val="nil"/>
              <w:left w:val="nil"/>
              <w:bottom w:val="single" w:sz="4" w:space="0" w:color="auto"/>
              <w:right w:val="single" w:sz="4" w:space="0" w:color="auto"/>
            </w:tcBorders>
            <w:noWrap/>
            <w:vAlign w:val="center"/>
            <w:hideMark/>
          </w:tcPr>
          <w:p w14:paraId="268F2F78" w14:textId="77777777" w:rsidR="00293F00" w:rsidRPr="00C531A2" w:rsidRDefault="00293F00" w:rsidP="00725D9F">
            <w:pPr>
              <w:jc w:val="right"/>
              <w:rPr>
                <w:rFonts w:ascii="Times New Roman" w:hAnsi="Times New Roman"/>
                <w:color w:val="000000"/>
                <w:sz w:val="22"/>
                <w:highlight w:val="yellow"/>
              </w:rPr>
            </w:pPr>
            <w:r w:rsidRPr="00C531A2">
              <w:rPr>
                <w:rFonts w:ascii="Times New Roman" w:hAnsi="Times New Roman"/>
                <w:color w:val="000000"/>
                <w:sz w:val="22"/>
              </w:rPr>
              <w:t>2.274.300.000</w:t>
            </w:r>
          </w:p>
        </w:tc>
        <w:tc>
          <w:tcPr>
            <w:tcW w:w="378" w:type="pct"/>
            <w:gridSpan w:val="2"/>
            <w:vAlign w:val="center"/>
            <w:hideMark/>
          </w:tcPr>
          <w:p w14:paraId="5E1CC969" w14:textId="77777777" w:rsidR="00293F00" w:rsidRPr="00C531A2" w:rsidRDefault="00293F00" w:rsidP="00725D9F">
            <w:pPr>
              <w:rPr>
                <w:rFonts w:ascii="Times New Roman" w:hAnsi="Times New Roman"/>
                <w:sz w:val="22"/>
              </w:rPr>
            </w:pPr>
          </w:p>
        </w:tc>
      </w:tr>
      <w:tr w:rsidR="00502209" w:rsidRPr="00C531A2" w14:paraId="192FD959" w14:textId="77777777" w:rsidTr="00502209">
        <w:trPr>
          <w:trHeight w:val="300"/>
        </w:trPr>
        <w:tc>
          <w:tcPr>
            <w:tcW w:w="387" w:type="pct"/>
            <w:tcBorders>
              <w:top w:val="nil"/>
              <w:left w:val="single" w:sz="4" w:space="0" w:color="auto"/>
              <w:bottom w:val="single" w:sz="4" w:space="0" w:color="auto"/>
              <w:right w:val="single" w:sz="4" w:space="0" w:color="auto"/>
            </w:tcBorders>
            <w:noWrap/>
            <w:vAlign w:val="center"/>
            <w:hideMark/>
          </w:tcPr>
          <w:p w14:paraId="5212C04A" w14:textId="77777777" w:rsidR="00293F00" w:rsidRPr="00C531A2" w:rsidRDefault="00293F00" w:rsidP="00725D9F">
            <w:pPr>
              <w:jc w:val="center"/>
              <w:rPr>
                <w:rFonts w:ascii="Times New Roman" w:hAnsi="Times New Roman"/>
                <w:color w:val="000000"/>
                <w:sz w:val="22"/>
              </w:rPr>
            </w:pPr>
            <w:r w:rsidRPr="00C531A2">
              <w:rPr>
                <w:rFonts w:ascii="Times New Roman" w:hAnsi="Times New Roman"/>
                <w:color w:val="000000"/>
                <w:sz w:val="22"/>
              </w:rPr>
              <w:t>21</w:t>
            </w:r>
          </w:p>
        </w:tc>
        <w:tc>
          <w:tcPr>
            <w:tcW w:w="1613" w:type="pct"/>
            <w:tcBorders>
              <w:top w:val="nil"/>
              <w:left w:val="nil"/>
              <w:bottom w:val="single" w:sz="4" w:space="0" w:color="auto"/>
              <w:right w:val="single" w:sz="4" w:space="0" w:color="auto"/>
            </w:tcBorders>
            <w:vAlign w:val="center"/>
            <w:hideMark/>
          </w:tcPr>
          <w:p w14:paraId="3467C9D3" w14:textId="77777777" w:rsidR="00293F00" w:rsidRPr="00C531A2" w:rsidRDefault="00293F00" w:rsidP="00725D9F">
            <w:pPr>
              <w:rPr>
                <w:rFonts w:ascii="Times New Roman" w:hAnsi="Times New Roman"/>
                <w:color w:val="000000"/>
                <w:sz w:val="22"/>
              </w:rPr>
            </w:pPr>
            <w:r w:rsidRPr="00C531A2">
              <w:rPr>
                <w:rFonts w:ascii="Times New Roman" w:hAnsi="Times New Roman"/>
                <w:color w:val="000000"/>
                <w:sz w:val="22"/>
              </w:rPr>
              <w:t xml:space="preserve">Министарство културе </w:t>
            </w:r>
          </w:p>
        </w:tc>
        <w:tc>
          <w:tcPr>
            <w:tcW w:w="1735" w:type="pct"/>
            <w:tcBorders>
              <w:top w:val="nil"/>
              <w:left w:val="nil"/>
              <w:bottom w:val="single" w:sz="4" w:space="0" w:color="auto"/>
              <w:right w:val="single" w:sz="4" w:space="0" w:color="auto"/>
            </w:tcBorders>
            <w:vAlign w:val="center"/>
            <w:hideMark/>
          </w:tcPr>
          <w:p w14:paraId="0CB66F8F" w14:textId="78961614" w:rsidR="00293F00" w:rsidRPr="00C531A2" w:rsidRDefault="00293F00" w:rsidP="00725D9F">
            <w:pPr>
              <w:rPr>
                <w:rFonts w:ascii="Times New Roman" w:hAnsi="Times New Roman"/>
                <w:color w:val="000000"/>
                <w:sz w:val="22"/>
              </w:rPr>
            </w:pPr>
            <w:r w:rsidRPr="00C531A2">
              <w:rPr>
                <w:rFonts w:ascii="Times New Roman" w:hAnsi="Times New Roman"/>
                <w:color w:val="000000"/>
                <w:sz w:val="22"/>
              </w:rPr>
              <w:t xml:space="preserve">Подршка раду Матице </w:t>
            </w:r>
            <w:r w:rsidR="00885E63" w:rsidRPr="00C531A2">
              <w:rPr>
                <w:rFonts w:ascii="Times New Roman" w:hAnsi="Times New Roman"/>
                <w:color w:val="000000"/>
                <w:sz w:val="22"/>
              </w:rPr>
              <w:t>с</w:t>
            </w:r>
            <w:r w:rsidRPr="00C531A2">
              <w:rPr>
                <w:rFonts w:ascii="Times New Roman" w:hAnsi="Times New Roman"/>
                <w:color w:val="000000"/>
                <w:sz w:val="22"/>
              </w:rPr>
              <w:t>рпске</w:t>
            </w:r>
          </w:p>
        </w:tc>
        <w:tc>
          <w:tcPr>
            <w:tcW w:w="887" w:type="pct"/>
            <w:gridSpan w:val="2"/>
            <w:tcBorders>
              <w:top w:val="nil"/>
              <w:left w:val="nil"/>
              <w:bottom w:val="single" w:sz="4" w:space="0" w:color="auto"/>
              <w:right w:val="single" w:sz="4" w:space="0" w:color="auto"/>
            </w:tcBorders>
            <w:vAlign w:val="center"/>
            <w:hideMark/>
          </w:tcPr>
          <w:p w14:paraId="4DE27480" w14:textId="77777777" w:rsidR="00293F00" w:rsidRPr="00C531A2" w:rsidRDefault="00293F00" w:rsidP="00725D9F">
            <w:pPr>
              <w:jc w:val="right"/>
              <w:rPr>
                <w:rFonts w:ascii="Times New Roman" w:hAnsi="Times New Roman"/>
                <w:color w:val="000000"/>
                <w:sz w:val="22"/>
              </w:rPr>
            </w:pPr>
            <w:r w:rsidRPr="00C531A2">
              <w:rPr>
                <w:rFonts w:ascii="Times New Roman" w:hAnsi="Times New Roman"/>
                <w:color w:val="000000"/>
                <w:sz w:val="22"/>
              </w:rPr>
              <w:t>81.000.000</w:t>
            </w:r>
          </w:p>
        </w:tc>
        <w:tc>
          <w:tcPr>
            <w:tcW w:w="378" w:type="pct"/>
            <w:gridSpan w:val="2"/>
            <w:vAlign w:val="center"/>
            <w:hideMark/>
          </w:tcPr>
          <w:p w14:paraId="039C2B25" w14:textId="77777777" w:rsidR="00293F00" w:rsidRPr="00C531A2" w:rsidRDefault="00293F00" w:rsidP="00725D9F">
            <w:pPr>
              <w:rPr>
                <w:rFonts w:ascii="Times New Roman" w:hAnsi="Times New Roman"/>
                <w:sz w:val="22"/>
              </w:rPr>
            </w:pPr>
          </w:p>
        </w:tc>
      </w:tr>
      <w:tr w:rsidR="00502209" w:rsidRPr="00C531A2" w14:paraId="40F3DAC6" w14:textId="77777777" w:rsidTr="00502209">
        <w:trPr>
          <w:trHeight w:val="600"/>
        </w:trPr>
        <w:tc>
          <w:tcPr>
            <w:tcW w:w="387" w:type="pct"/>
            <w:tcBorders>
              <w:top w:val="nil"/>
              <w:left w:val="single" w:sz="4" w:space="0" w:color="auto"/>
              <w:bottom w:val="single" w:sz="4" w:space="0" w:color="auto"/>
              <w:right w:val="single" w:sz="4" w:space="0" w:color="auto"/>
            </w:tcBorders>
            <w:noWrap/>
            <w:vAlign w:val="center"/>
            <w:hideMark/>
          </w:tcPr>
          <w:p w14:paraId="5BB1F9EE" w14:textId="77777777" w:rsidR="00293F00" w:rsidRPr="00C531A2" w:rsidRDefault="00293F00" w:rsidP="00725D9F">
            <w:pPr>
              <w:jc w:val="center"/>
              <w:rPr>
                <w:rFonts w:ascii="Times New Roman" w:hAnsi="Times New Roman"/>
                <w:color w:val="000000"/>
                <w:sz w:val="22"/>
              </w:rPr>
            </w:pPr>
            <w:r w:rsidRPr="00C531A2">
              <w:rPr>
                <w:rFonts w:ascii="Times New Roman" w:hAnsi="Times New Roman"/>
                <w:color w:val="000000"/>
                <w:sz w:val="22"/>
              </w:rPr>
              <w:lastRenderedPageBreak/>
              <w:t>22</w:t>
            </w:r>
          </w:p>
        </w:tc>
        <w:tc>
          <w:tcPr>
            <w:tcW w:w="1613" w:type="pct"/>
            <w:tcBorders>
              <w:top w:val="nil"/>
              <w:left w:val="nil"/>
              <w:bottom w:val="single" w:sz="4" w:space="0" w:color="auto"/>
              <w:right w:val="single" w:sz="4" w:space="0" w:color="auto"/>
            </w:tcBorders>
            <w:vAlign w:val="center"/>
            <w:hideMark/>
          </w:tcPr>
          <w:p w14:paraId="55CE0E0E" w14:textId="77777777" w:rsidR="00293F00" w:rsidRPr="00C531A2" w:rsidRDefault="00293F00" w:rsidP="00725D9F">
            <w:pPr>
              <w:rPr>
                <w:rFonts w:ascii="Times New Roman" w:hAnsi="Times New Roman"/>
                <w:color w:val="000000"/>
                <w:sz w:val="22"/>
              </w:rPr>
            </w:pPr>
            <w:r w:rsidRPr="00C531A2">
              <w:rPr>
                <w:rFonts w:ascii="Times New Roman" w:hAnsi="Times New Roman"/>
                <w:color w:val="000000"/>
                <w:sz w:val="22"/>
              </w:rPr>
              <w:t>Министарство за рад, запошљавање, борачка и социјална питања</w:t>
            </w:r>
          </w:p>
        </w:tc>
        <w:tc>
          <w:tcPr>
            <w:tcW w:w="1735" w:type="pct"/>
            <w:tcBorders>
              <w:top w:val="nil"/>
              <w:left w:val="nil"/>
              <w:bottom w:val="single" w:sz="4" w:space="0" w:color="auto"/>
              <w:right w:val="single" w:sz="4" w:space="0" w:color="auto"/>
            </w:tcBorders>
            <w:vAlign w:val="center"/>
            <w:hideMark/>
          </w:tcPr>
          <w:p w14:paraId="5CFE0CD2" w14:textId="77777777" w:rsidR="00293F00" w:rsidRPr="00C531A2" w:rsidRDefault="00293F00" w:rsidP="00725D9F">
            <w:pPr>
              <w:rPr>
                <w:rFonts w:ascii="Times New Roman" w:hAnsi="Times New Roman"/>
                <w:color w:val="000000"/>
                <w:sz w:val="22"/>
              </w:rPr>
            </w:pPr>
            <w:r w:rsidRPr="00C531A2">
              <w:rPr>
                <w:rFonts w:ascii="Times New Roman" w:hAnsi="Times New Roman"/>
                <w:color w:val="000000"/>
                <w:sz w:val="22"/>
              </w:rPr>
              <w:t>Закон о социјалној заштити</w:t>
            </w:r>
          </w:p>
        </w:tc>
        <w:tc>
          <w:tcPr>
            <w:tcW w:w="887" w:type="pct"/>
            <w:gridSpan w:val="2"/>
            <w:tcBorders>
              <w:top w:val="nil"/>
              <w:left w:val="nil"/>
              <w:bottom w:val="single" w:sz="4" w:space="0" w:color="auto"/>
              <w:right w:val="single" w:sz="4" w:space="0" w:color="auto"/>
            </w:tcBorders>
            <w:noWrap/>
            <w:vAlign w:val="center"/>
            <w:hideMark/>
          </w:tcPr>
          <w:p w14:paraId="193EB70C" w14:textId="77777777" w:rsidR="00293F00" w:rsidRPr="00C531A2" w:rsidRDefault="00293F00" w:rsidP="00725D9F">
            <w:pPr>
              <w:jc w:val="right"/>
              <w:rPr>
                <w:rFonts w:ascii="Times New Roman" w:hAnsi="Times New Roman"/>
                <w:color w:val="000000"/>
                <w:sz w:val="22"/>
              </w:rPr>
            </w:pPr>
            <w:r w:rsidRPr="00C531A2">
              <w:rPr>
                <w:rFonts w:ascii="Times New Roman" w:hAnsi="Times New Roman"/>
                <w:color w:val="000000"/>
                <w:sz w:val="22"/>
              </w:rPr>
              <w:t>186.140.000</w:t>
            </w:r>
          </w:p>
        </w:tc>
        <w:tc>
          <w:tcPr>
            <w:tcW w:w="378" w:type="pct"/>
            <w:gridSpan w:val="2"/>
            <w:vAlign w:val="center"/>
            <w:hideMark/>
          </w:tcPr>
          <w:p w14:paraId="16010A46" w14:textId="77777777" w:rsidR="00293F00" w:rsidRPr="00C531A2" w:rsidRDefault="00293F00" w:rsidP="00725D9F">
            <w:pPr>
              <w:rPr>
                <w:rFonts w:ascii="Times New Roman" w:hAnsi="Times New Roman"/>
                <w:sz w:val="22"/>
              </w:rPr>
            </w:pPr>
          </w:p>
        </w:tc>
      </w:tr>
      <w:tr w:rsidR="00502209" w:rsidRPr="00C531A2" w14:paraId="7B505B02" w14:textId="77777777" w:rsidTr="00502209">
        <w:trPr>
          <w:trHeight w:val="300"/>
        </w:trPr>
        <w:tc>
          <w:tcPr>
            <w:tcW w:w="387" w:type="pct"/>
            <w:tcBorders>
              <w:top w:val="nil"/>
              <w:left w:val="single" w:sz="4" w:space="0" w:color="auto"/>
              <w:bottom w:val="single" w:sz="4" w:space="0" w:color="auto"/>
              <w:right w:val="single" w:sz="4" w:space="0" w:color="auto"/>
            </w:tcBorders>
            <w:noWrap/>
            <w:vAlign w:val="center"/>
            <w:hideMark/>
          </w:tcPr>
          <w:p w14:paraId="661CB25F" w14:textId="77777777" w:rsidR="00293F00" w:rsidRPr="00C531A2" w:rsidRDefault="00293F00" w:rsidP="00725D9F">
            <w:pPr>
              <w:jc w:val="center"/>
              <w:rPr>
                <w:rFonts w:ascii="Times New Roman" w:hAnsi="Times New Roman"/>
                <w:color w:val="000000"/>
                <w:sz w:val="22"/>
              </w:rPr>
            </w:pPr>
            <w:r w:rsidRPr="00C531A2">
              <w:rPr>
                <w:rFonts w:ascii="Times New Roman" w:hAnsi="Times New Roman"/>
                <w:color w:val="000000"/>
                <w:sz w:val="22"/>
              </w:rPr>
              <w:t>23</w:t>
            </w:r>
          </w:p>
        </w:tc>
        <w:tc>
          <w:tcPr>
            <w:tcW w:w="1613" w:type="pct"/>
            <w:tcBorders>
              <w:top w:val="nil"/>
              <w:left w:val="nil"/>
              <w:bottom w:val="single" w:sz="4" w:space="0" w:color="auto"/>
              <w:right w:val="single" w:sz="4" w:space="0" w:color="auto"/>
            </w:tcBorders>
            <w:vAlign w:val="center"/>
            <w:hideMark/>
          </w:tcPr>
          <w:p w14:paraId="75F3DB8C" w14:textId="77777777" w:rsidR="00293F00" w:rsidRPr="00C531A2" w:rsidRDefault="00293F00" w:rsidP="00725D9F">
            <w:pPr>
              <w:rPr>
                <w:rFonts w:ascii="Times New Roman" w:hAnsi="Times New Roman"/>
                <w:color w:val="000000"/>
                <w:sz w:val="22"/>
              </w:rPr>
            </w:pPr>
            <w:r w:rsidRPr="00C531A2">
              <w:rPr>
                <w:rFonts w:ascii="Times New Roman" w:hAnsi="Times New Roman"/>
                <w:color w:val="000000"/>
                <w:sz w:val="22"/>
              </w:rPr>
              <w:t>Министарство туризма и омладине</w:t>
            </w:r>
          </w:p>
        </w:tc>
        <w:tc>
          <w:tcPr>
            <w:tcW w:w="1735" w:type="pct"/>
            <w:tcBorders>
              <w:top w:val="nil"/>
              <w:left w:val="nil"/>
              <w:bottom w:val="single" w:sz="4" w:space="0" w:color="auto"/>
              <w:right w:val="single" w:sz="4" w:space="0" w:color="auto"/>
            </w:tcBorders>
            <w:vAlign w:val="center"/>
            <w:hideMark/>
          </w:tcPr>
          <w:p w14:paraId="273A7F6C" w14:textId="77777777" w:rsidR="00293F00" w:rsidRPr="00C531A2" w:rsidRDefault="00293F00" w:rsidP="00725D9F">
            <w:pPr>
              <w:rPr>
                <w:rFonts w:ascii="Times New Roman" w:hAnsi="Times New Roman"/>
                <w:color w:val="000000"/>
                <w:sz w:val="22"/>
              </w:rPr>
            </w:pPr>
            <w:r w:rsidRPr="00C531A2">
              <w:rPr>
                <w:rFonts w:ascii="Times New Roman" w:hAnsi="Times New Roman"/>
                <w:color w:val="000000"/>
                <w:sz w:val="22"/>
              </w:rPr>
              <w:t>Подршка раду „Парк Палић” д.о.о.</w:t>
            </w:r>
          </w:p>
        </w:tc>
        <w:tc>
          <w:tcPr>
            <w:tcW w:w="887" w:type="pct"/>
            <w:gridSpan w:val="2"/>
            <w:tcBorders>
              <w:top w:val="nil"/>
              <w:left w:val="nil"/>
              <w:bottom w:val="single" w:sz="4" w:space="0" w:color="auto"/>
              <w:right w:val="single" w:sz="4" w:space="0" w:color="auto"/>
            </w:tcBorders>
            <w:noWrap/>
            <w:vAlign w:val="center"/>
            <w:hideMark/>
          </w:tcPr>
          <w:p w14:paraId="0A372BED" w14:textId="77777777" w:rsidR="00293F00" w:rsidRPr="00C531A2" w:rsidRDefault="00293F00" w:rsidP="00725D9F">
            <w:pPr>
              <w:jc w:val="right"/>
              <w:rPr>
                <w:rFonts w:ascii="Times New Roman" w:hAnsi="Times New Roman"/>
                <w:color w:val="000000"/>
                <w:sz w:val="22"/>
                <w:highlight w:val="yellow"/>
              </w:rPr>
            </w:pPr>
            <w:r w:rsidRPr="00C531A2">
              <w:rPr>
                <w:rFonts w:ascii="Times New Roman" w:hAnsi="Times New Roman"/>
                <w:color w:val="000000"/>
                <w:sz w:val="22"/>
              </w:rPr>
              <w:t>10.000.000</w:t>
            </w:r>
          </w:p>
        </w:tc>
        <w:tc>
          <w:tcPr>
            <w:tcW w:w="378" w:type="pct"/>
            <w:gridSpan w:val="2"/>
            <w:vAlign w:val="center"/>
            <w:hideMark/>
          </w:tcPr>
          <w:p w14:paraId="019CE6D6" w14:textId="77777777" w:rsidR="00293F00" w:rsidRPr="00C531A2" w:rsidRDefault="00293F00" w:rsidP="00725D9F">
            <w:pPr>
              <w:rPr>
                <w:rFonts w:ascii="Times New Roman" w:hAnsi="Times New Roman"/>
                <w:sz w:val="22"/>
              </w:rPr>
            </w:pPr>
          </w:p>
        </w:tc>
      </w:tr>
      <w:tr w:rsidR="00502209" w:rsidRPr="00C531A2" w14:paraId="301D1B63" w14:textId="77777777" w:rsidTr="00502209">
        <w:trPr>
          <w:trHeight w:val="300"/>
        </w:trPr>
        <w:tc>
          <w:tcPr>
            <w:tcW w:w="387" w:type="pct"/>
            <w:tcBorders>
              <w:top w:val="nil"/>
              <w:left w:val="single" w:sz="4" w:space="0" w:color="auto"/>
              <w:bottom w:val="single" w:sz="4" w:space="0" w:color="auto"/>
              <w:right w:val="single" w:sz="4" w:space="0" w:color="auto"/>
            </w:tcBorders>
            <w:noWrap/>
            <w:vAlign w:val="center"/>
            <w:hideMark/>
          </w:tcPr>
          <w:p w14:paraId="54C04F91" w14:textId="77777777" w:rsidR="00293F00" w:rsidRPr="00C531A2" w:rsidRDefault="00293F00" w:rsidP="00725D9F">
            <w:pPr>
              <w:jc w:val="center"/>
              <w:rPr>
                <w:rFonts w:ascii="Times New Roman" w:hAnsi="Times New Roman"/>
                <w:color w:val="000000"/>
                <w:sz w:val="22"/>
              </w:rPr>
            </w:pPr>
            <w:r w:rsidRPr="00C531A2">
              <w:rPr>
                <w:rFonts w:ascii="Times New Roman" w:hAnsi="Times New Roman"/>
                <w:color w:val="000000"/>
                <w:sz w:val="22"/>
              </w:rPr>
              <w:t>24</w:t>
            </w:r>
          </w:p>
        </w:tc>
        <w:tc>
          <w:tcPr>
            <w:tcW w:w="1613" w:type="pct"/>
            <w:tcBorders>
              <w:top w:val="nil"/>
              <w:left w:val="nil"/>
              <w:bottom w:val="single" w:sz="4" w:space="0" w:color="auto"/>
              <w:right w:val="single" w:sz="4" w:space="0" w:color="auto"/>
            </w:tcBorders>
            <w:vAlign w:val="center"/>
            <w:hideMark/>
          </w:tcPr>
          <w:p w14:paraId="70B94C02" w14:textId="77777777" w:rsidR="00293F00" w:rsidRPr="00C531A2" w:rsidRDefault="00293F00" w:rsidP="00725D9F">
            <w:pPr>
              <w:rPr>
                <w:rFonts w:ascii="Times New Roman" w:hAnsi="Times New Roman"/>
                <w:color w:val="000000"/>
                <w:sz w:val="22"/>
              </w:rPr>
            </w:pPr>
            <w:r w:rsidRPr="00C531A2">
              <w:rPr>
                <w:rFonts w:ascii="Times New Roman" w:hAnsi="Times New Roman"/>
                <w:color w:val="000000"/>
                <w:sz w:val="22"/>
              </w:rPr>
              <w:t>Министарство информисања и телекомуникација</w:t>
            </w:r>
          </w:p>
        </w:tc>
        <w:tc>
          <w:tcPr>
            <w:tcW w:w="1735" w:type="pct"/>
            <w:tcBorders>
              <w:top w:val="nil"/>
              <w:left w:val="nil"/>
              <w:bottom w:val="single" w:sz="4" w:space="0" w:color="auto"/>
              <w:right w:val="single" w:sz="4" w:space="0" w:color="auto"/>
            </w:tcBorders>
            <w:vAlign w:val="center"/>
            <w:hideMark/>
          </w:tcPr>
          <w:p w14:paraId="0FA5DCDE" w14:textId="77777777" w:rsidR="00293F00" w:rsidRPr="00C531A2" w:rsidRDefault="00293F00" w:rsidP="00725D9F">
            <w:pPr>
              <w:rPr>
                <w:rFonts w:ascii="Times New Roman" w:hAnsi="Times New Roman"/>
                <w:color w:val="000000"/>
                <w:sz w:val="22"/>
              </w:rPr>
            </w:pPr>
            <w:r w:rsidRPr="00C531A2">
              <w:rPr>
                <w:rFonts w:ascii="Times New Roman" w:hAnsi="Times New Roman"/>
                <w:color w:val="000000"/>
                <w:sz w:val="22"/>
              </w:rPr>
              <w:t>Пројектно финансирање јавних медијских сервиса (Радио-телевизија Војводине).</w:t>
            </w:r>
          </w:p>
        </w:tc>
        <w:tc>
          <w:tcPr>
            <w:tcW w:w="887" w:type="pct"/>
            <w:gridSpan w:val="2"/>
            <w:tcBorders>
              <w:top w:val="nil"/>
              <w:left w:val="nil"/>
              <w:bottom w:val="single" w:sz="4" w:space="0" w:color="auto"/>
              <w:right w:val="single" w:sz="4" w:space="0" w:color="auto"/>
            </w:tcBorders>
            <w:noWrap/>
            <w:vAlign w:val="center"/>
            <w:hideMark/>
          </w:tcPr>
          <w:p w14:paraId="6916F91A" w14:textId="77777777" w:rsidR="00293F00" w:rsidRPr="00C531A2" w:rsidRDefault="00293F00" w:rsidP="00725D9F">
            <w:pPr>
              <w:jc w:val="right"/>
              <w:rPr>
                <w:rFonts w:ascii="Times New Roman" w:hAnsi="Times New Roman"/>
                <w:color w:val="000000"/>
                <w:sz w:val="22"/>
                <w:highlight w:val="yellow"/>
              </w:rPr>
            </w:pPr>
            <w:r w:rsidRPr="00C531A2">
              <w:rPr>
                <w:rFonts w:ascii="Times New Roman" w:hAnsi="Times New Roman"/>
                <w:color w:val="000000"/>
                <w:sz w:val="22"/>
              </w:rPr>
              <w:t>20.000.000</w:t>
            </w:r>
          </w:p>
        </w:tc>
        <w:tc>
          <w:tcPr>
            <w:tcW w:w="378" w:type="pct"/>
            <w:gridSpan w:val="2"/>
            <w:vAlign w:val="center"/>
            <w:hideMark/>
          </w:tcPr>
          <w:p w14:paraId="315F4D16" w14:textId="77777777" w:rsidR="00293F00" w:rsidRPr="00C531A2" w:rsidRDefault="00293F00" w:rsidP="00725D9F">
            <w:pPr>
              <w:rPr>
                <w:rFonts w:ascii="Times New Roman" w:hAnsi="Times New Roman"/>
                <w:sz w:val="22"/>
              </w:rPr>
            </w:pPr>
          </w:p>
        </w:tc>
      </w:tr>
      <w:tr w:rsidR="00502209" w:rsidRPr="00C531A2" w14:paraId="073367BA" w14:textId="77777777" w:rsidTr="00502209">
        <w:trPr>
          <w:trHeight w:val="300"/>
        </w:trPr>
        <w:tc>
          <w:tcPr>
            <w:tcW w:w="387" w:type="pct"/>
            <w:tcBorders>
              <w:top w:val="nil"/>
              <w:left w:val="single" w:sz="4" w:space="0" w:color="auto"/>
              <w:bottom w:val="single" w:sz="4" w:space="0" w:color="auto"/>
              <w:right w:val="single" w:sz="4" w:space="0" w:color="auto"/>
            </w:tcBorders>
            <w:noWrap/>
            <w:vAlign w:val="center"/>
            <w:hideMark/>
          </w:tcPr>
          <w:p w14:paraId="67B068FF" w14:textId="77777777" w:rsidR="00293F00" w:rsidRPr="00C531A2" w:rsidRDefault="00293F00" w:rsidP="00725D9F">
            <w:pPr>
              <w:jc w:val="center"/>
              <w:rPr>
                <w:rFonts w:ascii="Times New Roman" w:hAnsi="Times New Roman"/>
                <w:color w:val="000000"/>
                <w:sz w:val="22"/>
              </w:rPr>
            </w:pPr>
            <w:r w:rsidRPr="00C531A2">
              <w:rPr>
                <w:rFonts w:ascii="Times New Roman" w:hAnsi="Times New Roman"/>
                <w:color w:val="000000"/>
                <w:sz w:val="22"/>
              </w:rPr>
              <w:t>25</w:t>
            </w:r>
          </w:p>
        </w:tc>
        <w:tc>
          <w:tcPr>
            <w:tcW w:w="1613" w:type="pct"/>
            <w:tcBorders>
              <w:top w:val="nil"/>
              <w:left w:val="nil"/>
              <w:bottom w:val="single" w:sz="4" w:space="0" w:color="auto"/>
              <w:right w:val="single" w:sz="4" w:space="0" w:color="auto"/>
            </w:tcBorders>
            <w:vAlign w:val="center"/>
            <w:hideMark/>
          </w:tcPr>
          <w:p w14:paraId="75B8FC23" w14:textId="77777777" w:rsidR="00293F00" w:rsidRPr="00C531A2" w:rsidRDefault="00293F00" w:rsidP="00725D9F">
            <w:pPr>
              <w:rPr>
                <w:rFonts w:ascii="Times New Roman" w:hAnsi="Times New Roman"/>
                <w:color w:val="000000"/>
                <w:sz w:val="22"/>
              </w:rPr>
            </w:pPr>
            <w:r w:rsidRPr="00C531A2">
              <w:rPr>
                <w:rFonts w:ascii="Times New Roman" w:hAnsi="Times New Roman"/>
                <w:color w:val="000000"/>
                <w:sz w:val="22"/>
              </w:rPr>
              <w:t>Министарство за јавна улагања</w:t>
            </w:r>
          </w:p>
        </w:tc>
        <w:tc>
          <w:tcPr>
            <w:tcW w:w="1735" w:type="pct"/>
            <w:tcBorders>
              <w:top w:val="nil"/>
              <w:left w:val="nil"/>
              <w:bottom w:val="single" w:sz="4" w:space="0" w:color="auto"/>
              <w:right w:val="single" w:sz="4" w:space="0" w:color="auto"/>
            </w:tcBorders>
            <w:vAlign w:val="center"/>
            <w:hideMark/>
          </w:tcPr>
          <w:p w14:paraId="54ADD46F" w14:textId="77777777" w:rsidR="00293F00" w:rsidRPr="00C531A2" w:rsidRDefault="00293F00" w:rsidP="00725D9F">
            <w:pPr>
              <w:rPr>
                <w:rFonts w:ascii="Times New Roman" w:hAnsi="Times New Roman"/>
                <w:color w:val="000000"/>
                <w:sz w:val="22"/>
              </w:rPr>
            </w:pPr>
            <w:r w:rsidRPr="00C531A2">
              <w:rPr>
                <w:rFonts w:ascii="Times New Roman" w:hAnsi="Times New Roman"/>
                <w:color w:val="000000"/>
                <w:sz w:val="22"/>
              </w:rPr>
              <w:t>Обнова и унапређење објеката јавне намене</w:t>
            </w:r>
          </w:p>
        </w:tc>
        <w:tc>
          <w:tcPr>
            <w:tcW w:w="887" w:type="pct"/>
            <w:gridSpan w:val="2"/>
            <w:tcBorders>
              <w:top w:val="nil"/>
              <w:left w:val="nil"/>
              <w:bottom w:val="single" w:sz="4" w:space="0" w:color="auto"/>
              <w:right w:val="single" w:sz="4" w:space="0" w:color="auto"/>
            </w:tcBorders>
            <w:noWrap/>
            <w:vAlign w:val="center"/>
            <w:hideMark/>
          </w:tcPr>
          <w:p w14:paraId="2BBB7AC5" w14:textId="77777777" w:rsidR="00293F00" w:rsidRPr="00C531A2" w:rsidRDefault="00293F00" w:rsidP="00725D9F">
            <w:pPr>
              <w:jc w:val="right"/>
              <w:rPr>
                <w:rFonts w:ascii="Times New Roman" w:hAnsi="Times New Roman"/>
                <w:color w:val="000000"/>
                <w:sz w:val="22"/>
                <w:highlight w:val="yellow"/>
              </w:rPr>
            </w:pPr>
            <w:r w:rsidRPr="00C531A2">
              <w:rPr>
                <w:rFonts w:ascii="Times New Roman" w:hAnsi="Times New Roman"/>
                <w:color w:val="000000"/>
                <w:sz w:val="22"/>
              </w:rPr>
              <w:t>1.543.610.000</w:t>
            </w:r>
          </w:p>
        </w:tc>
        <w:tc>
          <w:tcPr>
            <w:tcW w:w="378" w:type="pct"/>
            <w:gridSpan w:val="2"/>
            <w:vAlign w:val="center"/>
            <w:hideMark/>
          </w:tcPr>
          <w:p w14:paraId="5261A63E" w14:textId="77777777" w:rsidR="00293F00" w:rsidRPr="00C531A2" w:rsidRDefault="00293F00" w:rsidP="00725D9F">
            <w:pPr>
              <w:rPr>
                <w:rFonts w:ascii="Times New Roman" w:hAnsi="Times New Roman"/>
                <w:sz w:val="22"/>
              </w:rPr>
            </w:pPr>
          </w:p>
        </w:tc>
      </w:tr>
      <w:tr w:rsidR="00502209" w:rsidRPr="00C531A2" w14:paraId="4A22E10C" w14:textId="77777777" w:rsidTr="00502209">
        <w:trPr>
          <w:trHeight w:val="600"/>
        </w:trPr>
        <w:tc>
          <w:tcPr>
            <w:tcW w:w="387" w:type="pct"/>
            <w:tcBorders>
              <w:top w:val="nil"/>
              <w:left w:val="single" w:sz="4" w:space="0" w:color="auto"/>
              <w:bottom w:val="single" w:sz="4" w:space="0" w:color="auto"/>
              <w:right w:val="single" w:sz="4" w:space="0" w:color="auto"/>
            </w:tcBorders>
            <w:noWrap/>
            <w:vAlign w:val="center"/>
            <w:hideMark/>
          </w:tcPr>
          <w:p w14:paraId="5A1EFDD2" w14:textId="77777777" w:rsidR="00293F00" w:rsidRPr="00C531A2" w:rsidRDefault="00293F00" w:rsidP="00725D9F">
            <w:pPr>
              <w:jc w:val="center"/>
              <w:rPr>
                <w:rFonts w:ascii="Times New Roman" w:hAnsi="Times New Roman"/>
                <w:color w:val="000000"/>
                <w:sz w:val="22"/>
              </w:rPr>
            </w:pPr>
            <w:r w:rsidRPr="00C531A2">
              <w:rPr>
                <w:rFonts w:ascii="Times New Roman" w:hAnsi="Times New Roman"/>
                <w:color w:val="000000"/>
                <w:sz w:val="22"/>
              </w:rPr>
              <w:t>26</w:t>
            </w:r>
          </w:p>
        </w:tc>
        <w:tc>
          <w:tcPr>
            <w:tcW w:w="1613" w:type="pct"/>
            <w:tcBorders>
              <w:top w:val="nil"/>
              <w:left w:val="nil"/>
              <w:bottom w:val="single" w:sz="4" w:space="0" w:color="auto"/>
              <w:right w:val="single" w:sz="4" w:space="0" w:color="auto"/>
            </w:tcBorders>
            <w:vAlign w:val="center"/>
            <w:hideMark/>
          </w:tcPr>
          <w:p w14:paraId="71FC446B" w14:textId="77777777" w:rsidR="00293F00" w:rsidRPr="00C531A2" w:rsidRDefault="00293F00" w:rsidP="00725D9F">
            <w:pPr>
              <w:rPr>
                <w:rFonts w:ascii="Times New Roman" w:hAnsi="Times New Roman"/>
                <w:color w:val="000000"/>
                <w:sz w:val="22"/>
              </w:rPr>
            </w:pPr>
            <w:r w:rsidRPr="00C531A2">
              <w:rPr>
                <w:rFonts w:ascii="Times New Roman" w:hAnsi="Times New Roman"/>
                <w:color w:val="000000"/>
                <w:sz w:val="22"/>
              </w:rPr>
              <w:t>Републичка дирекција за имовину Републике Србије</w:t>
            </w:r>
          </w:p>
        </w:tc>
        <w:tc>
          <w:tcPr>
            <w:tcW w:w="1735" w:type="pct"/>
            <w:tcBorders>
              <w:top w:val="nil"/>
              <w:left w:val="nil"/>
              <w:bottom w:val="single" w:sz="4" w:space="0" w:color="auto"/>
              <w:right w:val="single" w:sz="4" w:space="0" w:color="auto"/>
            </w:tcBorders>
            <w:vAlign w:val="center"/>
            <w:hideMark/>
          </w:tcPr>
          <w:p w14:paraId="75D9A29F" w14:textId="77777777" w:rsidR="00293F00" w:rsidRPr="00C531A2" w:rsidRDefault="00293F00" w:rsidP="00725D9F">
            <w:pPr>
              <w:rPr>
                <w:rFonts w:ascii="Times New Roman" w:hAnsi="Times New Roman"/>
                <w:color w:val="000000"/>
                <w:sz w:val="22"/>
              </w:rPr>
            </w:pPr>
            <w:r w:rsidRPr="00C531A2">
              <w:rPr>
                <w:rFonts w:ascii="Times New Roman" w:hAnsi="Times New Roman"/>
                <w:color w:val="000000"/>
                <w:sz w:val="22"/>
              </w:rPr>
              <w:t>Изградња граничног прелаза Сремска Рача</w:t>
            </w:r>
          </w:p>
        </w:tc>
        <w:tc>
          <w:tcPr>
            <w:tcW w:w="887" w:type="pct"/>
            <w:gridSpan w:val="2"/>
            <w:tcBorders>
              <w:top w:val="nil"/>
              <w:left w:val="nil"/>
              <w:bottom w:val="single" w:sz="4" w:space="0" w:color="auto"/>
              <w:right w:val="single" w:sz="4" w:space="0" w:color="auto"/>
            </w:tcBorders>
            <w:noWrap/>
            <w:vAlign w:val="center"/>
            <w:hideMark/>
          </w:tcPr>
          <w:p w14:paraId="3940A160" w14:textId="77777777" w:rsidR="00293F00" w:rsidRPr="00C531A2" w:rsidRDefault="00293F00" w:rsidP="00725D9F">
            <w:pPr>
              <w:jc w:val="right"/>
              <w:rPr>
                <w:rFonts w:ascii="Times New Roman" w:hAnsi="Times New Roman"/>
                <w:color w:val="000000"/>
                <w:sz w:val="22"/>
                <w:highlight w:val="yellow"/>
              </w:rPr>
            </w:pPr>
            <w:r w:rsidRPr="00C531A2">
              <w:rPr>
                <w:rFonts w:ascii="Times New Roman" w:hAnsi="Times New Roman"/>
                <w:color w:val="000000"/>
                <w:sz w:val="22"/>
              </w:rPr>
              <w:t>3.200.000.000</w:t>
            </w:r>
          </w:p>
        </w:tc>
        <w:tc>
          <w:tcPr>
            <w:tcW w:w="378" w:type="pct"/>
            <w:gridSpan w:val="2"/>
            <w:vAlign w:val="center"/>
            <w:hideMark/>
          </w:tcPr>
          <w:p w14:paraId="7F7BC433" w14:textId="77777777" w:rsidR="00293F00" w:rsidRPr="00C531A2" w:rsidRDefault="00293F00" w:rsidP="00725D9F">
            <w:pPr>
              <w:rPr>
                <w:rFonts w:ascii="Times New Roman" w:hAnsi="Times New Roman"/>
                <w:sz w:val="22"/>
              </w:rPr>
            </w:pPr>
          </w:p>
        </w:tc>
      </w:tr>
      <w:tr w:rsidR="00502209" w:rsidRPr="00C531A2" w14:paraId="338B635B" w14:textId="77777777" w:rsidTr="00502209">
        <w:trPr>
          <w:trHeight w:val="300"/>
        </w:trPr>
        <w:tc>
          <w:tcPr>
            <w:tcW w:w="387" w:type="pct"/>
            <w:tcBorders>
              <w:top w:val="nil"/>
              <w:left w:val="single" w:sz="4" w:space="0" w:color="auto"/>
              <w:bottom w:val="single" w:sz="4" w:space="0" w:color="auto"/>
              <w:right w:val="single" w:sz="4" w:space="0" w:color="auto"/>
            </w:tcBorders>
            <w:noWrap/>
            <w:vAlign w:val="center"/>
            <w:hideMark/>
          </w:tcPr>
          <w:p w14:paraId="37206167" w14:textId="77777777" w:rsidR="00293F00" w:rsidRPr="00C531A2" w:rsidRDefault="00293F00" w:rsidP="00725D9F">
            <w:pPr>
              <w:jc w:val="center"/>
              <w:rPr>
                <w:rFonts w:ascii="Times New Roman" w:hAnsi="Times New Roman"/>
                <w:b/>
                <w:bCs/>
                <w:color w:val="000000"/>
                <w:sz w:val="22"/>
              </w:rPr>
            </w:pPr>
            <w:r w:rsidRPr="00C531A2">
              <w:rPr>
                <w:rFonts w:ascii="Times New Roman" w:hAnsi="Times New Roman"/>
                <w:b/>
                <w:bCs/>
                <w:color w:val="000000"/>
                <w:sz w:val="22"/>
              </w:rPr>
              <w:t>II</w:t>
            </w:r>
          </w:p>
        </w:tc>
        <w:tc>
          <w:tcPr>
            <w:tcW w:w="1613" w:type="pct"/>
            <w:tcBorders>
              <w:top w:val="nil"/>
              <w:left w:val="nil"/>
              <w:bottom w:val="single" w:sz="4" w:space="0" w:color="auto"/>
              <w:right w:val="single" w:sz="4" w:space="0" w:color="auto"/>
            </w:tcBorders>
            <w:noWrap/>
            <w:vAlign w:val="center"/>
            <w:hideMark/>
          </w:tcPr>
          <w:p w14:paraId="7045704D" w14:textId="77777777" w:rsidR="00293F00" w:rsidRPr="00C531A2" w:rsidRDefault="00293F00" w:rsidP="00725D9F">
            <w:pPr>
              <w:jc w:val="right"/>
              <w:rPr>
                <w:rFonts w:ascii="Times New Roman" w:hAnsi="Times New Roman"/>
                <w:b/>
                <w:bCs/>
                <w:color w:val="000000"/>
                <w:sz w:val="22"/>
              </w:rPr>
            </w:pPr>
            <w:r w:rsidRPr="00C531A2">
              <w:rPr>
                <w:rFonts w:ascii="Times New Roman" w:hAnsi="Times New Roman"/>
                <w:b/>
                <w:bCs/>
                <w:color w:val="000000"/>
                <w:sz w:val="22"/>
              </w:rPr>
              <w:t>СВЕГА (од 11 до 26)</w:t>
            </w:r>
          </w:p>
        </w:tc>
        <w:tc>
          <w:tcPr>
            <w:tcW w:w="1735" w:type="pct"/>
            <w:tcBorders>
              <w:top w:val="nil"/>
              <w:left w:val="nil"/>
              <w:bottom w:val="single" w:sz="4" w:space="0" w:color="auto"/>
              <w:right w:val="single" w:sz="4" w:space="0" w:color="auto"/>
            </w:tcBorders>
            <w:noWrap/>
            <w:vAlign w:val="center"/>
            <w:hideMark/>
          </w:tcPr>
          <w:p w14:paraId="32F2298B" w14:textId="77777777" w:rsidR="00293F00" w:rsidRPr="00C531A2" w:rsidRDefault="00293F00" w:rsidP="00725D9F">
            <w:pPr>
              <w:rPr>
                <w:rFonts w:ascii="Times New Roman" w:hAnsi="Times New Roman"/>
                <w:color w:val="000000"/>
                <w:sz w:val="22"/>
              </w:rPr>
            </w:pPr>
            <w:r w:rsidRPr="00C531A2">
              <w:rPr>
                <w:rFonts w:ascii="Times New Roman" w:hAnsi="Times New Roman"/>
                <w:color w:val="000000"/>
                <w:sz w:val="22"/>
              </w:rPr>
              <w:t> </w:t>
            </w:r>
          </w:p>
        </w:tc>
        <w:tc>
          <w:tcPr>
            <w:tcW w:w="887" w:type="pct"/>
            <w:gridSpan w:val="2"/>
            <w:tcBorders>
              <w:top w:val="nil"/>
              <w:left w:val="nil"/>
              <w:bottom w:val="single" w:sz="4" w:space="0" w:color="auto"/>
              <w:right w:val="single" w:sz="4" w:space="0" w:color="auto"/>
            </w:tcBorders>
            <w:noWrap/>
            <w:vAlign w:val="center"/>
            <w:hideMark/>
          </w:tcPr>
          <w:p w14:paraId="0F307ECF" w14:textId="14954049" w:rsidR="00293F00" w:rsidRPr="00C531A2" w:rsidRDefault="00ED7751" w:rsidP="00725D9F">
            <w:pPr>
              <w:jc w:val="right"/>
              <w:rPr>
                <w:rFonts w:ascii="Times New Roman" w:hAnsi="Times New Roman"/>
                <w:b/>
                <w:bCs/>
                <w:color w:val="000000"/>
                <w:sz w:val="22"/>
              </w:rPr>
            </w:pPr>
            <w:r w:rsidRPr="00C531A2">
              <w:rPr>
                <w:rFonts w:ascii="Times New Roman" w:hAnsi="Times New Roman"/>
                <w:b/>
                <w:bCs/>
                <w:color w:val="000000"/>
                <w:sz w:val="22"/>
              </w:rPr>
              <w:t>183.7</w:t>
            </w:r>
            <w:r w:rsidR="006C2715" w:rsidRPr="00C531A2">
              <w:rPr>
                <w:rFonts w:ascii="Times New Roman" w:hAnsi="Times New Roman"/>
                <w:b/>
                <w:bCs/>
                <w:color w:val="000000"/>
                <w:sz w:val="22"/>
              </w:rPr>
              <w:t>60</w:t>
            </w:r>
            <w:r w:rsidRPr="00C531A2">
              <w:rPr>
                <w:rFonts w:ascii="Times New Roman" w:hAnsi="Times New Roman"/>
                <w:b/>
                <w:bCs/>
                <w:color w:val="000000"/>
                <w:sz w:val="22"/>
              </w:rPr>
              <w:t>.898</w:t>
            </w:r>
            <w:r w:rsidR="00293F00" w:rsidRPr="00C531A2">
              <w:rPr>
                <w:rFonts w:ascii="Times New Roman" w:hAnsi="Times New Roman"/>
                <w:b/>
                <w:bCs/>
                <w:color w:val="000000"/>
                <w:sz w:val="22"/>
              </w:rPr>
              <w:t>.000</w:t>
            </w:r>
          </w:p>
        </w:tc>
        <w:tc>
          <w:tcPr>
            <w:tcW w:w="378" w:type="pct"/>
            <w:gridSpan w:val="2"/>
            <w:vAlign w:val="center"/>
            <w:hideMark/>
          </w:tcPr>
          <w:p w14:paraId="527D7F59" w14:textId="77777777" w:rsidR="00293F00" w:rsidRPr="00C531A2" w:rsidRDefault="00293F00" w:rsidP="00725D9F">
            <w:pPr>
              <w:rPr>
                <w:rFonts w:ascii="Times New Roman" w:hAnsi="Times New Roman"/>
                <w:sz w:val="22"/>
              </w:rPr>
            </w:pPr>
          </w:p>
        </w:tc>
      </w:tr>
      <w:tr w:rsidR="00502209" w:rsidRPr="00C531A2" w14:paraId="309CB888" w14:textId="77777777" w:rsidTr="00502209">
        <w:trPr>
          <w:gridAfter w:val="1"/>
          <w:wAfter w:w="5" w:type="pct"/>
          <w:trHeight w:val="300"/>
        </w:trPr>
        <w:tc>
          <w:tcPr>
            <w:tcW w:w="387" w:type="pct"/>
            <w:tcBorders>
              <w:top w:val="nil"/>
              <w:left w:val="single" w:sz="4" w:space="0" w:color="auto"/>
              <w:bottom w:val="single" w:sz="4" w:space="0" w:color="auto"/>
              <w:right w:val="single" w:sz="4" w:space="0" w:color="auto"/>
            </w:tcBorders>
            <w:shd w:val="clear" w:color="000000" w:fill="A6A6A6"/>
            <w:noWrap/>
            <w:vAlign w:val="center"/>
            <w:hideMark/>
          </w:tcPr>
          <w:p w14:paraId="056F74BA" w14:textId="77777777" w:rsidR="00293F00" w:rsidRPr="00C531A2" w:rsidRDefault="00293F00" w:rsidP="00725D9F">
            <w:pPr>
              <w:jc w:val="center"/>
              <w:rPr>
                <w:rFonts w:ascii="Times New Roman" w:hAnsi="Times New Roman"/>
                <w:b/>
                <w:bCs/>
                <w:color w:val="000000"/>
                <w:sz w:val="22"/>
              </w:rPr>
            </w:pPr>
            <w:r w:rsidRPr="00C531A2">
              <w:rPr>
                <w:rFonts w:ascii="Times New Roman" w:hAnsi="Times New Roman"/>
                <w:b/>
                <w:bCs/>
                <w:color w:val="000000"/>
                <w:sz w:val="22"/>
              </w:rPr>
              <w:t> </w:t>
            </w:r>
          </w:p>
        </w:tc>
        <w:tc>
          <w:tcPr>
            <w:tcW w:w="3352" w:type="pct"/>
            <w:gridSpan w:val="3"/>
            <w:tcBorders>
              <w:top w:val="single" w:sz="4" w:space="0" w:color="auto"/>
              <w:left w:val="nil"/>
              <w:bottom w:val="single" w:sz="4" w:space="0" w:color="auto"/>
              <w:right w:val="single" w:sz="4" w:space="0" w:color="auto"/>
            </w:tcBorders>
            <w:shd w:val="clear" w:color="000000" w:fill="A6A6A6"/>
            <w:noWrap/>
            <w:vAlign w:val="center"/>
            <w:hideMark/>
          </w:tcPr>
          <w:p w14:paraId="1FDDAECE" w14:textId="77777777" w:rsidR="00293F00" w:rsidRPr="00C531A2" w:rsidRDefault="00293F00" w:rsidP="00725D9F">
            <w:pPr>
              <w:jc w:val="right"/>
              <w:rPr>
                <w:rFonts w:ascii="Times New Roman" w:hAnsi="Times New Roman"/>
                <w:b/>
                <w:bCs/>
                <w:color w:val="000000"/>
                <w:sz w:val="22"/>
              </w:rPr>
            </w:pPr>
            <w:r w:rsidRPr="00C531A2">
              <w:rPr>
                <w:rFonts w:ascii="Times New Roman" w:hAnsi="Times New Roman"/>
                <w:b/>
                <w:bCs/>
                <w:color w:val="000000"/>
                <w:sz w:val="22"/>
              </w:rPr>
              <w:t>УКУПНО (I+II)  </w:t>
            </w:r>
          </w:p>
        </w:tc>
        <w:tc>
          <w:tcPr>
            <w:tcW w:w="882" w:type="pct"/>
            <w:tcBorders>
              <w:top w:val="nil"/>
              <w:left w:val="nil"/>
              <w:bottom w:val="single" w:sz="4" w:space="0" w:color="auto"/>
              <w:right w:val="single" w:sz="4" w:space="0" w:color="auto"/>
            </w:tcBorders>
            <w:shd w:val="clear" w:color="000000" w:fill="A6A6A6"/>
            <w:noWrap/>
            <w:vAlign w:val="center"/>
          </w:tcPr>
          <w:p w14:paraId="1687E743" w14:textId="3B1ECE75" w:rsidR="00293F00" w:rsidRPr="00C531A2" w:rsidRDefault="00ED7751" w:rsidP="00725D9F">
            <w:pPr>
              <w:jc w:val="right"/>
              <w:rPr>
                <w:rFonts w:ascii="Times New Roman" w:hAnsi="Times New Roman"/>
                <w:b/>
                <w:bCs/>
                <w:color w:val="000000"/>
                <w:sz w:val="22"/>
              </w:rPr>
            </w:pPr>
            <w:r w:rsidRPr="00C531A2">
              <w:rPr>
                <w:rFonts w:ascii="Times New Roman" w:hAnsi="Times New Roman"/>
                <w:b/>
                <w:bCs/>
                <w:color w:val="000000"/>
                <w:sz w:val="22"/>
              </w:rPr>
              <w:t>194.5</w:t>
            </w:r>
            <w:r w:rsidR="006C2715" w:rsidRPr="00C531A2">
              <w:rPr>
                <w:rFonts w:ascii="Times New Roman" w:hAnsi="Times New Roman"/>
                <w:b/>
                <w:bCs/>
                <w:color w:val="000000"/>
                <w:sz w:val="22"/>
              </w:rPr>
              <w:t>90</w:t>
            </w:r>
            <w:r w:rsidRPr="00C531A2">
              <w:rPr>
                <w:rFonts w:ascii="Times New Roman" w:hAnsi="Times New Roman"/>
                <w:b/>
                <w:bCs/>
                <w:color w:val="000000"/>
                <w:sz w:val="22"/>
              </w:rPr>
              <w:t>.952</w:t>
            </w:r>
            <w:r w:rsidR="00293F00" w:rsidRPr="00C531A2">
              <w:rPr>
                <w:rFonts w:ascii="Times New Roman" w:hAnsi="Times New Roman"/>
                <w:b/>
                <w:bCs/>
                <w:color w:val="000000"/>
                <w:sz w:val="22"/>
              </w:rPr>
              <w:t>.000</w:t>
            </w:r>
          </w:p>
        </w:tc>
        <w:tc>
          <w:tcPr>
            <w:tcW w:w="373" w:type="pct"/>
            <w:vAlign w:val="center"/>
            <w:hideMark/>
          </w:tcPr>
          <w:p w14:paraId="76BFA152" w14:textId="77777777" w:rsidR="00293F00" w:rsidRPr="00C531A2" w:rsidRDefault="00293F00" w:rsidP="00725D9F">
            <w:pPr>
              <w:rPr>
                <w:rFonts w:ascii="Times New Roman" w:hAnsi="Times New Roman"/>
                <w:sz w:val="22"/>
              </w:rPr>
            </w:pPr>
          </w:p>
        </w:tc>
      </w:tr>
    </w:tbl>
    <w:p w14:paraId="0760090F" w14:textId="77777777" w:rsidR="00293F00" w:rsidRPr="00C531A2" w:rsidRDefault="00293F00" w:rsidP="00293F00">
      <w:pPr>
        <w:rPr>
          <w:rFonts w:ascii="Times New Roman" w:hAnsi="Times New Roman"/>
        </w:rPr>
      </w:pPr>
    </w:p>
    <w:p w14:paraId="7F3AD78E" w14:textId="014BC767" w:rsidR="00E76809" w:rsidRPr="00C531A2" w:rsidRDefault="00F33D49" w:rsidP="00827361">
      <w:pPr>
        <w:tabs>
          <w:tab w:val="left" w:pos="720"/>
        </w:tabs>
        <w:outlineLvl w:val="0"/>
        <w:rPr>
          <w:rStyle w:val="CharCharChar5"/>
          <w:rFonts w:ascii="Times New Roman" w:hAnsi="Times New Roman"/>
          <w:szCs w:val="24"/>
          <w:lang w:val="sr-Cyrl-RS"/>
        </w:rPr>
      </w:pPr>
      <w:r w:rsidRPr="00C531A2">
        <w:rPr>
          <w:rStyle w:val="CharCharChar5"/>
          <w:rFonts w:ascii="Times New Roman" w:hAnsi="Times New Roman"/>
          <w:szCs w:val="24"/>
          <w:lang w:val="sr-Cyrl-RS"/>
        </w:rPr>
        <w:tab/>
      </w:r>
      <w:r w:rsidR="007104F0" w:rsidRPr="00C531A2">
        <w:rPr>
          <w:rStyle w:val="CharCharChar5"/>
          <w:rFonts w:ascii="Times New Roman" w:hAnsi="Times New Roman"/>
          <w:szCs w:val="24"/>
          <w:lang w:val="sr-Cyrl-RS"/>
        </w:rPr>
        <w:t>У складу са Законом о финансирању локалне самоуправе утврђен је годишњи износ укупног ненаменског трансфера, који се распоређује јединицама локалне самоуправе, у укупном износу од</w:t>
      </w:r>
      <w:r w:rsidR="001D6C5D" w:rsidRPr="00C531A2">
        <w:rPr>
          <w:rStyle w:val="CharCharChar5"/>
          <w:rFonts w:ascii="Times New Roman" w:hAnsi="Times New Roman"/>
          <w:szCs w:val="24"/>
          <w:lang w:val="sr-Cyrl-RS"/>
        </w:rPr>
        <w:t xml:space="preserve"> 33,3 млрд</w:t>
      </w:r>
      <w:r w:rsidR="007104F0" w:rsidRPr="00C531A2">
        <w:rPr>
          <w:rStyle w:val="CharCharChar5"/>
          <w:rFonts w:ascii="Times New Roman" w:hAnsi="Times New Roman"/>
          <w:szCs w:val="24"/>
          <w:lang w:val="sr-Cyrl-RS"/>
        </w:rPr>
        <w:t xml:space="preserve"> динара</w:t>
      </w:r>
      <w:r w:rsidR="003553BC" w:rsidRPr="00C531A2">
        <w:rPr>
          <w:rStyle w:val="CharCharChar5"/>
          <w:rFonts w:ascii="Times New Roman" w:hAnsi="Times New Roman"/>
          <w:szCs w:val="24"/>
          <w:lang w:val="sr-Cyrl-RS"/>
        </w:rPr>
        <w:t>.</w:t>
      </w:r>
    </w:p>
    <w:p w14:paraId="416982DE" w14:textId="57A17A3E" w:rsidR="00493E41" w:rsidRPr="00C531A2" w:rsidRDefault="004467A9" w:rsidP="008C16FD">
      <w:pPr>
        <w:rPr>
          <w:rStyle w:val="CharCharChar5"/>
          <w:rFonts w:ascii="Times New Roman" w:hAnsi="Times New Roman"/>
          <w:szCs w:val="24"/>
          <w:lang w:val="sr-Cyrl-RS"/>
        </w:rPr>
      </w:pPr>
      <w:r w:rsidRPr="00C531A2">
        <w:rPr>
          <w:rStyle w:val="CharCharChar5"/>
          <w:rFonts w:ascii="Times New Roman" w:hAnsi="Times New Roman"/>
          <w:szCs w:val="24"/>
          <w:lang w:val="sr-Cyrl-RS"/>
        </w:rPr>
        <w:tab/>
        <w:t>Остали трансфери (наменски) планирани су</w:t>
      </w:r>
      <w:r w:rsidR="00035478" w:rsidRPr="00C531A2">
        <w:rPr>
          <w:rStyle w:val="CharCharChar5"/>
          <w:rFonts w:ascii="Times New Roman" w:hAnsi="Times New Roman"/>
          <w:szCs w:val="24"/>
          <w:lang w:val="sr-Cyrl-RS"/>
        </w:rPr>
        <w:t xml:space="preserve"> за</w:t>
      </w:r>
      <w:r w:rsidR="00975661" w:rsidRPr="00C531A2">
        <w:rPr>
          <w:rStyle w:val="CharCharChar5"/>
          <w:rFonts w:ascii="Times New Roman" w:hAnsi="Times New Roman"/>
          <w:szCs w:val="24"/>
          <w:lang w:val="sr-Cyrl-RS"/>
        </w:rPr>
        <w:t>:</w:t>
      </w:r>
      <w:r w:rsidR="00035478" w:rsidRPr="00C531A2">
        <w:rPr>
          <w:rStyle w:val="CharCharChar5"/>
          <w:rFonts w:ascii="Times New Roman" w:hAnsi="Times New Roman"/>
          <w:szCs w:val="24"/>
          <w:lang w:val="sr-Cyrl-RS"/>
        </w:rPr>
        <w:t xml:space="preserve"> </w:t>
      </w:r>
      <w:r w:rsidR="00CC0BEF" w:rsidRPr="00C531A2">
        <w:rPr>
          <w:rStyle w:val="CharCharChar5"/>
          <w:rFonts w:ascii="Times New Roman" w:hAnsi="Times New Roman"/>
          <w:szCs w:val="24"/>
          <w:lang w:val="sr-Cyrl-RS"/>
        </w:rPr>
        <w:t>подршк</w:t>
      </w:r>
      <w:r w:rsidR="00F27604" w:rsidRPr="00C531A2">
        <w:rPr>
          <w:rStyle w:val="CharCharChar5"/>
          <w:rFonts w:ascii="Times New Roman" w:hAnsi="Times New Roman"/>
          <w:szCs w:val="24"/>
          <w:lang w:val="sr-Cyrl-RS"/>
        </w:rPr>
        <w:t>у</w:t>
      </w:r>
      <w:r w:rsidR="00CC0BEF" w:rsidRPr="00C531A2">
        <w:rPr>
          <w:rStyle w:val="CharCharChar5"/>
          <w:rFonts w:ascii="Times New Roman" w:hAnsi="Times New Roman"/>
          <w:szCs w:val="24"/>
          <w:lang w:val="sr-Cyrl-RS"/>
        </w:rPr>
        <w:t xml:space="preserve"> функционисању установа и организација на територији АП Косово и Метохија </w:t>
      </w:r>
      <w:r w:rsidR="0071189C" w:rsidRPr="00C531A2">
        <w:rPr>
          <w:rStyle w:val="CharCharChar5"/>
          <w:rFonts w:ascii="Times New Roman" w:hAnsi="Times New Roman"/>
          <w:szCs w:val="24"/>
          <w:lang w:val="sr-Cyrl-RS"/>
        </w:rPr>
        <w:t xml:space="preserve">као и за изградњу и реконструкцију стамбених објеката </w:t>
      </w:r>
      <w:r w:rsidR="00035478" w:rsidRPr="00C531A2">
        <w:rPr>
          <w:rStyle w:val="CharCharChar5"/>
          <w:rFonts w:ascii="Times New Roman" w:hAnsi="Times New Roman"/>
          <w:szCs w:val="24"/>
          <w:lang w:val="sr-Cyrl-RS"/>
        </w:rPr>
        <w:t xml:space="preserve">на територији АП Косово и Метохија, </w:t>
      </w:r>
      <w:r w:rsidR="0005130A" w:rsidRPr="00C531A2">
        <w:rPr>
          <w:rStyle w:val="CharCharChar5"/>
          <w:rFonts w:ascii="Times New Roman" w:hAnsi="Times New Roman"/>
          <w:szCs w:val="24"/>
          <w:lang w:val="sr-Cyrl-RS"/>
        </w:rPr>
        <w:t>изградњу београдског метроа;</w:t>
      </w:r>
      <w:r w:rsidR="0005130A" w:rsidRPr="00C531A2">
        <w:rPr>
          <w:rFonts w:ascii="Times New Roman" w:hAnsi="Times New Roman"/>
        </w:rPr>
        <w:t xml:space="preserve"> </w:t>
      </w:r>
      <w:r w:rsidR="00CC0BEF" w:rsidRPr="00C531A2">
        <w:rPr>
          <w:rStyle w:val="CharCharChar5"/>
          <w:rFonts w:ascii="Times New Roman" w:hAnsi="Times New Roman"/>
          <w:szCs w:val="24"/>
          <w:lang w:val="sr-Cyrl-RS"/>
        </w:rPr>
        <w:t xml:space="preserve">пројекат развоја локалне инфраструктуре и институционалног јачања локалних самоуправа; </w:t>
      </w:r>
      <w:r w:rsidR="00CC0BEF" w:rsidRPr="00C531A2">
        <w:rPr>
          <w:rFonts w:ascii="Times New Roman" w:hAnsi="Times New Roman"/>
        </w:rPr>
        <w:t>реализациј</w:t>
      </w:r>
      <w:r w:rsidR="00F27604" w:rsidRPr="00C531A2">
        <w:rPr>
          <w:rFonts w:ascii="Times New Roman" w:hAnsi="Times New Roman"/>
        </w:rPr>
        <w:t>у</w:t>
      </w:r>
      <w:r w:rsidR="00CC0BEF" w:rsidRPr="00C531A2">
        <w:rPr>
          <w:rFonts w:ascii="Times New Roman" w:hAnsi="Times New Roman"/>
        </w:rPr>
        <w:t xml:space="preserve"> четворочасовног припремног предшколског програма</w:t>
      </w:r>
      <w:r w:rsidR="00DF3CDC" w:rsidRPr="00C531A2">
        <w:rPr>
          <w:rFonts w:ascii="Times New Roman" w:hAnsi="Times New Roman"/>
          <w:color w:val="000000"/>
          <w:szCs w:val="24"/>
        </w:rPr>
        <w:t>,</w:t>
      </w:r>
      <w:r w:rsidR="00CC0BEF" w:rsidRPr="00C531A2">
        <w:rPr>
          <w:rStyle w:val="CharCharChar5"/>
          <w:rFonts w:ascii="Times New Roman" w:hAnsi="Times New Roman"/>
          <w:szCs w:val="24"/>
          <w:lang w:val="sr-Cyrl-RS"/>
        </w:rPr>
        <w:t xml:space="preserve"> </w:t>
      </w:r>
      <w:r w:rsidR="00F06E5D" w:rsidRPr="00C531A2">
        <w:rPr>
          <w:rFonts w:ascii="Times New Roman" w:hAnsi="Times New Roman"/>
          <w:szCs w:val="24"/>
        </w:rPr>
        <w:t xml:space="preserve">подршку раду </w:t>
      </w:r>
      <w:r w:rsidR="002B093E" w:rsidRPr="00C531A2">
        <w:rPr>
          <w:rFonts w:ascii="Times New Roman" w:hAnsi="Times New Roman"/>
          <w:szCs w:val="24"/>
        </w:rPr>
        <w:t>универзитетима</w:t>
      </w:r>
      <w:r w:rsidR="00F06E5D" w:rsidRPr="00C531A2">
        <w:rPr>
          <w:rFonts w:ascii="Times New Roman" w:hAnsi="Times New Roman"/>
          <w:szCs w:val="24"/>
        </w:rPr>
        <w:t>,</w:t>
      </w:r>
      <w:r w:rsidR="00F06E5D" w:rsidRPr="00C531A2">
        <w:rPr>
          <w:rStyle w:val="CharCharChar5"/>
          <w:rFonts w:ascii="Times New Roman" w:hAnsi="Times New Roman"/>
          <w:szCs w:val="24"/>
          <w:lang w:val="sr-Cyrl-RS"/>
        </w:rPr>
        <w:t xml:space="preserve"> </w:t>
      </w:r>
      <w:r w:rsidR="00DA295B" w:rsidRPr="00C531A2">
        <w:rPr>
          <w:rStyle w:val="CharCharChar5"/>
          <w:rFonts w:ascii="Times New Roman" w:hAnsi="Times New Roman"/>
          <w:szCs w:val="24"/>
          <w:lang w:val="sr-Cyrl-RS"/>
        </w:rPr>
        <w:t xml:space="preserve">подршку развоју пословне инфраструктуре, </w:t>
      </w:r>
      <w:r w:rsidR="00CA445D" w:rsidRPr="00C531A2">
        <w:rPr>
          <w:rStyle w:val="CharCharChar5"/>
          <w:rFonts w:ascii="Times New Roman" w:hAnsi="Times New Roman"/>
          <w:szCs w:val="24"/>
          <w:lang w:val="sr-Cyrl-RS"/>
        </w:rPr>
        <w:t xml:space="preserve">улагања од посебног </w:t>
      </w:r>
      <w:r w:rsidR="00CA445D" w:rsidRPr="00C531A2">
        <w:rPr>
          <w:rStyle w:val="CharCharChar5"/>
          <w:rFonts w:ascii="Times New Roman" w:hAnsi="Times New Roman"/>
          <w:color w:val="000000" w:themeColor="text1"/>
          <w:szCs w:val="24"/>
          <w:lang w:val="sr-Cyrl-RS"/>
        </w:rPr>
        <w:t>значаја</w:t>
      </w:r>
      <w:r w:rsidR="00DA295B" w:rsidRPr="00C531A2">
        <w:rPr>
          <w:rStyle w:val="CharCharChar5"/>
          <w:rFonts w:ascii="Times New Roman" w:hAnsi="Times New Roman"/>
          <w:color w:val="000000" w:themeColor="text1"/>
          <w:szCs w:val="24"/>
          <w:lang w:val="sr-Cyrl-RS"/>
        </w:rPr>
        <w:t>;</w:t>
      </w:r>
      <w:r w:rsidR="00CA445D" w:rsidRPr="00C531A2">
        <w:rPr>
          <w:rStyle w:val="CharCharChar5"/>
          <w:rFonts w:ascii="Times New Roman" w:hAnsi="Times New Roman"/>
          <w:color w:val="000000" w:themeColor="text1"/>
          <w:szCs w:val="24"/>
          <w:lang w:val="sr-Cyrl-RS"/>
        </w:rPr>
        <w:t xml:space="preserve"> </w:t>
      </w:r>
      <w:r w:rsidR="00DA295B" w:rsidRPr="00C531A2">
        <w:rPr>
          <w:rStyle w:val="CharCharChar5"/>
          <w:rFonts w:ascii="Times New Roman" w:hAnsi="Times New Roman"/>
          <w:color w:val="000000" w:themeColor="text1"/>
          <w:szCs w:val="24"/>
          <w:lang w:val="sr-Cyrl-RS"/>
        </w:rPr>
        <w:t>санациј</w:t>
      </w:r>
      <w:r w:rsidR="00F06E5D" w:rsidRPr="00C531A2">
        <w:rPr>
          <w:rStyle w:val="CharCharChar5"/>
          <w:rFonts w:ascii="Times New Roman" w:hAnsi="Times New Roman"/>
          <w:color w:val="000000" w:themeColor="text1"/>
          <w:szCs w:val="24"/>
          <w:lang w:val="sr-Cyrl-RS"/>
        </w:rPr>
        <w:t>у</w:t>
      </w:r>
      <w:r w:rsidR="00DA295B" w:rsidRPr="00C531A2">
        <w:rPr>
          <w:rStyle w:val="CharCharChar5"/>
          <w:rFonts w:ascii="Times New Roman" w:hAnsi="Times New Roman"/>
          <w:color w:val="000000" w:themeColor="text1"/>
          <w:szCs w:val="24"/>
          <w:lang w:val="sr-Cyrl-RS"/>
        </w:rPr>
        <w:t xml:space="preserve"> и </w:t>
      </w:r>
      <w:r w:rsidR="00CC0BEF" w:rsidRPr="00C531A2">
        <w:rPr>
          <w:rStyle w:val="CharCharChar5"/>
          <w:rFonts w:ascii="Times New Roman" w:hAnsi="Times New Roman"/>
          <w:color w:val="000000" w:themeColor="text1"/>
          <w:szCs w:val="24"/>
          <w:lang w:val="sr-Cyrl-RS"/>
        </w:rPr>
        <w:t xml:space="preserve">затварање </w:t>
      </w:r>
      <w:r w:rsidR="00CC0BEF" w:rsidRPr="00C531A2">
        <w:rPr>
          <w:rStyle w:val="CharCharChar5"/>
          <w:rFonts w:ascii="Times New Roman" w:hAnsi="Times New Roman"/>
          <w:szCs w:val="24"/>
          <w:lang w:val="sr-Cyrl-RS"/>
        </w:rPr>
        <w:t>несанитарних депонија</w:t>
      </w:r>
      <w:r w:rsidR="00DF3CDC" w:rsidRPr="00C531A2">
        <w:rPr>
          <w:rStyle w:val="CharCharChar5"/>
          <w:rFonts w:ascii="Times New Roman" w:hAnsi="Times New Roman"/>
          <w:szCs w:val="24"/>
          <w:lang w:val="sr-Cyrl-RS"/>
        </w:rPr>
        <w:t xml:space="preserve"> </w:t>
      </w:r>
      <w:r w:rsidR="00DF3CDC" w:rsidRPr="00C531A2">
        <w:rPr>
          <w:rStyle w:val="CharCharChar5"/>
          <w:rFonts w:ascii="Times New Roman" w:hAnsi="Times New Roman"/>
          <w:color w:val="000000" w:themeColor="text1"/>
          <w:szCs w:val="24"/>
          <w:lang w:val="sr-Cyrl-RS"/>
        </w:rPr>
        <w:t>и реализациј</w:t>
      </w:r>
      <w:r w:rsidR="00F06E5D" w:rsidRPr="00C531A2">
        <w:rPr>
          <w:rStyle w:val="CharCharChar5"/>
          <w:rFonts w:ascii="Times New Roman" w:hAnsi="Times New Roman"/>
          <w:color w:val="000000" w:themeColor="text1"/>
          <w:szCs w:val="24"/>
          <w:lang w:val="sr-Cyrl-RS"/>
        </w:rPr>
        <w:t>у</w:t>
      </w:r>
      <w:r w:rsidR="00DF3CDC" w:rsidRPr="00C531A2">
        <w:rPr>
          <w:rStyle w:val="CharCharChar5"/>
          <w:rFonts w:ascii="Times New Roman" w:hAnsi="Times New Roman"/>
          <w:color w:val="000000" w:themeColor="text1"/>
          <w:szCs w:val="24"/>
          <w:lang w:val="sr-Cyrl-RS"/>
        </w:rPr>
        <w:t xml:space="preserve"> пројеката изградње система управљања отпадом и отпадним водама</w:t>
      </w:r>
      <w:r w:rsidR="00CC0BEF" w:rsidRPr="00C531A2">
        <w:rPr>
          <w:rStyle w:val="CharCharChar5"/>
          <w:rFonts w:ascii="Times New Roman" w:hAnsi="Times New Roman"/>
          <w:color w:val="000000" w:themeColor="text1"/>
          <w:szCs w:val="24"/>
          <w:lang w:val="sr-Cyrl-RS"/>
        </w:rPr>
        <w:t>;</w:t>
      </w:r>
      <w:r w:rsidR="00035478" w:rsidRPr="00C531A2">
        <w:rPr>
          <w:rStyle w:val="CharCharChar5"/>
          <w:rFonts w:ascii="Times New Roman" w:hAnsi="Times New Roman"/>
          <w:color w:val="000000" w:themeColor="text1"/>
          <w:szCs w:val="24"/>
          <w:lang w:val="sr-Cyrl-RS"/>
        </w:rPr>
        <w:t xml:space="preserve"> спр</w:t>
      </w:r>
      <w:r w:rsidR="00035478" w:rsidRPr="00C531A2">
        <w:rPr>
          <w:rStyle w:val="CharCharChar5"/>
          <w:rFonts w:ascii="Times New Roman" w:hAnsi="Times New Roman"/>
          <w:szCs w:val="24"/>
          <w:lang w:val="sr-Cyrl-RS"/>
        </w:rPr>
        <w:t xml:space="preserve">овођење мера за унапређење енергетске ефикасности, </w:t>
      </w:r>
      <w:r w:rsidR="000E47C6" w:rsidRPr="00C531A2">
        <w:rPr>
          <w:rStyle w:val="CharCharChar5"/>
          <w:rFonts w:ascii="Times New Roman" w:hAnsi="Times New Roman" w:hint="eastAsia"/>
          <w:szCs w:val="24"/>
          <w:lang w:val="sr-Cyrl-RS"/>
        </w:rPr>
        <w:t>подстицаје</w:t>
      </w:r>
      <w:r w:rsidR="000E47C6" w:rsidRPr="00C531A2">
        <w:rPr>
          <w:rStyle w:val="CharCharChar5"/>
          <w:rFonts w:ascii="Times New Roman" w:hAnsi="Times New Roman"/>
          <w:szCs w:val="24"/>
          <w:lang w:val="sr-Cyrl-RS"/>
        </w:rPr>
        <w:t xml:space="preserve"> </w:t>
      </w:r>
      <w:r w:rsidR="000E47C6" w:rsidRPr="00C531A2">
        <w:rPr>
          <w:rStyle w:val="CharCharChar5"/>
          <w:rFonts w:ascii="Times New Roman" w:hAnsi="Times New Roman" w:hint="eastAsia"/>
          <w:szCs w:val="24"/>
          <w:lang w:val="sr-Cyrl-RS"/>
        </w:rPr>
        <w:t>за</w:t>
      </w:r>
      <w:r w:rsidR="000E47C6" w:rsidRPr="00C531A2">
        <w:rPr>
          <w:rStyle w:val="CharCharChar5"/>
          <w:rFonts w:ascii="Times New Roman" w:hAnsi="Times New Roman"/>
          <w:szCs w:val="24"/>
          <w:lang w:val="sr-Cyrl-RS"/>
        </w:rPr>
        <w:t xml:space="preserve"> </w:t>
      </w:r>
      <w:r w:rsidR="000E47C6" w:rsidRPr="00C531A2">
        <w:rPr>
          <w:rStyle w:val="CharCharChar5"/>
          <w:rFonts w:ascii="Times New Roman" w:hAnsi="Times New Roman" w:hint="eastAsia"/>
          <w:szCs w:val="24"/>
          <w:lang w:val="sr-Cyrl-RS"/>
        </w:rPr>
        <w:t>изградњу</w:t>
      </w:r>
      <w:r w:rsidR="000E47C6" w:rsidRPr="00C531A2">
        <w:rPr>
          <w:rStyle w:val="CharCharChar5"/>
          <w:rFonts w:ascii="Times New Roman" w:hAnsi="Times New Roman"/>
          <w:szCs w:val="24"/>
          <w:lang w:val="sr-Cyrl-RS"/>
        </w:rPr>
        <w:t xml:space="preserve"> </w:t>
      </w:r>
      <w:r w:rsidR="000E47C6" w:rsidRPr="00C531A2">
        <w:rPr>
          <w:rStyle w:val="CharCharChar5"/>
          <w:rFonts w:ascii="Times New Roman" w:hAnsi="Times New Roman" w:hint="eastAsia"/>
          <w:szCs w:val="24"/>
          <w:lang w:val="sr-Cyrl-RS"/>
        </w:rPr>
        <w:t>инфраструктуре</w:t>
      </w:r>
      <w:r w:rsidR="000E47C6" w:rsidRPr="00C531A2">
        <w:rPr>
          <w:rStyle w:val="CharCharChar5"/>
          <w:rFonts w:ascii="Times New Roman" w:hAnsi="Times New Roman"/>
          <w:szCs w:val="24"/>
          <w:lang w:val="sr-Cyrl-RS"/>
        </w:rPr>
        <w:t xml:space="preserve"> </w:t>
      </w:r>
      <w:r w:rsidR="000E47C6" w:rsidRPr="00C531A2">
        <w:rPr>
          <w:rStyle w:val="CharCharChar5"/>
          <w:rFonts w:ascii="Times New Roman" w:hAnsi="Times New Roman" w:hint="eastAsia"/>
          <w:szCs w:val="24"/>
          <w:lang w:val="sr-Cyrl-RS"/>
        </w:rPr>
        <w:t>и</w:t>
      </w:r>
      <w:r w:rsidR="000E47C6" w:rsidRPr="00C531A2">
        <w:rPr>
          <w:rStyle w:val="CharCharChar5"/>
          <w:rFonts w:ascii="Times New Roman" w:hAnsi="Times New Roman"/>
          <w:szCs w:val="24"/>
          <w:lang w:val="sr-Cyrl-RS"/>
        </w:rPr>
        <w:t xml:space="preserve"> </w:t>
      </w:r>
      <w:r w:rsidR="000E47C6" w:rsidRPr="00C531A2">
        <w:rPr>
          <w:rStyle w:val="CharCharChar5"/>
          <w:rFonts w:ascii="Times New Roman" w:hAnsi="Times New Roman" w:hint="eastAsia"/>
          <w:szCs w:val="24"/>
          <w:lang w:val="sr-Cyrl-RS"/>
        </w:rPr>
        <w:t>супраструктуре</w:t>
      </w:r>
      <w:r w:rsidR="000E47C6" w:rsidRPr="00C531A2">
        <w:rPr>
          <w:rStyle w:val="CharCharChar5"/>
          <w:rFonts w:ascii="Times New Roman" w:hAnsi="Times New Roman"/>
          <w:szCs w:val="24"/>
          <w:lang w:val="sr-Cyrl-RS"/>
        </w:rPr>
        <w:t xml:space="preserve"> </w:t>
      </w:r>
      <w:r w:rsidR="000E47C6" w:rsidRPr="00C531A2">
        <w:rPr>
          <w:rStyle w:val="CharCharChar5"/>
          <w:rFonts w:ascii="Times New Roman" w:hAnsi="Times New Roman" w:hint="eastAsia"/>
          <w:szCs w:val="24"/>
          <w:lang w:val="sr-Cyrl-RS"/>
        </w:rPr>
        <w:t>у</w:t>
      </w:r>
      <w:r w:rsidR="000E47C6" w:rsidRPr="00C531A2">
        <w:rPr>
          <w:rStyle w:val="CharCharChar5"/>
          <w:rFonts w:ascii="Times New Roman" w:hAnsi="Times New Roman"/>
          <w:szCs w:val="24"/>
          <w:lang w:val="sr-Cyrl-RS"/>
        </w:rPr>
        <w:t xml:space="preserve"> </w:t>
      </w:r>
      <w:r w:rsidR="000E47C6" w:rsidRPr="00C531A2">
        <w:rPr>
          <w:rStyle w:val="CharCharChar5"/>
          <w:rFonts w:ascii="Times New Roman" w:hAnsi="Times New Roman" w:hint="eastAsia"/>
          <w:szCs w:val="24"/>
          <w:lang w:val="sr-Cyrl-RS"/>
        </w:rPr>
        <w:t>туристичким</w:t>
      </w:r>
      <w:r w:rsidR="000E47C6" w:rsidRPr="00C531A2">
        <w:rPr>
          <w:rStyle w:val="CharCharChar5"/>
          <w:rFonts w:ascii="Times New Roman" w:hAnsi="Times New Roman"/>
          <w:szCs w:val="24"/>
          <w:lang w:val="sr-Cyrl-RS"/>
        </w:rPr>
        <w:t xml:space="preserve"> </w:t>
      </w:r>
      <w:r w:rsidR="000E47C6" w:rsidRPr="00C531A2">
        <w:rPr>
          <w:rStyle w:val="CharCharChar5"/>
          <w:rFonts w:ascii="Times New Roman" w:hAnsi="Times New Roman" w:hint="eastAsia"/>
          <w:szCs w:val="24"/>
          <w:lang w:val="sr-Cyrl-RS"/>
        </w:rPr>
        <w:t>дестинацијама</w:t>
      </w:r>
      <w:r w:rsidR="000E47C6" w:rsidRPr="00C531A2">
        <w:rPr>
          <w:rStyle w:val="CharCharChar5"/>
          <w:rFonts w:ascii="Times New Roman" w:hAnsi="Times New Roman"/>
          <w:szCs w:val="24"/>
          <w:lang w:val="sr-Cyrl-RS"/>
        </w:rPr>
        <w:t xml:space="preserve">; </w:t>
      </w:r>
      <w:r w:rsidR="00035478" w:rsidRPr="00C531A2">
        <w:rPr>
          <w:rStyle w:val="CharCharChar5"/>
          <w:rFonts w:ascii="Times New Roman" w:hAnsi="Times New Roman"/>
          <w:szCs w:val="24"/>
          <w:lang w:val="sr-Cyrl-RS"/>
        </w:rPr>
        <w:t>финансирање основне делатности јавних медијских сервиса - Радио-телевизија Војводине</w:t>
      </w:r>
      <w:r w:rsidR="0071189C" w:rsidRPr="00C531A2">
        <w:rPr>
          <w:rStyle w:val="CharCharChar5"/>
          <w:rFonts w:ascii="Times New Roman" w:hAnsi="Times New Roman"/>
          <w:szCs w:val="24"/>
          <w:lang w:val="sr-Cyrl-RS"/>
        </w:rPr>
        <w:t>;</w:t>
      </w:r>
      <w:r w:rsidR="00AF3E57" w:rsidRPr="00C531A2">
        <w:rPr>
          <w:rStyle w:val="CharCharChar5"/>
          <w:rFonts w:ascii="Times New Roman" w:hAnsi="Times New Roman"/>
          <w:szCs w:val="24"/>
          <w:lang w:val="sr-Cyrl-RS"/>
        </w:rPr>
        <w:t xml:space="preserve"> </w:t>
      </w:r>
      <w:r w:rsidR="00CC0BEF" w:rsidRPr="00C531A2">
        <w:rPr>
          <w:rStyle w:val="CharCharChar5"/>
          <w:rFonts w:ascii="Times New Roman" w:hAnsi="Times New Roman"/>
          <w:szCs w:val="24"/>
          <w:lang w:val="sr-Cyrl-RS"/>
        </w:rPr>
        <w:t>подршк</w:t>
      </w:r>
      <w:r w:rsidR="00F27604" w:rsidRPr="00C531A2">
        <w:rPr>
          <w:rStyle w:val="CharCharChar5"/>
          <w:rFonts w:ascii="Times New Roman" w:hAnsi="Times New Roman"/>
          <w:szCs w:val="24"/>
          <w:lang w:val="sr-Cyrl-RS"/>
        </w:rPr>
        <w:t>у</w:t>
      </w:r>
      <w:r w:rsidR="00CC0BEF" w:rsidRPr="00C531A2">
        <w:rPr>
          <w:rStyle w:val="CharCharChar5"/>
          <w:rFonts w:ascii="Times New Roman" w:hAnsi="Times New Roman"/>
          <w:szCs w:val="24"/>
          <w:lang w:val="sr-Cyrl-RS"/>
        </w:rPr>
        <w:t xml:space="preserve"> куповини сеоских кућа са окућницом и др.</w:t>
      </w:r>
    </w:p>
    <w:p w14:paraId="3FF2D076" w14:textId="77777777" w:rsidR="00725D9F" w:rsidRPr="00C531A2" w:rsidRDefault="00725D9F" w:rsidP="008C16FD">
      <w:pPr>
        <w:rPr>
          <w:rFonts w:ascii="Times New Roman" w:hAnsi="Times New Roman"/>
          <w:szCs w:val="24"/>
        </w:rPr>
      </w:pPr>
    </w:p>
    <w:p w14:paraId="69AB2961" w14:textId="3526AAC9" w:rsidR="002239B6" w:rsidRPr="00C531A2" w:rsidRDefault="002239B6" w:rsidP="002239B6">
      <w:pPr>
        <w:tabs>
          <w:tab w:val="left" w:pos="900"/>
        </w:tabs>
        <w:rPr>
          <w:rFonts w:ascii="Times New Roman" w:hAnsi="Times New Roman"/>
          <w:szCs w:val="24"/>
        </w:rPr>
      </w:pPr>
      <w:r w:rsidRPr="00C531A2">
        <w:rPr>
          <w:rFonts w:ascii="Times New Roman" w:hAnsi="Times New Roman"/>
          <w:b/>
          <w:bCs/>
          <w:szCs w:val="24"/>
        </w:rPr>
        <w:tab/>
        <w:t xml:space="preserve">Дотације организацијама обавезног социјалног осигурања </w:t>
      </w:r>
      <w:r w:rsidRPr="00C531A2">
        <w:rPr>
          <w:rFonts w:ascii="Times New Roman" w:hAnsi="Times New Roman"/>
          <w:szCs w:val="24"/>
        </w:rPr>
        <w:t xml:space="preserve">планиране у износу од </w:t>
      </w:r>
      <w:r w:rsidR="00B67033" w:rsidRPr="00C531A2">
        <w:rPr>
          <w:rFonts w:ascii="Times New Roman" w:hAnsi="Times New Roman"/>
          <w:szCs w:val="24"/>
        </w:rPr>
        <w:t>395,19</w:t>
      </w:r>
      <w:r w:rsidRPr="00C531A2">
        <w:rPr>
          <w:rFonts w:ascii="Times New Roman" w:hAnsi="Times New Roman"/>
          <w:szCs w:val="24"/>
        </w:rPr>
        <w:t xml:space="preserve"> млрд динара, што представља 14,</w:t>
      </w:r>
      <w:r w:rsidR="00B67033" w:rsidRPr="00C531A2">
        <w:rPr>
          <w:rFonts w:ascii="Times New Roman" w:hAnsi="Times New Roman"/>
          <w:szCs w:val="24"/>
        </w:rPr>
        <w:t>36</w:t>
      </w:r>
      <w:r w:rsidRPr="00C531A2">
        <w:rPr>
          <w:rFonts w:ascii="Times New Roman" w:hAnsi="Times New Roman"/>
          <w:szCs w:val="24"/>
        </w:rPr>
        <w:t>%, укупних расхода и издатака и односе се на дотације Националној служби за запошљавање, Републичком фонду за пензијско и инвалидско осигурање, Републичком фонду за здравствено осигурање, Фонду за социјално осигурање војних осигураника и остале дотације.</w:t>
      </w:r>
    </w:p>
    <w:p w14:paraId="665F6479" w14:textId="77777777" w:rsidR="002239B6" w:rsidRPr="00C531A2" w:rsidRDefault="002239B6" w:rsidP="002239B6">
      <w:pPr>
        <w:ind w:firstLine="709"/>
        <w:rPr>
          <w:rFonts w:ascii="Times New Roman" w:hAnsi="Times New Roman"/>
          <w:szCs w:val="24"/>
        </w:rPr>
      </w:pPr>
      <w:r w:rsidRPr="00C531A2">
        <w:rPr>
          <w:rFonts w:ascii="Times New Roman" w:hAnsi="Times New Roman"/>
          <w:szCs w:val="24"/>
        </w:rPr>
        <w:t>Дотације Националној служби за запошљавање планиране су у укупном износу од 0,75 млрд динара са раздела Министарства за рад, запошљавање, борачка и социјална питања и то за подстицање запошљавања особа са инвалидитетом у износу од 0,55 млрд динара и имплементацију програма „Гаранција за младеˮ у износу од 0,20 млрд динара.</w:t>
      </w:r>
    </w:p>
    <w:p w14:paraId="749E67EC" w14:textId="618DF75F" w:rsidR="002239B6" w:rsidRPr="00C531A2" w:rsidRDefault="002239B6" w:rsidP="002239B6">
      <w:pPr>
        <w:ind w:firstLine="709"/>
        <w:rPr>
          <w:rFonts w:ascii="Calibri" w:hAnsi="Calibri"/>
        </w:rPr>
      </w:pPr>
      <w:r w:rsidRPr="00C531A2">
        <w:rPr>
          <w:rFonts w:ascii="Times New Roman" w:hAnsi="Times New Roman"/>
          <w:szCs w:val="24"/>
        </w:rPr>
        <w:t xml:space="preserve">Дотације Републичком фонду за пензијско и инвалидско осигурање планиране су у укупном износу од </w:t>
      </w:r>
      <w:r w:rsidR="00D33357" w:rsidRPr="00C531A2">
        <w:rPr>
          <w:rFonts w:ascii="Times New Roman" w:hAnsi="Times New Roman"/>
          <w:szCs w:val="24"/>
        </w:rPr>
        <w:t>301,86</w:t>
      </w:r>
      <w:r w:rsidRPr="00C531A2">
        <w:rPr>
          <w:rFonts w:ascii="Times New Roman" w:hAnsi="Times New Roman"/>
          <w:szCs w:val="24"/>
        </w:rPr>
        <w:t xml:space="preserve"> млрд са раздела Министарства финансија то за исплату недостајућих средстава за редовне пензије и за подршку остварењу права корисника у складу са Законом о пензијском и инвалидском осигурању и посебним прописима.</w:t>
      </w:r>
      <w:r w:rsidRPr="00C531A2">
        <w:t xml:space="preserve"> </w:t>
      </w:r>
    </w:p>
    <w:p w14:paraId="7C05AD23" w14:textId="77777777" w:rsidR="002239B6" w:rsidRPr="00C531A2" w:rsidRDefault="002239B6" w:rsidP="002239B6">
      <w:pPr>
        <w:ind w:firstLine="709"/>
        <w:rPr>
          <w:rFonts w:ascii="Times New Roman" w:hAnsi="Times New Roman"/>
          <w:szCs w:val="24"/>
        </w:rPr>
      </w:pPr>
      <w:r w:rsidRPr="00C531A2">
        <w:rPr>
          <w:rFonts w:ascii="Times New Roman" w:hAnsi="Times New Roman"/>
          <w:szCs w:val="24"/>
        </w:rPr>
        <w:t xml:space="preserve">Дотације Републичком фонду за здравствено осигурање планиранe су у укупном износу од 77,8 млрд динара и то: са раздела Министарства финансија у износу од 57,09 млрд динара, од чега због смањене стопе доприноса за здравствено осигурање у износу од 56,59 млрд динара и по основу доприноса за здравствено осигурање за одређена привредна друштва у износу од 0,5 млрд динара; са раздела Министарства здравља у износу од 20,71 млрд динара и то 5,90 млрд динара за накнаду зараде у случају привремене спречености за рад због болести или </w:t>
      </w:r>
      <w:r w:rsidRPr="00C531A2">
        <w:rPr>
          <w:rFonts w:ascii="Times New Roman" w:hAnsi="Times New Roman"/>
          <w:szCs w:val="24"/>
        </w:rPr>
        <w:lastRenderedPageBreak/>
        <w:t xml:space="preserve">компликација у вези са одржавањем трудноће, 10,20 млрд динара за здравствену заштиту лица оболелих од ретких болести, 4,60 млрд динара за здравствену заштиту лица која се сматрају осигураницима по члану 16. став 1. Закона о здравственом осигурању и 0,01 млрд динара за подршку активностима Банке репродуктивних ћелија. </w:t>
      </w:r>
    </w:p>
    <w:p w14:paraId="00D000D8" w14:textId="77777777" w:rsidR="002239B6" w:rsidRPr="00C531A2" w:rsidRDefault="002239B6" w:rsidP="002239B6">
      <w:pPr>
        <w:ind w:firstLine="709"/>
        <w:rPr>
          <w:rFonts w:ascii="Times New Roman" w:hAnsi="Times New Roman"/>
          <w:szCs w:val="24"/>
        </w:rPr>
      </w:pPr>
      <w:r w:rsidRPr="00C531A2">
        <w:rPr>
          <w:rFonts w:ascii="Times New Roman" w:hAnsi="Times New Roman"/>
          <w:szCs w:val="24"/>
        </w:rPr>
        <w:t>Дотације Фонду за социјално осигурање војних осигураника су планиране у износу од 0,30 млрд динара са раздела Министарства одбране за накнаду дела трошкова за становање корисницима војних пензија.</w:t>
      </w:r>
    </w:p>
    <w:p w14:paraId="46BD0BF3" w14:textId="291B45BA" w:rsidR="002239B6" w:rsidRPr="00C531A2" w:rsidRDefault="002239B6" w:rsidP="002239B6">
      <w:pPr>
        <w:ind w:firstLine="709"/>
        <w:rPr>
          <w:rFonts w:ascii="Times New Roman" w:hAnsi="Times New Roman"/>
          <w:szCs w:val="24"/>
        </w:rPr>
      </w:pPr>
      <w:r w:rsidRPr="00C531A2">
        <w:rPr>
          <w:rFonts w:ascii="Times New Roman" w:hAnsi="Times New Roman"/>
          <w:szCs w:val="24"/>
        </w:rPr>
        <w:t xml:space="preserve">Остале дотације у износу од </w:t>
      </w:r>
      <w:r w:rsidR="00D33357" w:rsidRPr="00C531A2">
        <w:rPr>
          <w:rFonts w:ascii="Times New Roman" w:hAnsi="Times New Roman"/>
          <w:szCs w:val="24"/>
        </w:rPr>
        <w:t>14,48</w:t>
      </w:r>
      <w:r w:rsidRPr="00C531A2">
        <w:rPr>
          <w:rFonts w:ascii="Times New Roman" w:hAnsi="Times New Roman"/>
          <w:szCs w:val="24"/>
        </w:rPr>
        <w:t xml:space="preserve"> млрд намењене су за: пореске олакшице организацијама за обавезно социјално осигурање; изградњу, реконструкцију и опремање здравствених установа; инвестиционо улагање и инвестиционо-текуће одржавање просторија; медицинске и немедицинске опреме и др. </w:t>
      </w:r>
    </w:p>
    <w:p w14:paraId="5D804CEF" w14:textId="77777777" w:rsidR="002239B6" w:rsidRPr="00C531A2" w:rsidRDefault="002239B6" w:rsidP="002239B6"/>
    <w:p w14:paraId="2F13DE0E" w14:textId="77430F0B" w:rsidR="006F419D" w:rsidRPr="00C531A2" w:rsidRDefault="006F419D" w:rsidP="009E60C0">
      <w:pPr>
        <w:tabs>
          <w:tab w:val="left" w:pos="900"/>
        </w:tabs>
        <w:rPr>
          <w:rStyle w:val="CharCharChar5"/>
          <w:rFonts w:ascii="Times New Roman" w:hAnsi="Times New Roman"/>
          <w:szCs w:val="24"/>
          <w:lang w:val="sr-Cyrl-RS"/>
        </w:rPr>
      </w:pPr>
    </w:p>
    <w:p w14:paraId="06DC2ACB" w14:textId="19EED3EC" w:rsidR="004B640B" w:rsidRPr="00C531A2" w:rsidRDefault="00B42CFC" w:rsidP="005B683B">
      <w:pPr>
        <w:rPr>
          <w:rStyle w:val="CharCharChar5"/>
          <w:rFonts w:ascii="Times New Roman" w:hAnsi="Times New Roman"/>
          <w:szCs w:val="24"/>
          <w:lang w:val="sr-Cyrl-RS"/>
        </w:rPr>
      </w:pPr>
      <w:r>
        <w:rPr>
          <w:lang w:val="sr-Latn-RS"/>
        </w:rPr>
        <w:drawing>
          <wp:inline distT="0" distB="0" distL="0" distR="0" wp14:anchorId="7A44D415" wp14:editId="27EF8A07">
            <wp:extent cx="5400675" cy="3038475"/>
            <wp:effectExtent l="0" t="0" r="9525" b="9525"/>
            <wp:docPr id="16346360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675" cy="3038475"/>
                    </a:xfrm>
                    <a:prstGeom prst="rect">
                      <a:avLst/>
                    </a:prstGeom>
                    <a:noFill/>
                  </pic:spPr>
                </pic:pic>
              </a:graphicData>
            </a:graphic>
          </wp:inline>
        </w:drawing>
      </w:r>
    </w:p>
    <w:p w14:paraId="08C69771" w14:textId="1DAAA5E0" w:rsidR="00B20926" w:rsidRPr="00C531A2" w:rsidRDefault="00B20926" w:rsidP="00A334DF">
      <w:pPr>
        <w:tabs>
          <w:tab w:val="left" w:pos="720"/>
          <w:tab w:val="left" w:pos="900"/>
        </w:tabs>
        <w:rPr>
          <w:rFonts w:ascii="Times New Roman" w:hAnsi="Times New Roman"/>
          <w:b/>
          <w:bCs/>
          <w:color w:val="000000"/>
          <w:szCs w:val="24"/>
        </w:rPr>
      </w:pPr>
      <w:bookmarkStart w:id="2" w:name="_Hlk56100649"/>
    </w:p>
    <w:p w14:paraId="6232B50E" w14:textId="74F69E14" w:rsidR="006A599B" w:rsidRPr="00C531A2" w:rsidRDefault="00B20926" w:rsidP="00A334DF">
      <w:pPr>
        <w:tabs>
          <w:tab w:val="left" w:pos="720"/>
          <w:tab w:val="left" w:pos="900"/>
        </w:tabs>
        <w:rPr>
          <w:rFonts w:ascii="Times New Roman" w:hAnsi="Times New Roman"/>
          <w:color w:val="000000"/>
          <w:szCs w:val="24"/>
        </w:rPr>
      </w:pPr>
      <w:r w:rsidRPr="00C531A2">
        <w:rPr>
          <w:rFonts w:ascii="Times New Roman" w:hAnsi="Times New Roman"/>
          <w:b/>
          <w:bCs/>
          <w:color w:val="000000"/>
          <w:szCs w:val="24"/>
        </w:rPr>
        <w:tab/>
      </w:r>
      <w:r w:rsidR="00CE2A83" w:rsidRPr="00C531A2">
        <w:rPr>
          <w:rFonts w:ascii="Times New Roman" w:hAnsi="Times New Roman"/>
          <w:b/>
          <w:bCs/>
          <w:color w:val="000000"/>
          <w:szCs w:val="24"/>
        </w:rPr>
        <w:t xml:space="preserve">Остале дотације и трансфери </w:t>
      </w:r>
      <w:r w:rsidR="00CE2A83" w:rsidRPr="00C531A2">
        <w:rPr>
          <w:rFonts w:ascii="Times New Roman" w:hAnsi="Times New Roman"/>
          <w:color w:val="000000"/>
          <w:szCs w:val="24"/>
        </w:rPr>
        <w:t>планиран</w:t>
      </w:r>
      <w:r w:rsidR="00783E0E" w:rsidRPr="00C531A2">
        <w:rPr>
          <w:rFonts w:ascii="Times New Roman" w:hAnsi="Times New Roman"/>
          <w:color w:val="000000"/>
          <w:szCs w:val="24"/>
        </w:rPr>
        <w:t>e</w:t>
      </w:r>
      <w:r w:rsidR="00CE2A83" w:rsidRPr="00C531A2">
        <w:rPr>
          <w:rFonts w:ascii="Times New Roman" w:hAnsi="Times New Roman"/>
          <w:color w:val="000000"/>
          <w:szCs w:val="24"/>
        </w:rPr>
        <w:t xml:space="preserve"> су у износу од </w:t>
      </w:r>
      <w:r w:rsidR="00DE2D70" w:rsidRPr="00C531A2">
        <w:rPr>
          <w:rFonts w:ascii="Times New Roman" w:hAnsi="Times New Roman"/>
          <w:color w:val="000000"/>
          <w:szCs w:val="24"/>
        </w:rPr>
        <w:t>3,</w:t>
      </w:r>
      <w:r w:rsidR="00520948" w:rsidRPr="00C531A2">
        <w:rPr>
          <w:rFonts w:ascii="Times New Roman" w:hAnsi="Times New Roman"/>
          <w:color w:val="000000"/>
          <w:szCs w:val="24"/>
        </w:rPr>
        <w:t>60</w:t>
      </w:r>
      <w:r w:rsidR="00CE2A83" w:rsidRPr="00C531A2">
        <w:rPr>
          <w:rFonts w:ascii="Times New Roman" w:hAnsi="Times New Roman"/>
          <w:color w:val="000000"/>
          <w:szCs w:val="24"/>
        </w:rPr>
        <w:t xml:space="preserve"> млрд динара </w:t>
      </w:r>
      <w:r w:rsidR="00CE2A83" w:rsidRPr="00C531A2">
        <w:rPr>
          <w:rFonts w:ascii="Times New Roman" w:hAnsi="Times New Roman"/>
          <w:szCs w:val="24"/>
        </w:rPr>
        <w:t>што представља 0,</w:t>
      </w:r>
      <w:r w:rsidR="00DE2D70" w:rsidRPr="00C531A2">
        <w:rPr>
          <w:rFonts w:ascii="Times New Roman" w:hAnsi="Times New Roman"/>
          <w:szCs w:val="24"/>
        </w:rPr>
        <w:t>1</w:t>
      </w:r>
      <w:r w:rsidR="001409DA" w:rsidRPr="00C531A2">
        <w:rPr>
          <w:rFonts w:ascii="Times New Roman" w:hAnsi="Times New Roman"/>
          <w:szCs w:val="24"/>
        </w:rPr>
        <w:t>3</w:t>
      </w:r>
      <w:r w:rsidR="00CE2A83" w:rsidRPr="00C531A2">
        <w:rPr>
          <w:rFonts w:ascii="Times New Roman" w:hAnsi="Times New Roman"/>
          <w:szCs w:val="24"/>
        </w:rPr>
        <w:t>% укупних расхода и издатака</w:t>
      </w:r>
      <w:r w:rsidR="00CE2A83" w:rsidRPr="00C531A2">
        <w:rPr>
          <w:rFonts w:ascii="Times New Roman" w:hAnsi="Times New Roman"/>
          <w:color w:val="000000"/>
          <w:szCs w:val="24"/>
        </w:rPr>
        <w:t>. Средства су највећим делом планирана за</w:t>
      </w:r>
      <w:r w:rsidR="00C61B36" w:rsidRPr="00C531A2">
        <w:rPr>
          <w:rFonts w:ascii="Times New Roman" w:hAnsi="Times New Roman"/>
          <w:color w:val="000000"/>
          <w:szCs w:val="24"/>
        </w:rPr>
        <w:t>:</w:t>
      </w:r>
      <w:r w:rsidR="00CE2A83" w:rsidRPr="00C531A2">
        <w:rPr>
          <w:rFonts w:ascii="Times New Roman" w:hAnsi="Times New Roman"/>
          <w:color w:val="000000"/>
          <w:szCs w:val="24"/>
        </w:rPr>
        <w:t xml:space="preserve"> </w:t>
      </w:r>
      <w:r w:rsidR="006A599B" w:rsidRPr="00C531A2">
        <w:rPr>
          <w:rFonts w:ascii="Times New Roman" w:hAnsi="Times New Roman"/>
          <w:color w:val="000000"/>
          <w:szCs w:val="24"/>
        </w:rPr>
        <w:t>подршку за рад института и завода за јавно здравље;</w:t>
      </w:r>
      <w:r w:rsidR="00235000" w:rsidRPr="00C531A2">
        <w:t xml:space="preserve"> </w:t>
      </w:r>
      <w:r w:rsidR="00235000" w:rsidRPr="00C531A2">
        <w:rPr>
          <w:rFonts w:ascii="Times New Roman" w:hAnsi="Times New Roman"/>
          <w:color w:val="000000"/>
          <w:szCs w:val="24"/>
        </w:rPr>
        <w:t>подршку раду института „Др Милан Јовановић Батут”</w:t>
      </w:r>
      <w:r w:rsidR="006E0E3C" w:rsidRPr="00C531A2">
        <w:rPr>
          <w:rFonts w:ascii="Times New Roman" w:hAnsi="Times New Roman"/>
          <w:color w:val="000000"/>
          <w:szCs w:val="24"/>
        </w:rPr>
        <w:t>;</w:t>
      </w:r>
      <w:r w:rsidR="006A599B" w:rsidRPr="00C531A2">
        <w:rPr>
          <w:rFonts w:ascii="Times New Roman" w:hAnsi="Times New Roman"/>
          <w:color w:val="000000"/>
          <w:szCs w:val="24"/>
        </w:rPr>
        <w:t xml:space="preserve"> здравствену заштиту лица на издржавању казне затвора и пружање хитне медицинске помоћи особама непознатог пребивалишта и другим лицима која ово право не остварују на другачији начин; извршавање мера безбедности обавезног психијатријског лечења и чувања у здравственој установи, обавезног лечења алкохоличара и зависника од дрога и др.</w:t>
      </w:r>
    </w:p>
    <w:p w14:paraId="42C00C33" w14:textId="77777777" w:rsidR="00725D9F" w:rsidRPr="00C531A2" w:rsidRDefault="00725D9F" w:rsidP="00A334DF">
      <w:pPr>
        <w:tabs>
          <w:tab w:val="left" w:pos="720"/>
          <w:tab w:val="left" w:pos="900"/>
        </w:tabs>
        <w:rPr>
          <w:rFonts w:ascii="Times New Roman" w:hAnsi="Times New Roman"/>
          <w:color w:val="000000"/>
          <w:szCs w:val="24"/>
        </w:rPr>
      </w:pPr>
    </w:p>
    <w:p w14:paraId="24F506A2" w14:textId="449E61DC" w:rsidR="00116E21" w:rsidRPr="00C531A2" w:rsidRDefault="00850514" w:rsidP="008D4FA9">
      <w:pPr>
        <w:tabs>
          <w:tab w:val="left" w:pos="720"/>
          <w:tab w:val="left" w:pos="900"/>
        </w:tabs>
        <w:rPr>
          <w:rFonts w:ascii="Times New Roman" w:hAnsi="Times New Roman"/>
          <w:szCs w:val="24"/>
        </w:rPr>
      </w:pPr>
      <w:r w:rsidRPr="00C531A2">
        <w:rPr>
          <w:rFonts w:ascii="Times New Roman" w:hAnsi="Times New Roman"/>
          <w:b/>
          <w:bCs/>
          <w:spacing w:val="-2"/>
          <w:szCs w:val="24"/>
        </w:rPr>
        <w:tab/>
        <w:t xml:space="preserve">Накнаде за социјалну заштиту из буџета </w:t>
      </w:r>
      <w:r w:rsidRPr="00C531A2">
        <w:rPr>
          <w:rFonts w:ascii="Times New Roman" w:hAnsi="Times New Roman"/>
          <w:szCs w:val="24"/>
        </w:rPr>
        <w:t xml:space="preserve">износе </w:t>
      </w:r>
      <w:r w:rsidR="006A3CD6" w:rsidRPr="00C531A2">
        <w:rPr>
          <w:rFonts w:ascii="Times New Roman" w:hAnsi="Times New Roman"/>
          <w:szCs w:val="24"/>
        </w:rPr>
        <w:t>212,21</w:t>
      </w:r>
      <w:r w:rsidRPr="00C531A2">
        <w:rPr>
          <w:rFonts w:ascii="Times New Roman" w:hAnsi="Times New Roman"/>
          <w:szCs w:val="24"/>
        </w:rPr>
        <w:t xml:space="preserve"> млрд динара што представља </w:t>
      </w:r>
      <w:r w:rsidR="00F7766E" w:rsidRPr="00C531A2">
        <w:rPr>
          <w:rFonts w:ascii="Times New Roman" w:hAnsi="Times New Roman"/>
          <w:szCs w:val="24"/>
        </w:rPr>
        <w:t>7,</w:t>
      </w:r>
      <w:r w:rsidR="006A3CD6" w:rsidRPr="00C531A2">
        <w:rPr>
          <w:rFonts w:ascii="Times New Roman" w:hAnsi="Times New Roman"/>
          <w:szCs w:val="24"/>
        </w:rPr>
        <w:t>71</w:t>
      </w:r>
      <w:r w:rsidRPr="00C531A2">
        <w:rPr>
          <w:rFonts w:ascii="Times New Roman" w:hAnsi="Times New Roman"/>
          <w:szCs w:val="24"/>
        </w:rPr>
        <w:t xml:space="preserve">% укупних расхода и издатака. </w:t>
      </w:r>
      <w:r w:rsidR="004617E0" w:rsidRPr="00C531A2">
        <w:rPr>
          <w:rFonts w:ascii="Times New Roman" w:hAnsi="Times New Roman"/>
          <w:szCs w:val="24"/>
        </w:rPr>
        <w:t xml:space="preserve">Највећи износ средстава планиран је за: права корисника из области заштите породице и деце; права права корисника борачко-инвалидске заштите; </w:t>
      </w:r>
      <w:r w:rsidR="004617E0" w:rsidRPr="00C531A2">
        <w:rPr>
          <w:rFonts w:ascii="Times New Roman" w:hAnsi="Times New Roman"/>
        </w:rPr>
        <w:t xml:space="preserve">подршку </w:t>
      </w:r>
      <w:r w:rsidR="00E800CA" w:rsidRPr="00C531A2">
        <w:rPr>
          <w:rFonts w:ascii="Times New Roman" w:hAnsi="Times New Roman"/>
          <w:szCs w:val="24"/>
        </w:rPr>
        <w:t xml:space="preserve">корисника социјалне заштите; </w:t>
      </w:r>
      <w:r w:rsidR="004617E0" w:rsidRPr="00C531A2">
        <w:rPr>
          <w:rFonts w:ascii="Times New Roman" w:hAnsi="Times New Roman"/>
        </w:rPr>
        <w:t xml:space="preserve">рада хранитеља; </w:t>
      </w:r>
      <w:r w:rsidR="004617E0" w:rsidRPr="00C531A2">
        <w:rPr>
          <w:rFonts w:ascii="Times New Roman" w:hAnsi="Times New Roman"/>
          <w:szCs w:val="24"/>
        </w:rPr>
        <w:t xml:space="preserve">побољшање ученичког и студентског стандарда; </w:t>
      </w:r>
      <w:r w:rsidR="009B1A17" w:rsidRPr="00C531A2">
        <w:rPr>
          <w:rFonts w:ascii="Times New Roman" w:hAnsi="Times New Roman"/>
          <w:szCs w:val="24"/>
        </w:rPr>
        <w:t xml:space="preserve">породично-правна заштита грађана; </w:t>
      </w:r>
      <w:r w:rsidR="004617E0" w:rsidRPr="00C531A2">
        <w:rPr>
          <w:rFonts w:ascii="Times New Roman" w:hAnsi="Times New Roman"/>
          <w:szCs w:val="24"/>
        </w:rPr>
        <w:t>национална признања за посебан допринос развоју и афирмацији спорта и осталу социјалну заштиту из буџета (спортске стипендије</w:t>
      </w:r>
      <w:r w:rsidR="00AF08CA" w:rsidRPr="00C531A2">
        <w:rPr>
          <w:rFonts w:ascii="Times New Roman" w:hAnsi="Times New Roman"/>
          <w:szCs w:val="24"/>
        </w:rPr>
        <w:t>,</w:t>
      </w:r>
      <w:r w:rsidR="004617E0" w:rsidRPr="00C531A2">
        <w:rPr>
          <w:rFonts w:ascii="Times New Roman" w:hAnsi="Times New Roman"/>
          <w:szCs w:val="24"/>
        </w:rPr>
        <w:t xml:space="preserve"> подршк</w:t>
      </w:r>
      <w:r w:rsidR="00D65CF1" w:rsidRPr="00C531A2">
        <w:rPr>
          <w:rFonts w:ascii="Times New Roman" w:hAnsi="Times New Roman"/>
          <w:szCs w:val="24"/>
        </w:rPr>
        <w:t>у</w:t>
      </w:r>
      <w:r w:rsidR="004617E0" w:rsidRPr="00C531A2">
        <w:rPr>
          <w:rFonts w:ascii="Times New Roman" w:hAnsi="Times New Roman"/>
          <w:szCs w:val="24"/>
        </w:rPr>
        <w:t xml:space="preserve"> школовању и усавршавању младих талената</w:t>
      </w:r>
      <w:r w:rsidR="00AF08CA" w:rsidRPr="00C531A2">
        <w:rPr>
          <w:rFonts w:ascii="Times New Roman" w:hAnsi="Times New Roman"/>
          <w:szCs w:val="24"/>
        </w:rPr>
        <w:t>,</w:t>
      </w:r>
      <w:r w:rsidR="004617E0" w:rsidRPr="00C531A2">
        <w:rPr>
          <w:rFonts w:ascii="Times New Roman" w:hAnsi="Times New Roman"/>
          <w:szCs w:val="24"/>
        </w:rPr>
        <w:t xml:space="preserve"> академијске награде</w:t>
      </w:r>
      <w:r w:rsidR="00AF08CA" w:rsidRPr="00C531A2">
        <w:rPr>
          <w:rFonts w:ascii="Times New Roman" w:hAnsi="Times New Roman"/>
          <w:szCs w:val="24"/>
        </w:rPr>
        <w:t>,</w:t>
      </w:r>
      <w:r w:rsidR="004617E0" w:rsidRPr="00C531A2">
        <w:rPr>
          <w:rFonts w:ascii="Times New Roman" w:hAnsi="Times New Roman"/>
          <w:szCs w:val="24"/>
        </w:rPr>
        <w:t xml:space="preserve"> подршку реализацији општег интереса у научној истраживачкој делатности</w:t>
      </w:r>
      <w:r w:rsidR="00AF08CA" w:rsidRPr="00C531A2">
        <w:rPr>
          <w:rFonts w:ascii="Times New Roman" w:hAnsi="Times New Roman"/>
          <w:szCs w:val="24"/>
        </w:rPr>
        <w:t>,</w:t>
      </w:r>
      <w:r w:rsidR="004617E0" w:rsidRPr="00C531A2">
        <w:rPr>
          <w:rFonts w:ascii="Times New Roman" w:hAnsi="Times New Roman"/>
          <w:szCs w:val="24"/>
        </w:rPr>
        <w:t xml:space="preserve"> обављање делатности установа социјалне заштите и др.).</w:t>
      </w:r>
      <w:bookmarkEnd w:id="2"/>
    </w:p>
    <w:p w14:paraId="78F88023" w14:textId="5CCA0CDE" w:rsidR="009F56CA" w:rsidRPr="00C531A2" w:rsidRDefault="00981A36" w:rsidP="00332D68">
      <w:pPr>
        <w:tabs>
          <w:tab w:val="left" w:pos="720"/>
          <w:tab w:val="left" w:pos="900"/>
        </w:tabs>
        <w:rPr>
          <w:rFonts w:ascii="Times New Roman" w:hAnsi="Times New Roman"/>
          <w:color w:val="000000"/>
          <w:szCs w:val="24"/>
        </w:rPr>
      </w:pPr>
      <w:r w:rsidRPr="00C531A2">
        <w:rPr>
          <w:rFonts w:ascii="Times New Roman" w:hAnsi="Times New Roman"/>
          <w:color w:val="000000"/>
          <w:szCs w:val="24"/>
        </w:rPr>
        <w:lastRenderedPageBreak/>
        <w:tab/>
      </w:r>
      <w:r w:rsidR="00B42CFC">
        <w:rPr>
          <w:lang w:val="sr-Latn-RS"/>
        </w:rPr>
        <w:drawing>
          <wp:inline distT="0" distB="0" distL="0" distR="0" wp14:anchorId="4E5C995B" wp14:editId="167BAAF2">
            <wp:extent cx="5543550" cy="3026299"/>
            <wp:effectExtent l="0" t="0" r="0" b="3175"/>
            <wp:docPr id="8165059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43550" cy="3026299"/>
                    </a:xfrm>
                    <a:prstGeom prst="rect">
                      <a:avLst/>
                    </a:prstGeom>
                    <a:noFill/>
                  </pic:spPr>
                </pic:pic>
              </a:graphicData>
            </a:graphic>
          </wp:inline>
        </w:drawing>
      </w:r>
    </w:p>
    <w:p w14:paraId="1A57500D" w14:textId="77777777" w:rsidR="008D4FA9" w:rsidRPr="00C531A2" w:rsidRDefault="008D4FA9" w:rsidP="00332D68">
      <w:pPr>
        <w:tabs>
          <w:tab w:val="left" w:pos="720"/>
          <w:tab w:val="left" w:pos="900"/>
        </w:tabs>
        <w:rPr>
          <w:rFonts w:ascii="Times New Roman" w:hAnsi="Times New Roman"/>
          <w:color w:val="000000"/>
          <w:szCs w:val="24"/>
        </w:rPr>
      </w:pPr>
    </w:p>
    <w:p w14:paraId="60840C2F" w14:textId="18DB4CEF" w:rsidR="008828F5" w:rsidRPr="00C531A2" w:rsidRDefault="009F56CA" w:rsidP="00332D68">
      <w:pPr>
        <w:tabs>
          <w:tab w:val="left" w:pos="720"/>
          <w:tab w:val="left" w:pos="900"/>
        </w:tabs>
        <w:rPr>
          <w:rFonts w:ascii="Times New Roman" w:hAnsi="Times New Roman"/>
          <w:szCs w:val="24"/>
        </w:rPr>
      </w:pPr>
      <w:r w:rsidRPr="00C531A2">
        <w:rPr>
          <w:rFonts w:ascii="Times New Roman" w:hAnsi="Times New Roman"/>
          <w:color w:val="000000"/>
          <w:szCs w:val="24"/>
        </w:rPr>
        <w:tab/>
      </w:r>
      <w:r w:rsidR="00CE2A83" w:rsidRPr="00C531A2">
        <w:rPr>
          <w:rFonts w:ascii="Times New Roman" w:hAnsi="Times New Roman"/>
          <w:b/>
          <w:bCs/>
          <w:color w:val="000000"/>
          <w:szCs w:val="24"/>
        </w:rPr>
        <w:t xml:space="preserve">Остали текући расходи </w:t>
      </w:r>
      <w:r w:rsidR="00CE2A83" w:rsidRPr="00C531A2">
        <w:rPr>
          <w:rFonts w:ascii="Times New Roman" w:hAnsi="Times New Roman"/>
          <w:color w:val="000000"/>
          <w:szCs w:val="24"/>
        </w:rPr>
        <w:t xml:space="preserve">планирани су у износу од </w:t>
      </w:r>
      <w:r w:rsidR="003A50FC" w:rsidRPr="00C531A2">
        <w:rPr>
          <w:rFonts w:ascii="Times New Roman" w:hAnsi="Times New Roman"/>
          <w:szCs w:val="24"/>
        </w:rPr>
        <w:t>51,</w:t>
      </w:r>
      <w:r w:rsidR="00F169DE" w:rsidRPr="00C531A2">
        <w:rPr>
          <w:rFonts w:ascii="Times New Roman" w:hAnsi="Times New Roman"/>
          <w:szCs w:val="24"/>
        </w:rPr>
        <w:t>8</w:t>
      </w:r>
      <w:r w:rsidR="00790B6F">
        <w:rPr>
          <w:rFonts w:ascii="Times New Roman" w:hAnsi="Times New Roman"/>
          <w:szCs w:val="24"/>
          <w:lang w:val="sr-Latn-RS"/>
        </w:rPr>
        <w:t>2</w:t>
      </w:r>
      <w:r w:rsidR="00CE2A83" w:rsidRPr="00C531A2">
        <w:rPr>
          <w:rFonts w:ascii="Times New Roman" w:hAnsi="Times New Roman"/>
          <w:szCs w:val="24"/>
        </w:rPr>
        <w:t xml:space="preserve"> млрд динара што представља </w:t>
      </w:r>
      <w:r w:rsidR="003A50FC" w:rsidRPr="00C531A2">
        <w:rPr>
          <w:rFonts w:ascii="Times New Roman" w:hAnsi="Times New Roman"/>
          <w:szCs w:val="24"/>
        </w:rPr>
        <w:t>1,8</w:t>
      </w:r>
      <w:r w:rsidR="00641D6B" w:rsidRPr="00C531A2">
        <w:rPr>
          <w:rFonts w:ascii="Times New Roman" w:hAnsi="Times New Roman"/>
          <w:szCs w:val="24"/>
        </w:rPr>
        <w:t>8</w:t>
      </w:r>
      <w:r w:rsidR="00CE2A83" w:rsidRPr="00C531A2">
        <w:rPr>
          <w:rFonts w:ascii="Times New Roman" w:hAnsi="Times New Roman"/>
          <w:szCs w:val="24"/>
        </w:rPr>
        <w:t>% укупних расх</w:t>
      </w:r>
      <w:r w:rsidR="007059E4" w:rsidRPr="00C531A2">
        <w:rPr>
          <w:rFonts w:ascii="Times New Roman" w:hAnsi="Times New Roman"/>
          <w:szCs w:val="24"/>
        </w:rPr>
        <w:t>ода и издатака. Највећи износ</w:t>
      </w:r>
      <w:r w:rsidR="00CE2A83" w:rsidRPr="00C531A2">
        <w:rPr>
          <w:rFonts w:ascii="Times New Roman" w:hAnsi="Times New Roman"/>
          <w:szCs w:val="24"/>
        </w:rPr>
        <w:t xml:space="preserve"> планиран</w:t>
      </w:r>
      <w:r w:rsidR="007059E4" w:rsidRPr="00C531A2">
        <w:rPr>
          <w:rFonts w:ascii="Times New Roman" w:hAnsi="Times New Roman"/>
          <w:szCs w:val="24"/>
        </w:rPr>
        <w:t xml:space="preserve"> је</w:t>
      </w:r>
      <w:r w:rsidR="00CE2A83" w:rsidRPr="00C531A2">
        <w:rPr>
          <w:rFonts w:ascii="Times New Roman" w:hAnsi="Times New Roman"/>
          <w:szCs w:val="24"/>
        </w:rPr>
        <w:t xml:space="preserve"> за</w:t>
      </w:r>
      <w:r w:rsidR="00CD0111" w:rsidRPr="00C531A2">
        <w:rPr>
          <w:rFonts w:ascii="Times New Roman" w:hAnsi="Times New Roman"/>
          <w:szCs w:val="24"/>
        </w:rPr>
        <w:t>:</w:t>
      </w:r>
      <w:r w:rsidR="00CE2A83" w:rsidRPr="00C531A2">
        <w:rPr>
          <w:rFonts w:ascii="Times New Roman" w:hAnsi="Times New Roman"/>
          <w:szCs w:val="24"/>
        </w:rPr>
        <w:t xml:space="preserve"> </w:t>
      </w:r>
      <w:r w:rsidR="00CE2A83" w:rsidRPr="00C531A2">
        <w:rPr>
          <w:rFonts w:ascii="Times New Roman" w:hAnsi="Times New Roman"/>
          <w:bCs/>
          <w:szCs w:val="24"/>
        </w:rPr>
        <w:t>дотације невладиним организацијама</w:t>
      </w:r>
      <w:r w:rsidR="00CE2A83" w:rsidRPr="00C531A2">
        <w:rPr>
          <w:rFonts w:ascii="Times New Roman" w:hAnsi="Times New Roman"/>
          <w:szCs w:val="24"/>
        </w:rPr>
        <w:t xml:space="preserve"> (финансирање редовног рада политичких субјеката</w:t>
      </w:r>
      <w:r w:rsidR="006E0E3C" w:rsidRPr="00C531A2">
        <w:rPr>
          <w:rFonts w:ascii="Times New Roman" w:hAnsi="Times New Roman"/>
          <w:szCs w:val="24"/>
        </w:rPr>
        <w:t>,</w:t>
      </w:r>
      <w:r w:rsidR="00CE2A83" w:rsidRPr="00C531A2">
        <w:rPr>
          <w:rFonts w:ascii="Times New Roman" w:hAnsi="Times New Roman"/>
          <w:szCs w:val="24"/>
        </w:rPr>
        <w:t xml:space="preserve"> финансирање гранских спортских савеза</w:t>
      </w:r>
      <w:r w:rsidR="006E0E3C" w:rsidRPr="00C531A2">
        <w:rPr>
          <w:rFonts w:ascii="Times New Roman" w:hAnsi="Times New Roman"/>
          <w:szCs w:val="24"/>
        </w:rPr>
        <w:t>,</w:t>
      </w:r>
      <w:r w:rsidR="00CE2A83" w:rsidRPr="00C531A2">
        <w:rPr>
          <w:rFonts w:ascii="Calibri" w:hAnsi="Calibri" w:cs="Calibri"/>
          <w:sz w:val="22"/>
          <w:szCs w:val="22"/>
        </w:rPr>
        <w:t xml:space="preserve"> </w:t>
      </w:r>
      <w:r w:rsidR="00CE2A83" w:rsidRPr="00C531A2">
        <w:rPr>
          <w:rFonts w:ascii="Times New Roman" w:hAnsi="Times New Roman"/>
          <w:szCs w:val="24"/>
        </w:rPr>
        <w:t>материјалн</w:t>
      </w:r>
      <w:r w:rsidR="00D85776" w:rsidRPr="00C531A2">
        <w:rPr>
          <w:rFonts w:ascii="Times New Roman" w:hAnsi="Times New Roman"/>
          <w:szCs w:val="24"/>
        </w:rPr>
        <w:t>у</w:t>
      </w:r>
      <w:r w:rsidR="00CE2A83" w:rsidRPr="00C531A2">
        <w:rPr>
          <w:rFonts w:ascii="Times New Roman" w:hAnsi="Times New Roman"/>
          <w:szCs w:val="24"/>
        </w:rPr>
        <w:t xml:space="preserve"> подршк</w:t>
      </w:r>
      <w:r w:rsidR="00D85776" w:rsidRPr="00C531A2">
        <w:rPr>
          <w:rFonts w:ascii="Times New Roman" w:hAnsi="Times New Roman"/>
          <w:szCs w:val="24"/>
        </w:rPr>
        <w:t>у</w:t>
      </w:r>
      <w:r w:rsidR="00CE2A83" w:rsidRPr="00C531A2">
        <w:rPr>
          <w:rFonts w:ascii="Times New Roman" w:hAnsi="Times New Roman"/>
          <w:szCs w:val="24"/>
        </w:rPr>
        <w:t xml:space="preserve"> раду правосудних органа</w:t>
      </w:r>
      <w:r w:rsidR="006E0E3C" w:rsidRPr="00C531A2">
        <w:rPr>
          <w:rFonts w:ascii="Times New Roman" w:hAnsi="Times New Roman"/>
          <w:szCs w:val="24"/>
        </w:rPr>
        <w:t>,</w:t>
      </w:r>
      <w:r w:rsidR="00CE2A83" w:rsidRPr="00C531A2">
        <w:rPr>
          <w:rFonts w:ascii="Calibri" w:hAnsi="Calibri" w:cs="Calibri"/>
          <w:sz w:val="22"/>
          <w:szCs w:val="22"/>
        </w:rPr>
        <w:t xml:space="preserve"> </w:t>
      </w:r>
      <w:r w:rsidR="00CE2A83" w:rsidRPr="00C531A2">
        <w:rPr>
          <w:rFonts w:ascii="Times New Roman" w:hAnsi="Times New Roman"/>
          <w:szCs w:val="24"/>
        </w:rPr>
        <w:t>подршк</w:t>
      </w:r>
      <w:r w:rsidR="00D85776" w:rsidRPr="00C531A2">
        <w:rPr>
          <w:rFonts w:ascii="Times New Roman" w:hAnsi="Times New Roman"/>
          <w:szCs w:val="24"/>
        </w:rPr>
        <w:t>у</w:t>
      </w:r>
      <w:r w:rsidR="00CE2A83" w:rsidRPr="00C531A2">
        <w:rPr>
          <w:rFonts w:ascii="Times New Roman" w:hAnsi="Times New Roman"/>
          <w:szCs w:val="24"/>
        </w:rPr>
        <w:t xml:space="preserve"> удружењима и локалним заједницама</w:t>
      </w:r>
      <w:r w:rsidR="006E0E3C" w:rsidRPr="00C531A2">
        <w:rPr>
          <w:rFonts w:ascii="Times New Roman" w:hAnsi="Times New Roman"/>
          <w:szCs w:val="24"/>
        </w:rPr>
        <w:t>,</w:t>
      </w:r>
      <w:r w:rsidR="00641D6B" w:rsidRPr="00C531A2">
        <w:rPr>
          <w:rFonts w:ascii="Times New Roman" w:hAnsi="Times New Roman"/>
          <w:szCs w:val="24"/>
        </w:rPr>
        <w:t xml:space="preserve"> </w:t>
      </w:r>
      <w:r w:rsidR="00B85F35" w:rsidRPr="00C531A2">
        <w:rPr>
          <w:rFonts w:ascii="Times New Roman" w:hAnsi="Times New Roman"/>
          <w:szCs w:val="24"/>
        </w:rPr>
        <w:t>програме Црвеног крста Србије</w:t>
      </w:r>
      <w:r w:rsidR="006E0E3C" w:rsidRPr="00C531A2">
        <w:rPr>
          <w:rFonts w:ascii="Times New Roman" w:hAnsi="Times New Roman"/>
          <w:szCs w:val="24"/>
        </w:rPr>
        <w:t>,</w:t>
      </w:r>
      <w:r w:rsidR="00A13608" w:rsidRPr="00C531A2">
        <w:rPr>
          <w:rFonts w:ascii="Times New Roman" w:hAnsi="Times New Roman"/>
          <w:szCs w:val="24"/>
        </w:rPr>
        <w:t xml:space="preserve"> </w:t>
      </w:r>
      <w:r w:rsidR="00C94C80" w:rsidRPr="00C531A2">
        <w:rPr>
          <w:rFonts w:ascii="Times New Roman" w:hAnsi="Times New Roman"/>
          <w:szCs w:val="24"/>
        </w:rPr>
        <w:t xml:space="preserve">унапређење положаја националних мањина </w:t>
      </w:r>
      <w:r w:rsidR="00CE2A83" w:rsidRPr="00C531A2">
        <w:rPr>
          <w:rFonts w:ascii="Times New Roman" w:hAnsi="Times New Roman"/>
          <w:szCs w:val="24"/>
        </w:rPr>
        <w:t>и др</w:t>
      </w:r>
      <w:r w:rsidR="005A171E" w:rsidRPr="00C531A2">
        <w:rPr>
          <w:rFonts w:ascii="Times New Roman" w:hAnsi="Times New Roman"/>
          <w:szCs w:val="24"/>
        </w:rPr>
        <w:t>.</w:t>
      </w:r>
      <w:r w:rsidR="00CE2A83" w:rsidRPr="00C531A2">
        <w:rPr>
          <w:rFonts w:ascii="Times New Roman" w:hAnsi="Times New Roman"/>
          <w:szCs w:val="24"/>
        </w:rPr>
        <w:t>)</w:t>
      </w:r>
      <w:r w:rsidR="00BD0701" w:rsidRPr="00C531A2">
        <w:rPr>
          <w:rFonts w:ascii="Times New Roman" w:hAnsi="Times New Roman"/>
          <w:szCs w:val="24"/>
        </w:rPr>
        <w:t>;</w:t>
      </w:r>
      <w:r w:rsidR="00CE2A83" w:rsidRPr="00C531A2">
        <w:rPr>
          <w:rFonts w:ascii="Times New Roman" w:hAnsi="Times New Roman"/>
          <w:szCs w:val="24"/>
        </w:rPr>
        <w:t xml:space="preserve"> п</w:t>
      </w:r>
      <w:r w:rsidR="00CE2A83" w:rsidRPr="00C531A2">
        <w:rPr>
          <w:rFonts w:ascii="Times New Roman" w:hAnsi="Times New Roman"/>
          <w:bCs/>
          <w:szCs w:val="24"/>
        </w:rPr>
        <w:t>орезе, обавезне таксе, казне, пенале и камате</w:t>
      </w:r>
      <w:r w:rsidR="00CE2A83" w:rsidRPr="00C531A2">
        <w:rPr>
          <w:rFonts w:ascii="Times New Roman" w:hAnsi="Times New Roman"/>
          <w:szCs w:val="24"/>
        </w:rPr>
        <w:t xml:space="preserve">; </w:t>
      </w:r>
      <w:r w:rsidR="00CE2A83" w:rsidRPr="00C531A2">
        <w:rPr>
          <w:rFonts w:ascii="Times New Roman" w:hAnsi="Times New Roman"/>
          <w:bCs/>
          <w:szCs w:val="24"/>
        </w:rPr>
        <w:t>новчане казне и пенале по решењу судова</w:t>
      </w:r>
      <w:r w:rsidR="00CE2A83" w:rsidRPr="00C531A2">
        <w:rPr>
          <w:rFonts w:ascii="Times New Roman" w:hAnsi="Times New Roman"/>
          <w:szCs w:val="24"/>
        </w:rPr>
        <w:t xml:space="preserve"> (извршење судских поступака, заштита права у поступцима пред домаћим </w:t>
      </w:r>
      <w:r w:rsidR="00E93ABE" w:rsidRPr="00C531A2">
        <w:rPr>
          <w:rFonts w:ascii="Times New Roman" w:hAnsi="Times New Roman"/>
          <w:szCs w:val="24"/>
        </w:rPr>
        <w:t xml:space="preserve">и страним </w:t>
      </w:r>
      <w:r w:rsidR="00CE2A83" w:rsidRPr="00C531A2">
        <w:rPr>
          <w:rFonts w:ascii="Times New Roman" w:hAnsi="Times New Roman"/>
          <w:szCs w:val="24"/>
        </w:rPr>
        <w:t xml:space="preserve">судовима и др.); </w:t>
      </w:r>
      <w:r w:rsidR="00CE2A83" w:rsidRPr="00C531A2">
        <w:rPr>
          <w:rFonts w:ascii="Times New Roman" w:hAnsi="Times New Roman"/>
          <w:bCs/>
          <w:szCs w:val="24"/>
        </w:rPr>
        <w:t>накнаду штете за повреде или штету нанету од стране државних органа</w:t>
      </w:r>
      <w:r w:rsidR="00CE2A83" w:rsidRPr="00C531A2">
        <w:rPr>
          <w:rFonts w:ascii="Times New Roman" w:hAnsi="Times New Roman"/>
          <w:b/>
          <w:szCs w:val="24"/>
        </w:rPr>
        <w:t xml:space="preserve"> </w:t>
      </w:r>
      <w:r w:rsidR="00CE2A83" w:rsidRPr="00C531A2">
        <w:rPr>
          <w:rFonts w:ascii="Times New Roman" w:hAnsi="Times New Roman"/>
          <w:szCs w:val="24"/>
        </w:rPr>
        <w:t>(враћање одузете имовине и обештећење за одузету имовину</w:t>
      </w:r>
      <w:r w:rsidR="00A13608" w:rsidRPr="00C531A2">
        <w:rPr>
          <w:rFonts w:ascii="Times New Roman" w:hAnsi="Times New Roman"/>
          <w:szCs w:val="24"/>
        </w:rPr>
        <w:t xml:space="preserve">, </w:t>
      </w:r>
      <w:r w:rsidR="00FC5015" w:rsidRPr="00C531A2">
        <w:rPr>
          <w:rFonts w:ascii="Times New Roman" w:hAnsi="Times New Roman"/>
          <w:szCs w:val="24"/>
        </w:rPr>
        <w:t>интервенцијска средства за потребе спровођења ИПА програма</w:t>
      </w:r>
      <w:r w:rsidR="006E0E3C" w:rsidRPr="00C531A2">
        <w:rPr>
          <w:rFonts w:ascii="Times New Roman" w:hAnsi="Times New Roman"/>
          <w:szCs w:val="24"/>
        </w:rPr>
        <w:t>,</w:t>
      </w:r>
      <w:r w:rsidR="00FC5015" w:rsidRPr="00C531A2">
        <w:rPr>
          <w:rFonts w:ascii="Times New Roman" w:hAnsi="Times New Roman"/>
          <w:szCs w:val="24"/>
        </w:rPr>
        <w:t xml:space="preserve"> </w:t>
      </w:r>
      <w:r w:rsidR="00A13608" w:rsidRPr="00C531A2">
        <w:rPr>
          <w:rFonts w:ascii="Times New Roman" w:hAnsi="Times New Roman"/>
          <w:szCs w:val="24"/>
        </w:rPr>
        <w:t>функционисање МО и ВС</w:t>
      </w:r>
      <w:r w:rsidR="00CE43A4" w:rsidRPr="00C531A2">
        <w:rPr>
          <w:rFonts w:ascii="Times New Roman" w:hAnsi="Times New Roman"/>
          <w:szCs w:val="24"/>
        </w:rPr>
        <w:t>; спровођење судских поступака</w:t>
      </w:r>
      <w:r w:rsidR="00E76A98" w:rsidRPr="00C531A2">
        <w:rPr>
          <w:rFonts w:ascii="Times New Roman" w:hAnsi="Times New Roman"/>
          <w:szCs w:val="24"/>
        </w:rPr>
        <w:t>)</w:t>
      </w:r>
      <w:r w:rsidR="00E93ABE" w:rsidRPr="00C531A2">
        <w:rPr>
          <w:rFonts w:ascii="Times New Roman" w:hAnsi="Times New Roman"/>
          <w:szCs w:val="24"/>
        </w:rPr>
        <w:t xml:space="preserve"> </w:t>
      </w:r>
      <w:r w:rsidR="008B38AA" w:rsidRPr="00C531A2">
        <w:rPr>
          <w:rFonts w:ascii="Times New Roman" w:hAnsi="Times New Roman"/>
          <w:szCs w:val="24"/>
        </w:rPr>
        <w:t>и др.</w:t>
      </w:r>
    </w:p>
    <w:p w14:paraId="6504972D" w14:textId="77777777" w:rsidR="00725D9F" w:rsidRPr="00C531A2" w:rsidRDefault="00725D9F" w:rsidP="00332D68">
      <w:pPr>
        <w:tabs>
          <w:tab w:val="left" w:pos="720"/>
          <w:tab w:val="left" w:pos="900"/>
        </w:tabs>
        <w:rPr>
          <w:rFonts w:ascii="Times New Roman" w:hAnsi="Times New Roman"/>
          <w:szCs w:val="24"/>
        </w:rPr>
      </w:pPr>
    </w:p>
    <w:p w14:paraId="2BA75F6D" w14:textId="302331C0" w:rsidR="00293402" w:rsidRPr="00C531A2" w:rsidRDefault="00293402" w:rsidP="00293402">
      <w:pPr>
        <w:ind w:firstLine="630"/>
        <w:rPr>
          <w:rFonts w:ascii="Calibri" w:hAnsi="Calibri"/>
          <w:sz w:val="22"/>
        </w:rPr>
      </w:pPr>
      <w:r w:rsidRPr="00C531A2">
        <w:rPr>
          <w:rFonts w:ascii="Times New Roman" w:hAnsi="Times New Roman"/>
          <w:b/>
          <w:bCs/>
          <w:color w:val="000000"/>
        </w:rPr>
        <w:t>Издаци за нефинансијску имовину</w:t>
      </w:r>
      <w:r w:rsidRPr="00C531A2">
        <w:rPr>
          <w:rFonts w:ascii="Times New Roman" w:hAnsi="Times New Roman"/>
          <w:bCs/>
        </w:rPr>
        <w:t xml:space="preserve"> планирани су у износу од </w:t>
      </w:r>
      <w:r w:rsidR="003A3E9A" w:rsidRPr="00C531A2">
        <w:rPr>
          <w:rFonts w:ascii="Times New Roman" w:hAnsi="Times New Roman"/>
          <w:bCs/>
        </w:rPr>
        <w:t>60</w:t>
      </w:r>
      <w:r w:rsidR="00F169DE" w:rsidRPr="00C531A2">
        <w:rPr>
          <w:rFonts w:ascii="Times New Roman" w:hAnsi="Times New Roman"/>
          <w:bCs/>
        </w:rPr>
        <w:t>3</w:t>
      </w:r>
      <w:r w:rsidR="003A3E9A" w:rsidRPr="00C531A2">
        <w:rPr>
          <w:rFonts w:ascii="Times New Roman" w:hAnsi="Times New Roman"/>
          <w:bCs/>
        </w:rPr>
        <w:t>,</w:t>
      </w:r>
      <w:r w:rsidR="008C2AA3">
        <w:rPr>
          <w:rFonts w:ascii="Times New Roman" w:hAnsi="Times New Roman"/>
          <w:bCs/>
        </w:rPr>
        <w:t>28</w:t>
      </w:r>
      <w:r w:rsidR="00790B6F">
        <w:rPr>
          <w:rFonts w:ascii="Times New Roman" w:hAnsi="Times New Roman"/>
          <w:bCs/>
          <w:lang w:val="sr-Latn-RS"/>
        </w:rPr>
        <w:t xml:space="preserve"> </w:t>
      </w:r>
      <w:r w:rsidRPr="00C531A2">
        <w:rPr>
          <w:rFonts w:ascii="Times New Roman" w:eastAsia="Calibri" w:hAnsi="Times New Roman"/>
          <w:bCs/>
        </w:rPr>
        <w:t>млрд динара</w:t>
      </w:r>
      <w:r w:rsidRPr="00C531A2">
        <w:rPr>
          <w:rFonts w:ascii="Times New Roman" w:hAnsi="Times New Roman"/>
          <w:color w:val="000000"/>
        </w:rPr>
        <w:t xml:space="preserve"> </w:t>
      </w:r>
      <w:r w:rsidRPr="00C531A2">
        <w:rPr>
          <w:rFonts w:ascii="Times New Roman" w:hAnsi="Times New Roman"/>
          <w:szCs w:val="24"/>
        </w:rPr>
        <w:t>што представља</w:t>
      </w:r>
      <w:r w:rsidRPr="00C531A2">
        <w:rPr>
          <w:rFonts w:ascii="Times New Roman" w:eastAsia="Calibri" w:hAnsi="Times New Roman"/>
          <w:bCs/>
        </w:rPr>
        <w:t xml:space="preserve"> </w:t>
      </w:r>
      <w:r w:rsidRPr="00C531A2">
        <w:rPr>
          <w:rFonts w:ascii="Times New Roman" w:hAnsi="Times New Roman"/>
          <w:szCs w:val="24"/>
        </w:rPr>
        <w:t>2</w:t>
      </w:r>
      <w:r w:rsidR="003A3E9A" w:rsidRPr="00C531A2">
        <w:rPr>
          <w:rFonts w:ascii="Times New Roman" w:hAnsi="Times New Roman"/>
          <w:szCs w:val="24"/>
        </w:rPr>
        <w:t>1,</w:t>
      </w:r>
      <w:r w:rsidR="00F169DE" w:rsidRPr="00C531A2">
        <w:rPr>
          <w:rFonts w:ascii="Times New Roman" w:hAnsi="Times New Roman"/>
          <w:szCs w:val="24"/>
        </w:rPr>
        <w:t>92</w:t>
      </w:r>
      <w:r w:rsidRPr="00C531A2">
        <w:rPr>
          <w:rFonts w:ascii="Times New Roman" w:hAnsi="Times New Roman"/>
          <w:szCs w:val="24"/>
        </w:rPr>
        <w:t>% укупних расхода и издатака</w:t>
      </w:r>
      <w:r w:rsidRPr="00C531A2">
        <w:rPr>
          <w:rFonts w:ascii="Times New Roman" w:eastAsia="Calibri" w:hAnsi="Times New Roman"/>
          <w:bCs/>
        </w:rPr>
        <w:t>. Значајнија средства у 2026. години обезбеђена су за</w:t>
      </w:r>
      <w:r w:rsidRPr="00C531A2">
        <w:rPr>
          <w:rFonts w:ascii="Times New Roman" w:hAnsi="Times New Roman"/>
        </w:rPr>
        <w:t xml:space="preserve">: изградњу Националног фудбалског стадиона са пратећим садржајима; </w:t>
      </w:r>
      <w:r w:rsidRPr="00C531A2">
        <w:rPr>
          <w:rFonts w:ascii="Times New Roman" w:eastAsia="Calibri" w:hAnsi="Times New Roman"/>
          <w:bCs/>
        </w:rPr>
        <w:t xml:space="preserve">EXPO Београд 2027; тунел од Карађорђеве улице до Дунавске падине; Војску Србије; брзу саобраћајницу Iб реда Нови Сад-Рума; Пројекат мађарско-српске железнице; реконструкцију железничке пруге Ниш-Димитровград; изградњу аутопута Е-761, деоница: Појате-Прељина; изградњу саобраћајнице Рума-Шабац-Лозница; изградњу аутопута Београд-Зрењанин; </w:t>
      </w:r>
      <w:r w:rsidRPr="00C531A2">
        <w:rPr>
          <w:rFonts w:ascii="Times New Roman" w:hAnsi="Times New Roman"/>
        </w:rPr>
        <w:t>изградњу моста - обилазнице око Новог Сада са приступним саобраћајницама; Пројекат изградње комуналне (канализационе) инфраст</w:t>
      </w:r>
      <w:r w:rsidRPr="00C531A2">
        <w:rPr>
          <w:rFonts w:ascii="Times New Roman" w:eastAsia="Calibri" w:hAnsi="Times New Roman"/>
          <w:bCs/>
        </w:rPr>
        <w:t>руктуре и инфраструктуре за одлагање комуналног чврстог отпада у Републици Србији; изградњу београдског метроа; изградњу северне обилазнице око Крагујевца; брзу саобраћајницу петља Пожаревац-Голубац; изградњу пруге између Земун поља и Националног стадиона; изградњу саобраћајница за потребе међународне специјализоване изложбе EXPO 2027 Belgrade; модернизацију инфраструктуре основних школа; обнову и изградњу објеката јавне намене у области здравства; обнову и изградњу објеката јавне намене у области просвете и науке и др.</w:t>
      </w:r>
    </w:p>
    <w:p w14:paraId="79F6951C" w14:textId="77777777" w:rsidR="00FC5F3D" w:rsidRPr="00C531A2" w:rsidRDefault="00FC5F3D" w:rsidP="00FC5F3D">
      <w:pPr>
        <w:ind w:firstLine="630"/>
        <w:rPr>
          <w:rFonts w:ascii="Times New Roman" w:hAnsi="Times New Roman"/>
        </w:rPr>
      </w:pPr>
    </w:p>
    <w:p w14:paraId="73D324B1" w14:textId="5BFCC40F" w:rsidR="00FC5F3D" w:rsidRPr="00C531A2" w:rsidRDefault="00B42CFC" w:rsidP="00FC5F3D">
      <w:pPr>
        <w:ind w:firstLine="630"/>
        <w:rPr>
          <w:rFonts w:ascii="Times New Roman" w:hAnsi="Times New Roman"/>
        </w:rPr>
      </w:pPr>
      <w:r>
        <w:rPr>
          <w:lang w:val="sr-Latn-RS"/>
        </w:rPr>
        <w:lastRenderedPageBreak/>
        <w:drawing>
          <wp:inline distT="0" distB="0" distL="0" distR="0" wp14:anchorId="0AFA5502" wp14:editId="31D9038D">
            <wp:extent cx="4819650" cy="2950210"/>
            <wp:effectExtent l="0" t="0" r="0" b="2540"/>
            <wp:docPr id="1976510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19916" cy="2950373"/>
                    </a:xfrm>
                    <a:prstGeom prst="rect">
                      <a:avLst/>
                    </a:prstGeom>
                    <a:noFill/>
                  </pic:spPr>
                </pic:pic>
              </a:graphicData>
            </a:graphic>
          </wp:inline>
        </w:drawing>
      </w:r>
    </w:p>
    <w:p w14:paraId="20EF3DBE" w14:textId="6A5B92B5" w:rsidR="00F26D4C" w:rsidRPr="00C531A2" w:rsidRDefault="00F26D4C" w:rsidP="00AE772C">
      <w:pPr>
        <w:spacing w:after="160" w:line="252" w:lineRule="auto"/>
        <w:contextualSpacing/>
        <w:rPr>
          <w:rFonts w:ascii="Times New Roman" w:hAnsi="Times New Roman"/>
          <w:b/>
          <w:bCs/>
          <w:color w:val="000000"/>
        </w:rPr>
      </w:pPr>
    </w:p>
    <w:p w14:paraId="24C2FE2D" w14:textId="047139AC" w:rsidR="00CE2A83" w:rsidRPr="00C531A2" w:rsidRDefault="00055153" w:rsidP="005954DE">
      <w:pPr>
        <w:spacing w:after="160" w:line="252" w:lineRule="auto"/>
        <w:ind w:firstLine="720"/>
        <w:contextualSpacing/>
        <w:rPr>
          <w:rFonts w:ascii="Times New Roman" w:hAnsi="Times New Roman"/>
          <w:szCs w:val="24"/>
        </w:rPr>
      </w:pPr>
      <w:r w:rsidRPr="00C531A2">
        <w:rPr>
          <w:rFonts w:ascii="Times New Roman" w:hAnsi="Times New Roman"/>
          <w:b/>
          <w:bCs/>
          <w:color w:val="000000"/>
        </w:rPr>
        <w:t xml:space="preserve">Издаци за отплату главнице (у циљу спровођења јавних политика) </w:t>
      </w:r>
      <w:r w:rsidRPr="00C531A2">
        <w:rPr>
          <w:rFonts w:ascii="Times New Roman" w:hAnsi="Times New Roman"/>
          <w:color w:val="000000"/>
          <w:szCs w:val="24"/>
        </w:rPr>
        <w:t xml:space="preserve">планирани су у износу од </w:t>
      </w:r>
      <w:r w:rsidR="008F31BA" w:rsidRPr="00C531A2">
        <w:rPr>
          <w:rFonts w:ascii="Times New Roman" w:hAnsi="Times New Roman"/>
          <w:szCs w:val="24"/>
        </w:rPr>
        <w:t>23,70</w:t>
      </w:r>
      <w:r w:rsidRPr="00C531A2">
        <w:rPr>
          <w:rFonts w:ascii="Times New Roman" w:hAnsi="Times New Roman"/>
          <w:szCs w:val="24"/>
        </w:rPr>
        <w:t xml:space="preserve"> млрд динара што представља </w:t>
      </w:r>
      <w:r w:rsidR="002D5F11" w:rsidRPr="00C531A2">
        <w:rPr>
          <w:rFonts w:ascii="Times New Roman" w:hAnsi="Times New Roman"/>
          <w:szCs w:val="24"/>
        </w:rPr>
        <w:t>0,8</w:t>
      </w:r>
      <w:r w:rsidR="008F31BA" w:rsidRPr="00C531A2">
        <w:rPr>
          <w:rFonts w:ascii="Times New Roman" w:hAnsi="Times New Roman"/>
          <w:szCs w:val="24"/>
        </w:rPr>
        <w:t>6</w:t>
      </w:r>
      <w:r w:rsidR="00512FFC" w:rsidRPr="00C531A2">
        <w:rPr>
          <w:rFonts w:ascii="Times New Roman" w:hAnsi="Times New Roman"/>
          <w:szCs w:val="24"/>
        </w:rPr>
        <w:t>%</w:t>
      </w:r>
      <w:r w:rsidRPr="00C531A2">
        <w:rPr>
          <w:rFonts w:ascii="Times New Roman" w:hAnsi="Times New Roman"/>
          <w:szCs w:val="24"/>
        </w:rPr>
        <w:t xml:space="preserve"> укупних расхода и издатака</w:t>
      </w:r>
      <w:r w:rsidR="004A1DE2" w:rsidRPr="00C531A2">
        <w:rPr>
          <w:rFonts w:ascii="Times New Roman" w:hAnsi="Times New Roman"/>
          <w:szCs w:val="24"/>
        </w:rPr>
        <w:t>. Средства су планирана за плаћања по гаранцијама</w:t>
      </w:r>
      <w:r w:rsidR="00A640B2" w:rsidRPr="00C531A2">
        <w:rPr>
          <w:rFonts w:ascii="Times New Roman" w:hAnsi="Times New Roman"/>
          <w:szCs w:val="24"/>
        </w:rPr>
        <w:t>.</w:t>
      </w:r>
    </w:p>
    <w:p w14:paraId="06BE4106" w14:textId="77777777" w:rsidR="00725D9F" w:rsidRPr="00C531A2" w:rsidRDefault="00725D9F" w:rsidP="005954DE">
      <w:pPr>
        <w:spacing w:after="160" w:line="252" w:lineRule="auto"/>
        <w:ind w:firstLine="720"/>
        <w:contextualSpacing/>
        <w:rPr>
          <w:rFonts w:ascii="Times New Roman" w:hAnsi="Times New Roman"/>
          <w:szCs w:val="24"/>
        </w:rPr>
      </w:pPr>
    </w:p>
    <w:p w14:paraId="72A825CB" w14:textId="2A5E40EB" w:rsidR="0022147E" w:rsidRPr="00C531A2" w:rsidRDefault="00CE2A83" w:rsidP="00594E90">
      <w:pPr>
        <w:ind w:firstLine="720"/>
        <w:rPr>
          <w:rFonts w:ascii="Calibri" w:hAnsi="Calibri" w:cs="Calibri"/>
          <w:color w:val="000000"/>
          <w:sz w:val="22"/>
          <w:szCs w:val="22"/>
        </w:rPr>
      </w:pPr>
      <w:r w:rsidRPr="00C531A2">
        <w:rPr>
          <w:rFonts w:ascii="Times New Roman" w:hAnsi="Times New Roman"/>
          <w:b/>
          <w:bCs/>
          <w:color w:val="000000"/>
        </w:rPr>
        <w:t>Издаци за набавку финансијске имовине (у циљу спровођења јавних политика)</w:t>
      </w:r>
      <w:r w:rsidRPr="00C531A2">
        <w:rPr>
          <w:rFonts w:ascii="Times New Roman" w:hAnsi="Times New Roman"/>
          <w:b/>
          <w:bCs/>
          <w:color w:val="000000"/>
          <w:szCs w:val="24"/>
        </w:rPr>
        <w:t xml:space="preserve"> </w:t>
      </w:r>
      <w:r w:rsidRPr="00C531A2">
        <w:rPr>
          <w:rFonts w:ascii="Times New Roman" w:hAnsi="Times New Roman"/>
          <w:color w:val="000000"/>
          <w:szCs w:val="24"/>
        </w:rPr>
        <w:t xml:space="preserve">планирани су у износу од </w:t>
      </w:r>
      <w:r w:rsidR="00AF432F" w:rsidRPr="00C531A2">
        <w:rPr>
          <w:rFonts w:ascii="Times New Roman" w:hAnsi="Times New Roman"/>
          <w:szCs w:val="24"/>
        </w:rPr>
        <w:t>13,48</w:t>
      </w:r>
      <w:r w:rsidR="0061597A" w:rsidRPr="00C531A2">
        <w:rPr>
          <w:rFonts w:ascii="Times New Roman" w:hAnsi="Times New Roman"/>
          <w:szCs w:val="24"/>
        </w:rPr>
        <w:t xml:space="preserve"> </w:t>
      </w:r>
      <w:r w:rsidRPr="00C531A2">
        <w:rPr>
          <w:rFonts w:ascii="Times New Roman" w:hAnsi="Times New Roman"/>
          <w:szCs w:val="24"/>
        </w:rPr>
        <w:t xml:space="preserve">млрд динара, што представља </w:t>
      </w:r>
      <w:r w:rsidR="002D5F11" w:rsidRPr="00C531A2">
        <w:rPr>
          <w:rFonts w:ascii="Times New Roman" w:hAnsi="Times New Roman"/>
          <w:szCs w:val="24"/>
        </w:rPr>
        <w:t>0,</w:t>
      </w:r>
      <w:r w:rsidR="00AF432F" w:rsidRPr="00C531A2">
        <w:rPr>
          <w:rFonts w:ascii="Times New Roman" w:hAnsi="Times New Roman"/>
          <w:szCs w:val="24"/>
        </w:rPr>
        <w:t>49</w:t>
      </w:r>
      <w:r w:rsidR="00512FFC" w:rsidRPr="00C531A2">
        <w:rPr>
          <w:rFonts w:ascii="Times New Roman" w:hAnsi="Times New Roman"/>
          <w:szCs w:val="24"/>
        </w:rPr>
        <w:t>%</w:t>
      </w:r>
      <w:r w:rsidRPr="00C531A2">
        <w:rPr>
          <w:rFonts w:ascii="Times New Roman" w:hAnsi="Times New Roman"/>
          <w:szCs w:val="24"/>
        </w:rPr>
        <w:t xml:space="preserve"> укупних расхода и издатака. Највећи износ</w:t>
      </w:r>
      <w:r w:rsidR="0022147E" w:rsidRPr="00C531A2">
        <w:rPr>
          <w:rFonts w:ascii="Times New Roman" w:hAnsi="Times New Roman"/>
          <w:szCs w:val="24"/>
        </w:rPr>
        <w:t xml:space="preserve"> средстава</w:t>
      </w:r>
      <w:r w:rsidRPr="00C531A2">
        <w:rPr>
          <w:rFonts w:ascii="Times New Roman" w:hAnsi="Times New Roman"/>
          <w:szCs w:val="24"/>
        </w:rPr>
        <w:t xml:space="preserve"> планиран</w:t>
      </w:r>
      <w:r w:rsidR="0022147E" w:rsidRPr="00C531A2">
        <w:rPr>
          <w:rFonts w:ascii="Times New Roman" w:hAnsi="Times New Roman"/>
          <w:szCs w:val="24"/>
        </w:rPr>
        <w:t xml:space="preserve"> је</w:t>
      </w:r>
      <w:r w:rsidRPr="00C531A2">
        <w:rPr>
          <w:rFonts w:ascii="Times New Roman" w:hAnsi="Times New Roman"/>
          <w:szCs w:val="24"/>
        </w:rPr>
        <w:t xml:space="preserve"> за</w:t>
      </w:r>
      <w:r w:rsidR="00F550E8" w:rsidRPr="00C531A2">
        <w:rPr>
          <w:rFonts w:ascii="Times New Roman" w:hAnsi="Times New Roman"/>
          <w:szCs w:val="24"/>
        </w:rPr>
        <w:t>:</w:t>
      </w:r>
      <w:r w:rsidR="0022147E" w:rsidRPr="00C531A2">
        <w:rPr>
          <w:rFonts w:ascii="Times New Roman" w:hAnsi="Times New Roman"/>
          <w:bCs/>
        </w:rPr>
        <w:t xml:space="preserve"> </w:t>
      </w:r>
      <w:r w:rsidR="0060051B" w:rsidRPr="00C531A2">
        <w:rPr>
          <w:rFonts w:ascii="Times New Roman" w:hAnsi="Times New Roman"/>
          <w:bCs/>
        </w:rPr>
        <w:t xml:space="preserve">функционисање МО и ВС; </w:t>
      </w:r>
      <w:r w:rsidR="00903058" w:rsidRPr="00C531A2">
        <w:rPr>
          <w:rFonts w:ascii="Times New Roman" w:hAnsi="Times New Roman"/>
          <w:bCs/>
        </w:rPr>
        <w:t xml:space="preserve">кредитну подршку предузећима у поступку приватизације; индивидуалну помоћ студентима; </w:t>
      </w:r>
      <w:r w:rsidR="00594E90" w:rsidRPr="00C531A2">
        <w:rPr>
          <w:rFonts w:ascii="Times New Roman" w:hAnsi="Times New Roman"/>
        </w:rPr>
        <w:t xml:space="preserve">административна подршка управљању финансијским и фискалним системом; </w:t>
      </w:r>
      <w:r w:rsidR="003617CA" w:rsidRPr="00C531A2">
        <w:rPr>
          <w:rFonts w:ascii="Times New Roman" w:hAnsi="Times New Roman"/>
        </w:rPr>
        <w:t>формирање и одржавање обавезних резерви нафте, деривата нафте и природног гаса</w:t>
      </w:r>
      <w:r w:rsidR="00594E90" w:rsidRPr="00C531A2">
        <w:rPr>
          <w:rFonts w:ascii="Times New Roman" w:hAnsi="Times New Roman"/>
        </w:rPr>
        <w:t>;</w:t>
      </w:r>
      <w:r w:rsidR="00594E90" w:rsidRPr="00C531A2">
        <w:t xml:space="preserve"> </w:t>
      </w:r>
      <w:r w:rsidR="00903058" w:rsidRPr="00C531A2">
        <w:rPr>
          <w:rFonts w:ascii="Times New Roman" w:hAnsi="Times New Roman"/>
        </w:rPr>
        <w:t>програм интегрисаног управљања чврстим отпадом у Србији</w:t>
      </w:r>
      <w:r w:rsidR="003617CA" w:rsidRPr="00C531A2">
        <w:rPr>
          <w:rFonts w:ascii="Times New Roman" w:hAnsi="Times New Roman"/>
        </w:rPr>
        <w:t xml:space="preserve"> и др.</w:t>
      </w:r>
    </w:p>
    <w:p w14:paraId="5D7EBC67" w14:textId="77777777" w:rsidR="00833644" w:rsidRPr="00C531A2" w:rsidRDefault="00833644" w:rsidP="00DF5008">
      <w:pPr>
        <w:spacing w:after="160" w:line="252" w:lineRule="auto"/>
        <w:contextualSpacing/>
        <w:rPr>
          <w:rFonts w:ascii="Times New Roman" w:hAnsi="Times New Roman"/>
          <w:szCs w:val="24"/>
          <w:highlight w:val="yellow"/>
        </w:rPr>
      </w:pPr>
    </w:p>
    <w:p w14:paraId="210BE1D5" w14:textId="70C75928" w:rsidR="007104F0" w:rsidRPr="00C531A2" w:rsidRDefault="00055153" w:rsidP="00845DE2">
      <w:pPr>
        <w:tabs>
          <w:tab w:val="left" w:pos="720"/>
        </w:tabs>
        <w:spacing w:after="120" w:line="276" w:lineRule="auto"/>
        <w:rPr>
          <w:rStyle w:val="CharCharChar5"/>
          <w:rFonts w:ascii="Times New Roman" w:hAnsi="Times New Roman"/>
          <w:b/>
          <w:szCs w:val="24"/>
          <w:lang w:val="sr-Cyrl-RS"/>
        </w:rPr>
      </w:pPr>
      <w:r w:rsidRPr="00C531A2">
        <w:rPr>
          <w:rFonts w:ascii="Times New Roman" w:hAnsi="Times New Roman"/>
          <w:b/>
          <w:bCs/>
          <w:color w:val="000000"/>
        </w:rPr>
        <w:tab/>
      </w:r>
      <w:r w:rsidR="007104F0" w:rsidRPr="00C531A2">
        <w:rPr>
          <w:rStyle w:val="CharCharChar5"/>
          <w:rFonts w:ascii="Times New Roman" w:hAnsi="Times New Roman"/>
          <w:b/>
          <w:szCs w:val="24"/>
          <w:lang w:val="sr-Cyrl-RS"/>
        </w:rPr>
        <w:t>III. ОБРАЗЛОЖЕЊЕ ПРЕДЛОГА ПОТРЕБНИХ СРЕДСТАВА ПО КОРИСНИЦИМА БУЏЕТА</w:t>
      </w:r>
    </w:p>
    <w:p w14:paraId="5FE36CDD" w14:textId="77777777" w:rsidR="007104F0" w:rsidRPr="00C531A2" w:rsidRDefault="00AF0FD8" w:rsidP="004416D9">
      <w:pPr>
        <w:tabs>
          <w:tab w:val="left" w:pos="720"/>
        </w:tabs>
        <w:outlineLvl w:val="0"/>
        <w:rPr>
          <w:rFonts w:ascii="Times New Roman" w:hAnsi="Times New Roman"/>
          <w:szCs w:val="24"/>
        </w:rPr>
      </w:pPr>
      <w:r w:rsidRPr="00C531A2">
        <w:rPr>
          <w:rStyle w:val="CharCharChar5"/>
          <w:rFonts w:ascii="Times New Roman" w:hAnsi="Times New Roman"/>
          <w:szCs w:val="24"/>
          <w:lang w:val="sr-Cyrl-RS"/>
        </w:rPr>
        <w:tab/>
      </w:r>
      <w:r w:rsidR="007104F0" w:rsidRPr="00C531A2">
        <w:rPr>
          <w:rStyle w:val="CharCharChar5"/>
          <w:rFonts w:ascii="Times New Roman" w:hAnsi="Times New Roman"/>
          <w:szCs w:val="24"/>
          <w:lang w:val="sr-Cyrl-RS"/>
        </w:rPr>
        <w:t>У буџетској процедури Министарство финансија разматра захтеве корисника буџетских средстава садржане у предлозима њихових финансијских планова, који су у складу са Законом о буџетском систему исказани</w:t>
      </w:r>
      <w:r w:rsidR="007104F0" w:rsidRPr="00C531A2">
        <w:rPr>
          <w:rFonts w:ascii="Times New Roman" w:hAnsi="Times New Roman"/>
          <w:szCs w:val="24"/>
        </w:rPr>
        <w:t xml:space="preserve"> на програмски начин</w:t>
      </w:r>
      <w:r w:rsidR="007104F0" w:rsidRPr="00C531A2">
        <w:rPr>
          <w:rStyle w:val="CharCharChar5"/>
          <w:rFonts w:ascii="Times New Roman" w:hAnsi="Times New Roman"/>
          <w:szCs w:val="24"/>
          <w:lang w:val="sr-Cyrl-RS"/>
        </w:rPr>
        <w:t>.</w:t>
      </w:r>
    </w:p>
    <w:p w14:paraId="32D434E0" w14:textId="77777777" w:rsidR="00692D32" w:rsidRPr="00C531A2" w:rsidRDefault="00C64AC3" w:rsidP="004416D9">
      <w:pPr>
        <w:tabs>
          <w:tab w:val="left" w:pos="720"/>
        </w:tabs>
        <w:outlineLvl w:val="0"/>
        <w:rPr>
          <w:rFonts w:ascii="Times New Roman" w:hAnsi="Times New Roman"/>
          <w:szCs w:val="24"/>
        </w:rPr>
      </w:pPr>
      <w:r w:rsidRPr="00C531A2">
        <w:rPr>
          <w:rStyle w:val="CharCharChar5"/>
          <w:rFonts w:ascii="Times New Roman" w:hAnsi="Times New Roman"/>
          <w:szCs w:val="24"/>
          <w:lang w:val="sr-Cyrl-RS"/>
        </w:rPr>
        <w:tab/>
      </w:r>
      <w:r w:rsidR="007104F0" w:rsidRPr="00C531A2">
        <w:rPr>
          <w:rStyle w:val="CharCharChar5"/>
          <w:rFonts w:ascii="Times New Roman" w:hAnsi="Times New Roman"/>
          <w:szCs w:val="24"/>
          <w:lang w:val="sr-Cyrl-RS"/>
        </w:rPr>
        <w:t>Програмски буџет распоређује буџетска средстава према намени. Овако представљени расходи омогућавају лакше праћење ефеката утрошених средстава као и евалуацију да ли се средства троше у складу са циљевима Владе.</w:t>
      </w:r>
      <w:r w:rsidR="00633B47" w:rsidRPr="00C531A2">
        <w:rPr>
          <w:rStyle w:val="CharCharChar5"/>
          <w:rFonts w:ascii="Times New Roman" w:hAnsi="Times New Roman"/>
          <w:szCs w:val="24"/>
          <w:lang w:val="sr-Cyrl-RS"/>
        </w:rPr>
        <w:t xml:space="preserve"> </w:t>
      </w:r>
      <w:r w:rsidR="00CC7515" w:rsidRPr="00C531A2">
        <w:rPr>
          <w:rFonts w:ascii="Times New Roman" w:hAnsi="Times New Roman"/>
          <w:szCs w:val="24"/>
        </w:rPr>
        <w:t>Такође, програмски</w:t>
      </w:r>
      <w:r w:rsidR="00692D32" w:rsidRPr="00C531A2">
        <w:rPr>
          <w:rFonts w:ascii="Times New Roman" w:hAnsi="Times New Roman"/>
          <w:szCs w:val="24"/>
        </w:rPr>
        <w:t xml:space="preserve"> буџет oмoгућaвa бoљe упрaвљaњe учинкoм jaвнe упрaвe, вeћу oдгoвoрнoст кoрисникa буџета, успoстaвљaњe снaжниjих вeзa измeђу гoдишњeг буџeтa, утврђивања приоритетних рaсхoдa и издатака и спровођења jaвних пoлитикa, кao и вeћу трaнспaрeнтнoст пoтрoшњe.</w:t>
      </w:r>
    </w:p>
    <w:p w14:paraId="12484C7F" w14:textId="02781324" w:rsidR="008F27B7" w:rsidRPr="00C531A2" w:rsidRDefault="00C64AC3" w:rsidP="004416D9">
      <w:pPr>
        <w:tabs>
          <w:tab w:val="left" w:pos="720"/>
        </w:tabs>
        <w:rPr>
          <w:rFonts w:ascii="Times New Roman" w:hAnsi="Times New Roman"/>
          <w:szCs w:val="24"/>
        </w:rPr>
      </w:pPr>
      <w:r w:rsidRPr="00C531A2">
        <w:rPr>
          <w:rFonts w:ascii="Times New Roman" w:hAnsi="Times New Roman"/>
          <w:szCs w:val="24"/>
        </w:rPr>
        <w:tab/>
      </w:r>
      <w:r w:rsidR="007104F0" w:rsidRPr="00C531A2">
        <w:rPr>
          <w:rFonts w:ascii="Times New Roman" w:hAnsi="Times New Roman"/>
          <w:szCs w:val="24"/>
        </w:rPr>
        <w:t xml:space="preserve">У </w:t>
      </w:r>
      <w:r w:rsidR="006F117C" w:rsidRPr="00C531A2">
        <w:rPr>
          <w:rFonts w:ascii="Times New Roman" w:hAnsi="Times New Roman"/>
          <w:szCs w:val="24"/>
        </w:rPr>
        <w:t>делу Образложење -</w:t>
      </w:r>
      <w:r w:rsidR="00A61662" w:rsidRPr="00C531A2">
        <w:rPr>
          <w:rFonts w:ascii="Times New Roman" w:hAnsi="Times New Roman"/>
          <w:szCs w:val="24"/>
        </w:rPr>
        <w:t xml:space="preserve"> Програмске информације</w:t>
      </w:r>
      <w:r w:rsidR="007104F0" w:rsidRPr="00C531A2">
        <w:rPr>
          <w:rFonts w:ascii="Times New Roman" w:hAnsi="Times New Roman"/>
          <w:szCs w:val="24"/>
        </w:rPr>
        <w:t xml:space="preserve"> </w:t>
      </w:r>
      <w:r w:rsidR="00A61662" w:rsidRPr="00C531A2">
        <w:rPr>
          <w:rFonts w:ascii="Times New Roman" w:hAnsi="Times New Roman"/>
          <w:szCs w:val="24"/>
        </w:rPr>
        <w:t>налазе се</w:t>
      </w:r>
      <w:r w:rsidR="007104F0" w:rsidRPr="00C531A2">
        <w:rPr>
          <w:rFonts w:ascii="Times New Roman" w:hAnsi="Times New Roman"/>
          <w:szCs w:val="24"/>
        </w:rPr>
        <w:t xml:space="preserve"> образложења програмских структура које су доставили буџетски корисници уз предлоге финансијских планова.</w:t>
      </w:r>
    </w:p>
    <w:p w14:paraId="1B470875" w14:textId="77777777" w:rsidR="008F27B7" w:rsidRPr="00C531A2" w:rsidRDefault="008F27B7" w:rsidP="004416D9">
      <w:pPr>
        <w:tabs>
          <w:tab w:val="left" w:pos="720"/>
        </w:tabs>
        <w:rPr>
          <w:rFonts w:ascii="Times New Roman" w:hAnsi="Times New Roman"/>
          <w:szCs w:val="24"/>
        </w:rPr>
      </w:pPr>
    </w:p>
    <w:p w14:paraId="6E652F96" w14:textId="0F1C3CB6" w:rsidR="00CF1E96" w:rsidRPr="00C531A2" w:rsidRDefault="008F27B7" w:rsidP="004416D9">
      <w:pPr>
        <w:tabs>
          <w:tab w:val="left" w:pos="720"/>
        </w:tabs>
        <w:rPr>
          <w:rFonts w:ascii="Times New Roman" w:hAnsi="Times New Roman"/>
          <w:b/>
          <w:bCs/>
          <w:szCs w:val="24"/>
        </w:rPr>
      </w:pPr>
      <w:r w:rsidRPr="00C531A2">
        <w:rPr>
          <w:rFonts w:ascii="Times New Roman" w:hAnsi="Times New Roman"/>
          <w:szCs w:val="24"/>
        </w:rPr>
        <w:tab/>
      </w:r>
      <w:r w:rsidR="00CF1E96" w:rsidRPr="00C531A2">
        <w:rPr>
          <w:rFonts w:ascii="Times New Roman" w:hAnsi="Times New Roman"/>
          <w:b/>
          <w:bCs/>
          <w:szCs w:val="24"/>
        </w:rPr>
        <w:t>IV. СРЕДЊОРОЧНИ ОКВИР ПРИХОДА И РАСХОДА</w:t>
      </w:r>
    </w:p>
    <w:p w14:paraId="7D3BFD48" w14:textId="77777777" w:rsidR="00CF1E96" w:rsidRPr="00C531A2" w:rsidRDefault="00CF1E96" w:rsidP="004416D9">
      <w:pPr>
        <w:tabs>
          <w:tab w:val="left" w:pos="720"/>
        </w:tabs>
        <w:rPr>
          <w:rFonts w:ascii="Times New Roman" w:hAnsi="Times New Roman"/>
          <w:b/>
          <w:bCs/>
          <w:szCs w:val="24"/>
        </w:rPr>
      </w:pPr>
    </w:p>
    <w:p w14:paraId="1EA2F532" w14:textId="7F4FEE0F" w:rsidR="00974B1E" w:rsidRPr="00C531A2" w:rsidRDefault="00A97DBA" w:rsidP="00A97DBA">
      <w:pPr>
        <w:tabs>
          <w:tab w:val="left" w:pos="720"/>
        </w:tabs>
        <w:rPr>
          <w:rFonts w:ascii="Times New Roman" w:hAnsi="Times New Roman"/>
          <w:szCs w:val="24"/>
        </w:rPr>
      </w:pPr>
      <w:r w:rsidRPr="00C531A2">
        <w:rPr>
          <w:rFonts w:ascii="Times New Roman" w:hAnsi="Times New Roman"/>
          <w:szCs w:val="24"/>
        </w:rPr>
        <w:tab/>
      </w:r>
      <w:r w:rsidR="00974B1E" w:rsidRPr="00C531A2">
        <w:rPr>
          <w:rFonts w:ascii="Times New Roman" w:hAnsi="Times New Roman"/>
          <w:szCs w:val="24"/>
        </w:rPr>
        <w:t>У наставку је дат преглед срењорочног оквира прихода и расхода буџета Републике, са подацима о</w:t>
      </w:r>
      <w:r w:rsidR="00725D9F" w:rsidRPr="00C531A2">
        <w:rPr>
          <w:rFonts w:ascii="Times New Roman" w:hAnsi="Times New Roman"/>
          <w:szCs w:val="24"/>
        </w:rPr>
        <w:t xml:space="preserve"> извршењу за 2024. годину,</w:t>
      </w:r>
      <w:r w:rsidR="00974B1E" w:rsidRPr="00C531A2">
        <w:rPr>
          <w:rFonts w:ascii="Times New Roman" w:hAnsi="Times New Roman"/>
          <w:szCs w:val="24"/>
        </w:rPr>
        <w:t xml:space="preserve"> иницијалним износима за 2025. годину, планираним износима за 2026. годину и пројекцијама за 2027. и 2028. годину.</w:t>
      </w:r>
    </w:p>
    <w:p w14:paraId="32338C0C" w14:textId="2B4B800F" w:rsidR="00974B1E" w:rsidRPr="00C531A2" w:rsidRDefault="00203648" w:rsidP="00A97DBA">
      <w:pPr>
        <w:tabs>
          <w:tab w:val="left" w:pos="720"/>
        </w:tabs>
        <w:rPr>
          <w:rFonts w:ascii="Times New Roman" w:hAnsi="Times New Roman"/>
          <w:szCs w:val="24"/>
        </w:rPr>
      </w:pPr>
      <w:r w:rsidRPr="00C531A2">
        <w:rPr>
          <w:rFonts w:ascii="Times New Roman" w:hAnsi="Times New Roman"/>
          <w:szCs w:val="24"/>
        </w:rPr>
        <w:lastRenderedPageBreak/>
        <w:tab/>
      </w:r>
      <w:r w:rsidR="00725D9F" w:rsidRPr="00C531A2">
        <w:rPr>
          <w:rFonts w:ascii="Times New Roman" w:hAnsi="Times New Roman"/>
          <w:szCs w:val="24"/>
        </w:rPr>
        <w:t xml:space="preserve">Извршење за 2024. годину припремљено је на основу нацрта Завршног рачуна буџета Републикек Србије за 2024. годину. </w:t>
      </w:r>
      <w:r w:rsidR="00974B1E" w:rsidRPr="00C531A2">
        <w:rPr>
          <w:rFonts w:ascii="Times New Roman" w:hAnsi="Times New Roman"/>
          <w:szCs w:val="24"/>
        </w:rPr>
        <w:t>Пројекције</w:t>
      </w:r>
      <w:r w:rsidR="00725D9F" w:rsidRPr="00C531A2">
        <w:rPr>
          <w:rFonts w:ascii="Times New Roman" w:hAnsi="Times New Roman"/>
          <w:szCs w:val="24"/>
        </w:rPr>
        <w:t xml:space="preserve"> за 2027. и 2028. годину</w:t>
      </w:r>
      <w:r w:rsidR="00974B1E" w:rsidRPr="00C531A2">
        <w:rPr>
          <w:rFonts w:ascii="Times New Roman" w:hAnsi="Times New Roman"/>
          <w:szCs w:val="24"/>
        </w:rPr>
        <w:t xml:space="preserve"> припрем</w:t>
      </w:r>
      <w:r w:rsidR="00F00C09" w:rsidRPr="00C531A2">
        <w:rPr>
          <w:rFonts w:ascii="Times New Roman" w:hAnsi="Times New Roman"/>
          <w:szCs w:val="24"/>
        </w:rPr>
        <w:t>љ</w:t>
      </w:r>
      <w:r w:rsidR="00974B1E" w:rsidRPr="00C531A2">
        <w:rPr>
          <w:rFonts w:ascii="Times New Roman" w:hAnsi="Times New Roman"/>
          <w:szCs w:val="24"/>
        </w:rPr>
        <w:t>ене</w:t>
      </w:r>
      <w:r w:rsidR="00725D9F" w:rsidRPr="00C531A2">
        <w:rPr>
          <w:rFonts w:ascii="Times New Roman" w:hAnsi="Times New Roman"/>
          <w:szCs w:val="24"/>
        </w:rPr>
        <w:t xml:space="preserve"> су</w:t>
      </w:r>
      <w:r w:rsidR="00974B1E" w:rsidRPr="00C531A2">
        <w:rPr>
          <w:rFonts w:ascii="Times New Roman" w:hAnsi="Times New Roman"/>
          <w:szCs w:val="24"/>
        </w:rPr>
        <w:t xml:space="preserve"> на основ</w:t>
      </w:r>
      <w:r w:rsidR="00725D9F" w:rsidRPr="00C531A2">
        <w:rPr>
          <w:rFonts w:ascii="Times New Roman" w:hAnsi="Times New Roman"/>
          <w:szCs w:val="24"/>
        </w:rPr>
        <w:t>у параметара из Фискалне стратегије и</w:t>
      </w:r>
      <w:r w:rsidR="00974B1E" w:rsidRPr="00C531A2">
        <w:rPr>
          <w:rFonts w:ascii="Times New Roman" w:hAnsi="Times New Roman"/>
          <w:szCs w:val="24"/>
        </w:rPr>
        <w:t xml:space="preserve"> предлога финансијских планова буџетских к</w:t>
      </w:r>
      <w:r w:rsidR="00725D9F" w:rsidRPr="00C531A2">
        <w:rPr>
          <w:rFonts w:ascii="Times New Roman" w:hAnsi="Times New Roman"/>
          <w:szCs w:val="24"/>
        </w:rPr>
        <w:t>орисника за средњорочни период.</w:t>
      </w:r>
    </w:p>
    <w:p w14:paraId="261FCB59" w14:textId="76DB78CC" w:rsidR="00974B1E" w:rsidRPr="00C531A2" w:rsidRDefault="00974B1E" w:rsidP="004416D9">
      <w:pPr>
        <w:tabs>
          <w:tab w:val="left" w:pos="720"/>
        </w:tabs>
        <w:rPr>
          <w:rFonts w:ascii="Times New Roman" w:hAnsi="Times New Roman"/>
          <w:b/>
          <w:bCs/>
          <w:szCs w:val="24"/>
        </w:rPr>
      </w:pPr>
    </w:p>
    <w:p w14:paraId="3376D5F1" w14:textId="37123EC9" w:rsidR="00302E16" w:rsidRDefault="009622CC" w:rsidP="004416D9">
      <w:pPr>
        <w:tabs>
          <w:tab w:val="left" w:pos="720"/>
        </w:tabs>
        <w:rPr>
          <w:rFonts w:ascii="Times New Roman" w:hAnsi="Times New Roman"/>
          <w:b/>
          <w:bCs/>
          <w:szCs w:val="24"/>
          <w:lang w:val="en-US"/>
        </w:rPr>
      </w:pPr>
      <w:r w:rsidRPr="009622CC">
        <w:drawing>
          <wp:inline distT="0" distB="0" distL="0" distR="0" wp14:anchorId="3EFB7A93" wp14:editId="36F870C2">
            <wp:extent cx="5543550" cy="1982470"/>
            <wp:effectExtent l="0" t="0" r="0" b="0"/>
            <wp:docPr id="15196795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43550" cy="1982470"/>
                    </a:xfrm>
                    <a:prstGeom prst="rect">
                      <a:avLst/>
                    </a:prstGeom>
                    <a:noFill/>
                    <a:ln>
                      <a:noFill/>
                    </a:ln>
                  </pic:spPr>
                </pic:pic>
              </a:graphicData>
            </a:graphic>
          </wp:inline>
        </w:drawing>
      </w:r>
    </w:p>
    <w:p w14:paraId="52F3E570" w14:textId="77777777" w:rsidR="009622CC" w:rsidRDefault="009622CC" w:rsidP="004416D9">
      <w:pPr>
        <w:tabs>
          <w:tab w:val="left" w:pos="720"/>
        </w:tabs>
        <w:rPr>
          <w:rFonts w:ascii="Times New Roman" w:hAnsi="Times New Roman"/>
          <w:b/>
          <w:bCs/>
          <w:szCs w:val="24"/>
          <w:lang w:val="en-US"/>
        </w:rPr>
      </w:pPr>
    </w:p>
    <w:p w14:paraId="4ECD081F" w14:textId="4CCB409C" w:rsidR="009622CC" w:rsidRDefault="007B4343" w:rsidP="004416D9">
      <w:pPr>
        <w:tabs>
          <w:tab w:val="left" w:pos="720"/>
        </w:tabs>
        <w:rPr>
          <w:rFonts w:ascii="Times New Roman" w:hAnsi="Times New Roman"/>
          <w:b/>
          <w:bCs/>
          <w:szCs w:val="24"/>
          <w:lang w:val="en-US"/>
        </w:rPr>
      </w:pPr>
      <w:r w:rsidRPr="007B4343">
        <w:drawing>
          <wp:inline distT="0" distB="0" distL="0" distR="0" wp14:anchorId="61E14C68" wp14:editId="352043E2">
            <wp:extent cx="5543550" cy="2754630"/>
            <wp:effectExtent l="0" t="0" r="0" b="7620"/>
            <wp:docPr id="290443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43550" cy="2754630"/>
                    </a:xfrm>
                    <a:prstGeom prst="rect">
                      <a:avLst/>
                    </a:prstGeom>
                    <a:noFill/>
                    <a:ln>
                      <a:noFill/>
                    </a:ln>
                  </pic:spPr>
                </pic:pic>
              </a:graphicData>
            </a:graphic>
          </wp:inline>
        </w:drawing>
      </w:r>
    </w:p>
    <w:p w14:paraId="018E15A4" w14:textId="77777777" w:rsidR="009622CC" w:rsidRDefault="009622CC" w:rsidP="004416D9">
      <w:pPr>
        <w:tabs>
          <w:tab w:val="left" w:pos="720"/>
        </w:tabs>
        <w:rPr>
          <w:rFonts w:ascii="Times New Roman" w:hAnsi="Times New Roman"/>
          <w:b/>
          <w:bCs/>
          <w:szCs w:val="24"/>
          <w:lang w:val="en-US"/>
        </w:rPr>
      </w:pPr>
    </w:p>
    <w:p w14:paraId="6C3560DD" w14:textId="7E766BDD" w:rsidR="009622CC" w:rsidRPr="009622CC" w:rsidRDefault="009622CC" w:rsidP="004416D9">
      <w:pPr>
        <w:tabs>
          <w:tab w:val="left" w:pos="720"/>
        </w:tabs>
        <w:rPr>
          <w:rFonts w:ascii="Times New Roman" w:hAnsi="Times New Roman"/>
          <w:b/>
          <w:bCs/>
          <w:szCs w:val="24"/>
          <w:lang w:val="en-US"/>
        </w:rPr>
      </w:pPr>
      <w:r w:rsidRPr="009622CC">
        <w:drawing>
          <wp:inline distT="0" distB="0" distL="0" distR="0" wp14:anchorId="7FEA32E5" wp14:editId="55AB0D9F">
            <wp:extent cx="5543550" cy="1180465"/>
            <wp:effectExtent l="0" t="0" r="0" b="635"/>
            <wp:docPr id="3199902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43550" cy="1180465"/>
                    </a:xfrm>
                    <a:prstGeom prst="rect">
                      <a:avLst/>
                    </a:prstGeom>
                    <a:noFill/>
                    <a:ln>
                      <a:noFill/>
                    </a:ln>
                  </pic:spPr>
                </pic:pic>
              </a:graphicData>
            </a:graphic>
          </wp:inline>
        </w:drawing>
      </w:r>
    </w:p>
    <w:p w14:paraId="58D7A209" w14:textId="468053CC" w:rsidR="00CF1E96" w:rsidRPr="00C531A2" w:rsidRDefault="00CF1E96" w:rsidP="004416D9">
      <w:pPr>
        <w:tabs>
          <w:tab w:val="left" w:pos="720"/>
        </w:tabs>
        <w:rPr>
          <w:rFonts w:ascii="Times New Roman" w:hAnsi="Times New Roman"/>
          <w:b/>
          <w:bCs/>
          <w:szCs w:val="24"/>
        </w:rPr>
      </w:pPr>
    </w:p>
    <w:p w14:paraId="441B938C" w14:textId="2D149B43" w:rsidR="00725D9F" w:rsidRPr="00C531A2" w:rsidRDefault="006E0E3C" w:rsidP="004416D9">
      <w:pPr>
        <w:tabs>
          <w:tab w:val="left" w:pos="720"/>
        </w:tabs>
        <w:rPr>
          <w:rFonts w:ascii="Times New Roman" w:hAnsi="Times New Roman"/>
          <w:bCs/>
          <w:szCs w:val="24"/>
        </w:rPr>
      </w:pPr>
      <w:r w:rsidRPr="00C531A2">
        <w:rPr>
          <w:rFonts w:ascii="Times New Roman" w:hAnsi="Times New Roman"/>
          <w:bCs/>
          <w:szCs w:val="24"/>
        </w:rPr>
        <w:tab/>
      </w:r>
      <w:r w:rsidR="00725D9F" w:rsidRPr="00C531A2">
        <w:rPr>
          <w:rFonts w:ascii="Times New Roman" w:hAnsi="Times New Roman"/>
          <w:bCs/>
          <w:szCs w:val="24"/>
        </w:rPr>
        <w:t xml:space="preserve">У наставку је табела усклађености средњорочног оквира расхода, са подацима о укупном оквиру расхода за 2026. и 2027. годину у два буџетска циклуса, односно у буџетском циклусу за 2025. годину и буџетском циклусу за 2026. годину. </w:t>
      </w:r>
    </w:p>
    <w:p w14:paraId="58821023" w14:textId="77777777" w:rsidR="009920C2" w:rsidRPr="00C531A2" w:rsidRDefault="009920C2" w:rsidP="004416D9">
      <w:pPr>
        <w:tabs>
          <w:tab w:val="left" w:pos="720"/>
        </w:tabs>
        <w:rPr>
          <w:rFonts w:ascii="Times New Roman" w:hAnsi="Times New Roman"/>
          <w:b/>
          <w:bCs/>
          <w:szCs w:val="24"/>
        </w:rPr>
      </w:pPr>
    </w:p>
    <w:p w14:paraId="45919329" w14:textId="7CE266A4" w:rsidR="009920C2" w:rsidRPr="00C531A2" w:rsidRDefault="00EB72B4" w:rsidP="006C2715">
      <w:pPr>
        <w:tabs>
          <w:tab w:val="left" w:pos="720"/>
        </w:tabs>
        <w:jc w:val="center"/>
        <w:rPr>
          <w:rFonts w:ascii="Times New Roman" w:hAnsi="Times New Roman"/>
          <w:b/>
          <w:bCs/>
          <w:szCs w:val="24"/>
        </w:rPr>
      </w:pPr>
      <w:r w:rsidRPr="00C531A2">
        <w:lastRenderedPageBreak/>
        <w:drawing>
          <wp:inline distT="0" distB="0" distL="0" distR="0" wp14:anchorId="6D302FCF" wp14:editId="22F9D217">
            <wp:extent cx="5067300" cy="1838960"/>
            <wp:effectExtent l="0" t="0" r="0" b="0"/>
            <wp:docPr id="13024641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071895" cy="1840628"/>
                    </a:xfrm>
                    <a:prstGeom prst="rect">
                      <a:avLst/>
                    </a:prstGeom>
                    <a:noFill/>
                    <a:ln>
                      <a:noFill/>
                    </a:ln>
                  </pic:spPr>
                </pic:pic>
              </a:graphicData>
            </a:graphic>
          </wp:inline>
        </w:drawing>
      </w:r>
    </w:p>
    <w:p w14:paraId="31B43E70" w14:textId="2FB975E8" w:rsidR="00C76D4C" w:rsidRPr="00C531A2" w:rsidRDefault="00F26D4C" w:rsidP="004416D9">
      <w:pPr>
        <w:tabs>
          <w:tab w:val="left" w:pos="720"/>
        </w:tabs>
        <w:rPr>
          <w:rFonts w:ascii="Times New Roman" w:hAnsi="Times New Roman"/>
          <w:b/>
          <w:bCs/>
          <w:szCs w:val="24"/>
        </w:rPr>
      </w:pPr>
      <w:r w:rsidRPr="00C531A2">
        <w:rPr>
          <w:rFonts w:ascii="Times New Roman" w:hAnsi="Times New Roman"/>
          <w:szCs w:val="24"/>
        </w:rPr>
        <w:tab/>
      </w:r>
      <w:r w:rsidR="00C76D4C" w:rsidRPr="00C531A2">
        <w:rPr>
          <w:rFonts w:ascii="Times New Roman" w:hAnsi="Times New Roman"/>
          <w:b/>
          <w:bCs/>
          <w:szCs w:val="24"/>
        </w:rPr>
        <w:t>V. ПРИЛОЗИ УЗ БУЏЕТСКУ ДОКУМЕНТАЦИЈУ</w:t>
      </w:r>
    </w:p>
    <w:p w14:paraId="4F68120B" w14:textId="77777777" w:rsidR="00FD2968" w:rsidRPr="00C531A2" w:rsidRDefault="00FD2968" w:rsidP="004416D9">
      <w:pPr>
        <w:tabs>
          <w:tab w:val="left" w:pos="720"/>
        </w:tabs>
        <w:rPr>
          <w:rFonts w:ascii="Times New Roman" w:hAnsi="Times New Roman"/>
          <w:b/>
          <w:bCs/>
          <w:szCs w:val="24"/>
        </w:rPr>
      </w:pPr>
    </w:p>
    <w:p w14:paraId="5920D8F7" w14:textId="1D530DBF" w:rsidR="00C76D4C" w:rsidRPr="00C531A2" w:rsidRDefault="00C76D4C" w:rsidP="004416D9">
      <w:pPr>
        <w:tabs>
          <w:tab w:val="left" w:pos="720"/>
        </w:tabs>
        <w:rPr>
          <w:rFonts w:ascii="Times New Roman" w:hAnsi="Times New Roman"/>
          <w:szCs w:val="24"/>
        </w:rPr>
      </w:pPr>
      <w:r w:rsidRPr="00C531A2">
        <w:rPr>
          <w:rFonts w:ascii="Times New Roman" w:hAnsi="Times New Roman"/>
          <w:szCs w:val="24"/>
        </w:rPr>
        <w:tab/>
        <w:t xml:space="preserve">Саставни део буџетске документације чини Прилог 1 </w:t>
      </w:r>
      <w:r w:rsidR="00FD2968" w:rsidRPr="00C531A2">
        <w:rPr>
          <w:rFonts w:ascii="Times New Roman" w:hAnsi="Times New Roman"/>
          <w:szCs w:val="24"/>
        </w:rPr>
        <w:t>-</w:t>
      </w:r>
      <w:r w:rsidRPr="00C531A2">
        <w:rPr>
          <w:rFonts w:ascii="Times New Roman" w:hAnsi="Times New Roman"/>
          <w:szCs w:val="24"/>
        </w:rPr>
        <w:t xml:space="preserve"> </w:t>
      </w:r>
      <w:r w:rsidR="00910C35" w:rsidRPr="00C531A2">
        <w:rPr>
          <w:rFonts w:ascii="Times New Roman" w:hAnsi="Times New Roman"/>
          <w:szCs w:val="24"/>
        </w:rPr>
        <w:t xml:space="preserve">Преглед планираних средстава у буџету Републике Србије која имају позитиван утицај на заштиту животне средине </w:t>
      </w:r>
      <w:r w:rsidR="00FD2968" w:rsidRPr="00C531A2">
        <w:rPr>
          <w:rFonts w:ascii="Times New Roman" w:hAnsi="Times New Roman"/>
          <w:szCs w:val="24"/>
        </w:rPr>
        <w:t>-</w:t>
      </w:r>
      <w:r w:rsidR="00910C35" w:rsidRPr="00C531A2">
        <w:rPr>
          <w:rFonts w:ascii="Times New Roman" w:hAnsi="Times New Roman"/>
          <w:szCs w:val="24"/>
        </w:rPr>
        <w:t xml:space="preserve"> „Зелени буџет</w:t>
      </w:r>
      <w:r w:rsidR="001A3493" w:rsidRPr="00C531A2">
        <w:rPr>
          <w:rFonts w:ascii="Times New Roman" w:hAnsi="Times New Roman"/>
          <w:szCs w:val="24"/>
        </w:rPr>
        <w:t>ˮ</w:t>
      </w:r>
      <w:r w:rsidR="00910C35" w:rsidRPr="00C531A2">
        <w:rPr>
          <w:rFonts w:ascii="Times New Roman" w:hAnsi="Times New Roman"/>
          <w:szCs w:val="24"/>
        </w:rPr>
        <w:t xml:space="preserve"> и Прилог 1а </w:t>
      </w:r>
      <w:r w:rsidR="00FD2968" w:rsidRPr="00C531A2">
        <w:rPr>
          <w:rFonts w:ascii="Times New Roman" w:hAnsi="Times New Roman"/>
          <w:szCs w:val="24"/>
        </w:rPr>
        <w:t>-</w:t>
      </w:r>
      <w:r w:rsidR="00910C35" w:rsidRPr="00C531A2">
        <w:rPr>
          <w:rFonts w:ascii="Times New Roman" w:hAnsi="Times New Roman"/>
          <w:szCs w:val="24"/>
        </w:rPr>
        <w:t xml:space="preserve"> Табеларни преглед пројеката.</w:t>
      </w:r>
    </w:p>
    <w:p w14:paraId="27B4E2B4" w14:textId="41D73776" w:rsidR="00C76D4C" w:rsidRPr="00C531A2" w:rsidRDefault="00910C35" w:rsidP="004416D9">
      <w:pPr>
        <w:tabs>
          <w:tab w:val="left" w:pos="720"/>
        </w:tabs>
        <w:rPr>
          <w:rFonts w:ascii="Times New Roman" w:hAnsi="Times New Roman"/>
          <w:szCs w:val="24"/>
        </w:rPr>
      </w:pPr>
      <w:r w:rsidRPr="00C531A2">
        <w:rPr>
          <w:rFonts w:ascii="Times New Roman" w:hAnsi="Times New Roman"/>
          <w:szCs w:val="24"/>
        </w:rPr>
        <w:tab/>
        <w:t xml:space="preserve">Такође, </w:t>
      </w:r>
      <w:r w:rsidR="00285452" w:rsidRPr="00C531A2">
        <w:rPr>
          <w:rFonts w:ascii="Times New Roman" w:hAnsi="Times New Roman"/>
          <w:szCs w:val="24"/>
        </w:rPr>
        <w:t>део буџетске документације чине</w:t>
      </w:r>
      <w:r w:rsidRPr="00C531A2">
        <w:rPr>
          <w:rFonts w:ascii="Times New Roman" w:hAnsi="Times New Roman"/>
          <w:szCs w:val="24"/>
        </w:rPr>
        <w:t xml:space="preserve"> Прилог 2 - </w:t>
      </w:r>
      <w:r w:rsidR="00C76D4C" w:rsidRPr="00C531A2">
        <w:rPr>
          <w:rFonts w:ascii="Times New Roman" w:hAnsi="Times New Roman"/>
          <w:szCs w:val="24"/>
        </w:rPr>
        <w:t>Извештај о извршењу буџета Републике Србије за период јануар</w:t>
      </w:r>
      <w:r w:rsidRPr="00C531A2">
        <w:rPr>
          <w:rFonts w:ascii="Times New Roman" w:hAnsi="Times New Roman"/>
          <w:szCs w:val="24"/>
        </w:rPr>
        <w:t xml:space="preserve">-децембар </w:t>
      </w:r>
      <w:r w:rsidR="00363FF4" w:rsidRPr="00C531A2">
        <w:rPr>
          <w:rFonts w:ascii="Times New Roman" w:hAnsi="Times New Roman"/>
          <w:szCs w:val="24"/>
        </w:rPr>
        <w:t>2024.</w:t>
      </w:r>
      <w:r w:rsidRPr="00C531A2">
        <w:rPr>
          <w:rFonts w:ascii="Times New Roman" w:hAnsi="Times New Roman"/>
          <w:szCs w:val="24"/>
        </w:rPr>
        <w:t xml:space="preserve"> год</w:t>
      </w:r>
      <w:r w:rsidR="00701DCC" w:rsidRPr="00C531A2">
        <w:rPr>
          <w:rFonts w:ascii="Times New Roman" w:hAnsi="Times New Roman"/>
          <w:szCs w:val="24"/>
        </w:rPr>
        <w:t>ине</w:t>
      </w:r>
      <w:r w:rsidRPr="00C531A2">
        <w:rPr>
          <w:rFonts w:ascii="Times New Roman" w:hAnsi="Times New Roman"/>
          <w:szCs w:val="24"/>
        </w:rPr>
        <w:t xml:space="preserve"> и Прилог 3 - Извештај о извршењу буџета Републике Србије за период јануар-септембар 202</w:t>
      </w:r>
      <w:r w:rsidR="00363FF4" w:rsidRPr="00C531A2">
        <w:rPr>
          <w:rFonts w:ascii="Times New Roman" w:hAnsi="Times New Roman"/>
          <w:szCs w:val="24"/>
        </w:rPr>
        <w:t>5</w:t>
      </w:r>
      <w:r w:rsidRPr="00C531A2">
        <w:rPr>
          <w:rFonts w:ascii="Times New Roman" w:hAnsi="Times New Roman"/>
          <w:szCs w:val="24"/>
        </w:rPr>
        <w:t>. год</w:t>
      </w:r>
      <w:r w:rsidR="00065FD4" w:rsidRPr="00C531A2">
        <w:rPr>
          <w:rFonts w:ascii="Times New Roman" w:hAnsi="Times New Roman"/>
          <w:szCs w:val="24"/>
        </w:rPr>
        <w:t>ине.</w:t>
      </w:r>
    </w:p>
    <w:p w14:paraId="23EB618D" w14:textId="5EE02BDB" w:rsidR="00FE4096" w:rsidRPr="00C531A2" w:rsidRDefault="00FE4096" w:rsidP="00AF0FD8">
      <w:pPr>
        <w:tabs>
          <w:tab w:val="left" w:pos="720"/>
        </w:tabs>
        <w:rPr>
          <w:rFonts w:ascii="Times New Roman" w:hAnsi="Times New Roman"/>
          <w:b/>
          <w:szCs w:val="24"/>
        </w:rPr>
      </w:pPr>
    </w:p>
    <w:p w14:paraId="56D42683" w14:textId="5A94F56C" w:rsidR="007104F0" w:rsidRPr="00C531A2" w:rsidRDefault="00FE4096" w:rsidP="00AF0FD8">
      <w:pPr>
        <w:tabs>
          <w:tab w:val="left" w:pos="720"/>
        </w:tabs>
        <w:rPr>
          <w:rFonts w:ascii="Times New Roman" w:hAnsi="Times New Roman"/>
          <w:szCs w:val="24"/>
        </w:rPr>
      </w:pPr>
      <w:r w:rsidRPr="00C531A2">
        <w:rPr>
          <w:rFonts w:ascii="Times New Roman" w:hAnsi="Times New Roman"/>
          <w:b/>
          <w:szCs w:val="24"/>
        </w:rPr>
        <w:tab/>
      </w:r>
      <w:r w:rsidR="007104F0" w:rsidRPr="00C531A2">
        <w:rPr>
          <w:rFonts w:ascii="Times New Roman" w:hAnsi="Times New Roman"/>
          <w:b/>
          <w:szCs w:val="24"/>
        </w:rPr>
        <w:t>V</w:t>
      </w:r>
      <w:r w:rsidR="00CF1E96" w:rsidRPr="00C531A2">
        <w:rPr>
          <w:rFonts w:ascii="Times New Roman" w:hAnsi="Times New Roman"/>
          <w:b/>
          <w:szCs w:val="24"/>
        </w:rPr>
        <w:t>I</w:t>
      </w:r>
      <w:r w:rsidR="007104F0" w:rsidRPr="00C531A2">
        <w:rPr>
          <w:rFonts w:ascii="Times New Roman" w:hAnsi="Times New Roman"/>
          <w:b/>
          <w:szCs w:val="24"/>
        </w:rPr>
        <w:t>. РАЗЛОЗИ ЗА РАНИЈЕ СТУПАЊЕ НА СНАГУ ЗАКОНА</w:t>
      </w:r>
    </w:p>
    <w:p w14:paraId="49243AA2" w14:textId="77777777" w:rsidR="00AD2BC3" w:rsidRPr="00C531A2" w:rsidRDefault="00AD2BC3" w:rsidP="008A0FF7">
      <w:pPr>
        <w:outlineLvl w:val="0"/>
        <w:rPr>
          <w:rFonts w:ascii="Times New Roman" w:hAnsi="Times New Roman"/>
          <w:szCs w:val="24"/>
        </w:rPr>
      </w:pPr>
    </w:p>
    <w:p w14:paraId="7055A0EA" w14:textId="4B7C25B2" w:rsidR="002B6A77" w:rsidRPr="00C531A2" w:rsidRDefault="005606E5" w:rsidP="008A0FF7">
      <w:pPr>
        <w:outlineLvl w:val="0"/>
        <w:rPr>
          <w:rFonts w:ascii="Times New Roman" w:hAnsi="Times New Roman"/>
          <w:szCs w:val="24"/>
        </w:rPr>
      </w:pPr>
      <w:r w:rsidRPr="00C531A2">
        <w:rPr>
          <w:rFonts w:ascii="Times New Roman" w:hAnsi="Times New Roman"/>
          <w:szCs w:val="24"/>
        </w:rPr>
        <w:tab/>
      </w:r>
      <w:r w:rsidR="00382DFF" w:rsidRPr="00C531A2">
        <w:rPr>
          <w:rFonts w:ascii="Times New Roman" w:hAnsi="Times New Roman"/>
          <w:szCs w:val="24"/>
        </w:rPr>
        <w:t>Прe</w:t>
      </w:r>
      <w:r w:rsidR="007104F0" w:rsidRPr="00C531A2">
        <w:rPr>
          <w:rFonts w:ascii="Times New Roman" w:hAnsi="Times New Roman"/>
          <w:szCs w:val="24"/>
        </w:rPr>
        <w:t>длаже се да овај закон ступи на снагу наредног дана од дана објављивања у „Службеном гласнику Р</w:t>
      </w:r>
      <w:r w:rsidR="00D857CF" w:rsidRPr="00C531A2">
        <w:rPr>
          <w:rFonts w:ascii="Times New Roman" w:hAnsi="Times New Roman"/>
          <w:szCs w:val="24"/>
        </w:rPr>
        <w:t xml:space="preserve">епублике </w:t>
      </w:r>
      <w:r w:rsidR="007104F0" w:rsidRPr="00C531A2">
        <w:rPr>
          <w:rFonts w:ascii="Times New Roman" w:hAnsi="Times New Roman"/>
          <w:szCs w:val="24"/>
        </w:rPr>
        <w:t>С</w:t>
      </w:r>
      <w:r w:rsidR="00D857CF" w:rsidRPr="00C531A2">
        <w:rPr>
          <w:rFonts w:ascii="Times New Roman" w:hAnsi="Times New Roman"/>
          <w:szCs w:val="24"/>
        </w:rPr>
        <w:t>рбије</w:t>
      </w:r>
      <w:r w:rsidR="007104F0" w:rsidRPr="00C531A2">
        <w:rPr>
          <w:rFonts w:ascii="Times New Roman" w:hAnsi="Times New Roman"/>
          <w:szCs w:val="24"/>
        </w:rPr>
        <w:t>”. Нарочито оправдани разлози за раније ступање на снагу овог закона, у смислу члана 196. Устава Републике Србије, састоје се у потреби да се обезбеди несметано функционисање и финансирање државних органа и организација. Стога је ради обезбеђења финансирања остваривања права и дужности Републике утврђених Уставом и законом, потребно да се омогући несметано извршавање расхода, с обзиром да фискална година почиње од 1. јануара 20</w:t>
      </w:r>
      <w:r w:rsidR="00FC0AD3" w:rsidRPr="00C531A2">
        <w:rPr>
          <w:rFonts w:ascii="Times New Roman" w:hAnsi="Times New Roman"/>
          <w:szCs w:val="24"/>
        </w:rPr>
        <w:t>2</w:t>
      </w:r>
      <w:r w:rsidR="00E75583" w:rsidRPr="00C531A2">
        <w:rPr>
          <w:rFonts w:ascii="Times New Roman" w:hAnsi="Times New Roman"/>
          <w:szCs w:val="24"/>
        </w:rPr>
        <w:t>6</w:t>
      </w:r>
      <w:r w:rsidR="007104F0" w:rsidRPr="00C531A2">
        <w:rPr>
          <w:rFonts w:ascii="Times New Roman" w:hAnsi="Times New Roman"/>
          <w:szCs w:val="24"/>
        </w:rPr>
        <w:t xml:space="preserve">. године. У случају да се </w:t>
      </w:r>
      <w:r w:rsidR="00D857CF" w:rsidRPr="00C531A2">
        <w:rPr>
          <w:rFonts w:ascii="Times New Roman" w:hAnsi="Times New Roman"/>
          <w:szCs w:val="24"/>
        </w:rPr>
        <w:t xml:space="preserve">закон </w:t>
      </w:r>
      <w:r w:rsidR="007104F0" w:rsidRPr="00C531A2">
        <w:rPr>
          <w:rFonts w:ascii="Times New Roman" w:hAnsi="Times New Roman"/>
          <w:szCs w:val="24"/>
        </w:rPr>
        <w:t>донесе 31. децембра 20</w:t>
      </w:r>
      <w:r w:rsidR="00AF4807" w:rsidRPr="00C531A2">
        <w:rPr>
          <w:rFonts w:ascii="Times New Roman" w:hAnsi="Times New Roman"/>
          <w:szCs w:val="24"/>
        </w:rPr>
        <w:t>2</w:t>
      </w:r>
      <w:r w:rsidR="00E75583" w:rsidRPr="00C531A2">
        <w:rPr>
          <w:rFonts w:ascii="Times New Roman" w:hAnsi="Times New Roman"/>
          <w:szCs w:val="24"/>
        </w:rPr>
        <w:t>5</w:t>
      </w:r>
      <w:r w:rsidR="007104F0" w:rsidRPr="00C531A2">
        <w:rPr>
          <w:rFonts w:ascii="Times New Roman" w:hAnsi="Times New Roman"/>
          <w:szCs w:val="24"/>
        </w:rPr>
        <w:t xml:space="preserve">. године, била би доведена у питање редовна динамика извршавања расхода Републике, а тиме и извршавање функција и надлежности Републике. </w:t>
      </w:r>
    </w:p>
    <w:p w14:paraId="200B1544" w14:textId="77777777" w:rsidR="00C357A0" w:rsidRPr="00C531A2" w:rsidRDefault="00C357A0" w:rsidP="008A0FF7">
      <w:pPr>
        <w:outlineLvl w:val="0"/>
        <w:rPr>
          <w:rFonts w:ascii="Times New Roman" w:hAnsi="Times New Roman"/>
          <w:szCs w:val="24"/>
        </w:rPr>
      </w:pPr>
    </w:p>
    <w:p w14:paraId="643B86AD" w14:textId="77777777" w:rsidR="00C357A0" w:rsidRPr="006E0E3C" w:rsidRDefault="00C357A0" w:rsidP="008A0FF7">
      <w:pPr>
        <w:outlineLvl w:val="0"/>
        <w:rPr>
          <w:rFonts w:ascii="Times New Roman" w:hAnsi="Times New Roman"/>
          <w:sz w:val="23"/>
          <w:szCs w:val="23"/>
        </w:rPr>
      </w:pPr>
    </w:p>
    <w:sectPr w:rsidR="00C357A0" w:rsidRPr="006E0E3C" w:rsidSect="00502209">
      <w:footerReference w:type="default" r:id="rId21"/>
      <w:footerReference w:type="first" r:id="rId22"/>
      <w:pgSz w:w="11907" w:h="16840" w:code="9"/>
      <w:pgMar w:top="851" w:right="1827" w:bottom="851" w:left="135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E6605" w14:textId="77777777" w:rsidR="005F5E91" w:rsidRPr="00C531A2" w:rsidRDefault="005F5E91" w:rsidP="00762E8F">
      <w:r w:rsidRPr="00C531A2">
        <w:separator/>
      </w:r>
    </w:p>
  </w:endnote>
  <w:endnote w:type="continuationSeparator" w:id="0">
    <w:p w14:paraId="1B516446" w14:textId="77777777" w:rsidR="005F5E91" w:rsidRPr="00C531A2" w:rsidRDefault="005F5E91" w:rsidP="00762E8F">
      <w:r w:rsidRPr="00C531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TimesRoman">
    <w:altName w:val="Times New Roman"/>
    <w:charset w:val="00"/>
    <w:family w:val="auto"/>
    <w:pitch w:val="variable"/>
    <w:sig w:usb0="00000083" w:usb1="00000000" w:usb2="00000000" w:usb3="00000000" w:csb0="00000009"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Bahnschrift Light SemiCondensed">
    <w:panose1 w:val="020B0502040204020203"/>
    <w:charset w:val="CC"/>
    <w:family w:val="swiss"/>
    <w:pitch w:val="variable"/>
    <w:sig w:usb0="A00002C7" w:usb1="00000002" w:usb2="00000000" w:usb3="00000000" w:csb0="0000019F"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ahnschrift SemiLight SemiConde">
    <w:panose1 w:val="020B0502040204020203"/>
    <w:charset w:val="CC"/>
    <w:family w:val="swiss"/>
    <w:pitch w:val="variable"/>
    <w:sig w:usb0="A00002C7" w:usb1="00000002" w:usb2="00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sr-Cyrl-RS"/>
      </w:rPr>
      <w:id w:val="1397473409"/>
      <w:docPartObj>
        <w:docPartGallery w:val="Page Numbers (Bottom of Page)"/>
        <w:docPartUnique/>
      </w:docPartObj>
    </w:sdtPr>
    <w:sdtContent>
      <w:p w14:paraId="6131C7F7" w14:textId="5A4BDA9A" w:rsidR="00725D9F" w:rsidRPr="00C531A2" w:rsidRDefault="00725D9F">
        <w:pPr>
          <w:pStyle w:val="Footer"/>
          <w:jc w:val="right"/>
          <w:rPr>
            <w:lang w:val="sr-Cyrl-RS"/>
          </w:rPr>
        </w:pPr>
        <w:r w:rsidRPr="00C531A2">
          <w:rPr>
            <w:lang w:val="sr-Cyrl-RS"/>
          </w:rPr>
          <w:fldChar w:fldCharType="begin"/>
        </w:r>
        <w:r w:rsidRPr="00C531A2">
          <w:rPr>
            <w:lang w:val="sr-Cyrl-RS"/>
          </w:rPr>
          <w:instrText xml:space="preserve"> PAGE   \* MERGEFORMAT </w:instrText>
        </w:r>
        <w:r w:rsidRPr="00C531A2">
          <w:rPr>
            <w:lang w:val="sr-Cyrl-RS"/>
          </w:rPr>
          <w:fldChar w:fldCharType="separate"/>
        </w:r>
        <w:r w:rsidR="009E1F39" w:rsidRPr="00C531A2">
          <w:rPr>
            <w:lang w:val="sr-Cyrl-RS"/>
          </w:rPr>
          <w:t>30</w:t>
        </w:r>
        <w:r w:rsidRPr="00C531A2">
          <w:rPr>
            <w:lang w:val="sr-Cyrl-RS"/>
          </w:rPr>
          <w:fldChar w:fldCharType="end"/>
        </w:r>
      </w:p>
    </w:sdtContent>
  </w:sdt>
  <w:p w14:paraId="4DD14A83" w14:textId="77777777" w:rsidR="00725D9F" w:rsidRPr="00C531A2" w:rsidRDefault="00725D9F">
    <w:pPr>
      <w:pStyle w:val="Footer"/>
      <w:rPr>
        <w:lang w:val="sr-Cyrl-R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sr-Cyrl-RS"/>
      </w:rPr>
      <w:id w:val="-1308314711"/>
      <w:docPartObj>
        <w:docPartGallery w:val="Page Numbers (Bottom of Page)"/>
        <w:docPartUnique/>
      </w:docPartObj>
    </w:sdtPr>
    <w:sdtContent>
      <w:p w14:paraId="1B8891FB" w14:textId="1119E322" w:rsidR="00725D9F" w:rsidRPr="00C531A2" w:rsidRDefault="00725D9F">
        <w:pPr>
          <w:pStyle w:val="Footer"/>
          <w:jc w:val="right"/>
          <w:rPr>
            <w:lang w:val="sr-Cyrl-RS"/>
          </w:rPr>
        </w:pPr>
        <w:r w:rsidRPr="00C531A2">
          <w:rPr>
            <w:lang w:val="sr-Cyrl-RS"/>
          </w:rPr>
          <w:fldChar w:fldCharType="begin"/>
        </w:r>
        <w:r w:rsidRPr="00C531A2">
          <w:rPr>
            <w:lang w:val="sr-Cyrl-RS"/>
          </w:rPr>
          <w:instrText xml:space="preserve"> PAGE   \* MERGEFORMAT </w:instrText>
        </w:r>
        <w:r w:rsidRPr="00C531A2">
          <w:rPr>
            <w:lang w:val="sr-Cyrl-RS"/>
          </w:rPr>
          <w:fldChar w:fldCharType="separate"/>
        </w:r>
        <w:r w:rsidR="009E1F39" w:rsidRPr="00C531A2">
          <w:rPr>
            <w:lang w:val="sr-Cyrl-RS"/>
          </w:rPr>
          <w:t>1</w:t>
        </w:r>
        <w:r w:rsidRPr="00C531A2">
          <w:rPr>
            <w:lang w:val="sr-Cyrl-RS"/>
          </w:rPr>
          <w:fldChar w:fldCharType="end"/>
        </w:r>
      </w:p>
    </w:sdtContent>
  </w:sdt>
  <w:p w14:paraId="61550274" w14:textId="77777777" w:rsidR="00725D9F" w:rsidRPr="00C531A2" w:rsidRDefault="00725D9F">
    <w:pPr>
      <w:pStyle w:val="Footer"/>
      <w:rPr>
        <w:lang w:val="sr-Cyrl-R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86131" w14:textId="77777777" w:rsidR="005F5E91" w:rsidRPr="00C531A2" w:rsidRDefault="005F5E91" w:rsidP="00762E8F">
      <w:r w:rsidRPr="00C531A2">
        <w:separator/>
      </w:r>
    </w:p>
  </w:footnote>
  <w:footnote w:type="continuationSeparator" w:id="0">
    <w:p w14:paraId="44539A79" w14:textId="77777777" w:rsidR="005F5E91" w:rsidRPr="00C531A2" w:rsidRDefault="005F5E91" w:rsidP="00762E8F">
      <w:r w:rsidRPr="00C531A2">
        <w:continuationSeparator/>
      </w:r>
    </w:p>
  </w:footnote>
  <w:footnote w:id="1">
    <w:p w14:paraId="1B17DC61" w14:textId="77777777" w:rsidR="00725D9F" w:rsidRPr="00D12465" w:rsidRDefault="00725D9F" w:rsidP="0090740B">
      <w:pPr>
        <w:spacing w:after="120"/>
        <w:rPr>
          <w:rFonts w:ascii="Times New Roman" w:hAnsi="Times New Roman"/>
          <w:sz w:val="18"/>
          <w:szCs w:val="18"/>
        </w:rPr>
      </w:pPr>
      <w:r w:rsidRPr="00C531A2">
        <w:rPr>
          <w:rStyle w:val="FootnoteReference"/>
          <w:rFonts w:ascii="Times New Roman" w:hAnsi="Times New Roman"/>
          <w:sz w:val="18"/>
          <w:szCs w:val="18"/>
        </w:rPr>
        <w:footnoteRef/>
      </w:r>
      <w:r w:rsidRPr="00C531A2">
        <w:rPr>
          <w:rFonts w:ascii="Times New Roman" w:hAnsi="Times New Roman"/>
          <w:sz w:val="18"/>
          <w:szCs w:val="18"/>
        </w:rPr>
        <w:t xml:space="preserve"> Од 2024. године у категорији редовних непореских прихода, услед унапређења обухвата и система извршења буџета, налазе се и сопствени приходи свих средњих школа у Републици, а од 2025. године укључују се приходи основних школа и од 2026. године универзитета. До сада је овај део прихода био планиран у оквиру прихода индиректних буџетских корисника.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247F"/>
    <w:multiLevelType w:val="hybridMultilevel"/>
    <w:tmpl w:val="CDC6C934"/>
    <w:lvl w:ilvl="0" w:tplc="735C3332">
      <w:start w:val="4"/>
      <w:numFmt w:val="decimal"/>
      <w:lvlText w:val="%1."/>
      <w:lvlJc w:val="left"/>
      <w:pPr>
        <w:ind w:left="990" w:hanging="360"/>
      </w:pPr>
      <w:rPr>
        <w:rFonts w:hint="default"/>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15B575BE"/>
    <w:multiLevelType w:val="hybridMultilevel"/>
    <w:tmpl w:val="8514C64C"/>
    <w:lvl w:ilvl="0" w:tplc="281A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2347A3"/>
    <w:multiLevelType w:val="hybridMultilevel"/>
    <w:tmpl w:val="D1BC977E"/>
    <w:lvl w:ilvl="0" w:tplc="969EA29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7A3553"/>
    <w:multiLevelType w:val="hybridMultilevel"/>
    <w:tmpl w:val="EC02C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6B17C6"/>
    <w:multiLevelType w:val="hybridMultilevel"/>
    <w:tmpl w:val="8D2C769E"/>
    <w:lvl w:ilvl="0" w:tplc="969EA298">
      <w:numFmt w:val="bullet"/>
      <w:lvlText w:val="-"/>
      <w:lvlJc w:val="left"/>
      <w:pPr>
        <w:ind w:left="720" w:hanging="360"/>
      </w:pPr>
      <w:rPr>
        <w:rFonts w:ascii="Times New Roman" w:eastAsia="Calibr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2F9C3656"/>
    <w:multiLevelType w:val="hybridMultilevel"/>
    <w:tmpl w:val="7534BFCC"/>
    <w:lvl w:ilvl="0" w:tplc="1F008DFC">
      <w:start w:val="21"/>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44B2B1A"/>
    <w:multiLevelType w:val="multilevel"/>
    <w:tmpl w:val="0409001F"/>
    <w:styleLink w:val="111111"/>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49295FA6"/>
    <w:multiLevelType w:val="hybridMultilevel"/>
    <w:tmpl w:val="4A38BCE6"/>
    <w:lvl w:ilvl="0" w:tplc="969EA29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9AC5244"/>
    <w:multiLevelType w:val="hybridMultilevel"/>
    <w:tmpl w:val="E7FC2C76"/>
    <w:lvl w:ilvl="0" w:tplc="2DDCD660">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070D3B"/>
    <w:multiLevelType w:val="hybridMultilevel"/>
    <w:tmpl w:val="9376A87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2E1E96"/>
    <w:multiLevelType w:val="hybridMultilevel"/>
    <w:tmpl w:val="8B2ECDA2"/>
    <w:lvl w:ilvl="0" w:tplc="FB42A738">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15:restartNumberingAfterBreak="0">
    <w:nsid w:val="7D4C285C"/>
    <w:multiLevelType w:val="hybridMultilevel"/>
    <w:tmpl w:val="356E2046"/>
    <w:lvl w:ilvl="0" w:tplc="4D10DA2A">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5810051">
    <w:abstractNumId w:val="6"/>
  </w:num>
  <w:num w:numId="2" w16cid:durableId="1485583532">
    <w:abstractNumId w:val="4"/>
  </w:num>
  <w:num w:numId="3" w16cid:durableId="2119063580">
    <w:abstractNumId w:val="7"/>
  </w:num>
  <w:num w:numId="4" w16cid:durableId="959995631">
    <w:abstractNumId w:val="3"/>
  </w:num>
  <w:num w:numId="5" w16cid:durableId="1191144245">
    <w:abstractNumId w:val="9"/>
  </w:num>
  <w:num w:numId="6" w16cid:durableId="247009199">
    <w:abstractNumId w:val="5"/>
  </w:num>
  <w:num w:numId="7" w16cid:durableId="594896846">
    <w:abstractNumId w:val="8"/>
  </w:num>
  <w:num w:numId="8" w16cid:durableId="293414318">
    <w:abstractNumId w:val="1"/>
  </w:num>
  <w:num w:numId="9" w16cid:durableId="1214152112">
    <w:abstractNumId w:val="2"/>
  </w:num>
  <w:num w:numId="10" w16cid:durableId="1504935513">
    <w:abstractNumId w:val="0"/>
  </w:num>
  <w:num w:numId="11" w16cid:durableId="560168796">
    <w:abstractNumId w:val="10"/>
  </w:num>
  <w:num w:numId="12" w16cid:durableId="1900051802">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hideSpellingError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4F0"/>
    <w:rsid w:val="000008C6"/>
    <w:rsid w:val="000027E8"/>
    <w:rsid w:val="0000297E"/>
    <w:rsid w:val="00003474"/>
    <w:rsid w:val="000044DB"/>
    <w:rsid w:val="000048DC"/>
    <w:rsid w:val="000055F9"/>
    <w:rsid w:val="00005A5E"/>
    <w:rsid w:val="00006E56"/>
    <w:rsid w:val="00007D2F"/>
    <w:rsid w:val="00013BBC"/>
    <w:rsid w:val="00014917"/>
    <w:rsid w:val="000154F2"/>
    <w:rsid w:val="000176CF"/>
    <w:rsid w:val="000177C0"/>
    <w:rsid w:val="00022B38"/>
    <w:rsid w:val="0002471C"/>
    <w:rsid w:val="0002662A"/>
    <w:rsid w:val="000307B4"/>
    <w:rsid w:val="00031315"/>
    <w:rsid w:val="0003412D"/>
    <w:rsid w:val="00034855"/>
    <w:rsid w:val="00035478"/>
    <w:rsid w:val="00035B16"/>
    <w:rsid w:val="00040214"/>
    <w:rsid w:val="00040DCF"/>
    <w:rsid w:val="00040E60"/>
    <w:rsid w:val="000412E7"/>
    <w:rsid w:val="00043FD5"/>
    <w:rsid w:val="00045D20"/>
    <w:rsid w:val="0004609A"/>
    <w:rsid w:val="000465A8"/>
    <w:rsid w:val="000470D3"/>
    <w:rsid w:val="00047EB6"/>
    <w:rsid w:val="00050E17"/>
    <w:rsid w:val="0005130A"/>
    <w:rsid w:val="000516D2"/>
    <w:rsid w:val="00054353"/>
    <w:rsid w:val="00055153"/>
    <w:rsid w:val="00055A71"/>
    <w:rsid w:val="00055FED"/>
    <w:rsid w:val="00056E63"/>
    <w:rsid w:val="00060342"/>
    <w:rsid w:val="0006091D"/>
    <w:rsid w:val="00062130"/>
    <w:rsid w:val="00062B8A"/>
    <w:rsid w:val="00063137"/>
    <w:rsid w:val="0006322B"/>
    <w:rsid w:val="00064348"/>
    <w:rsid w:val="0006454C"/>
    <w:rsid w:val="00064B92"/>
    <w:rsid w:val="0006571E"/>
    <w:rsid w:val="0006598D"/>
    <w:rsid w:val="00065FD4"/>
    <w:rsid w:val="000671F9"/>
    <w:rsid w:val="000711D1"/>
    <w:rsid w:val="000713AD"/>
    <w:rsid w:val="00071B56"/>
    <w:rsid w:val="000726EA"/>
    <w:rsid w:val="00072E44"/>
    <w:rsid w:val="00072FE5"/>
    <w:rsid w:val="0007424B"/>
    <w:rsid w:val="00074A40"/>
    <w:rsid w:val="00075A1C"/>
    <w:rsid w:val="00077175"/>
    <w:rsid w:val="00077C69"/>
    <w:rsid w:val="00083D80"/>
    <w:rsid w:val="000871DD"/>
    <w:rsid w:val="00090488"/>
    <w:rsid w:val="00092011"/>
    <w:rsid w:val="0009285F"/>
    <w:rsid w:val="0009287E"/>
    <w:rsid w:val="0009645F"/>
    <w:rsid w:val="000A0FE6"/>
    <w:rsid w:val="000A1B21"/>
    <w:rsid w:val="000A3CAC"/>
    <w:rsid w:val="000A3F0E"/>
    <w:rsid w:val="000A5E91"/>
    <w:rsid w:val="000A5FDE"/>
    <w:rsid w:val="000A7186"/>
    <w:rsid w:val="000B03B8"/>
    <w:rsid w:val="000B0B6C"/>
    <w:rsid w:val="000B2E1D"/>
    <w:rsid w:val="000B3EA4"/>
    <w:rsid w:val="000B4823"/>
    <w:rsid w:val="000B5823"/>
    <w:rsid w:val="000B6492"/>
    <w:rsid w:val="000B70F1"/>
    <w:rsid w:val="000B7CAC"/>
    <w:rsid w:val="000C0A0B"/>
    <w:rsid w:val="000C0C05"/>
    <w:rsid w:val="000C0DBE"/>
    <w:rsid w:val="000C19E8"/>
    <w:rsid w:val="000C1DE8"/>
    <w:rsid w:val="000C3259"/>
    <w:rsid w:val="000C4CB3"/>
    <w:rsid w:val="000C5276"/>
    <w:rsid w:val="000C596F"/>
    <w:rsid w:val="000C5AD3"/>
    <w:rsid w:val="000C724D"/>
    <w:rsid w:val="000D0158"/>
    <w:rsid w:val="000D161B"/>
    <w:rsid w:val="000D3312"/>
    <w:rsid w:val="000D44D9"/>
    <w:rsid w:val="000D57FE"/>
    <w:rsid w:val="000D5A3B"/>
    <w:rsid w:val="000D6E9C"/>
    <w:rsid w:val="000E295C"/>
    <w:rsid w:val="000E39C2"/>
    <w:rsid w:val="000E3FAA"/>
    <w:rsid w:val="000E4715"/>
    <w:rsid w:val="000E47C6"/>
    <w:rsid w:val="000E530E"/>
    <w:rsid w:val="000E5737"/>
    <w:rsid w:val="000E57BF"/>
    <w:rsid w:val="000E630F"/>
    <w:rsid w:val="000E66A5"/>
    <w:rsid w:val="000E7FA0"/>
    <w:rsid w:val="000F08B7"/>
    <w:rsid w:val="000F1EED"/>
    <w:rsid w:val="000F2D97"/>
    <w:rsid w:val="000F34FE"/>
    <w:rsid w:val="000F4B12"/>
    <w:rsid w:val="000F5623"/>
    <w:rsid w:val="000F57BC"/>
    <w:rsid w:val="000F5847"/>
    <w:rsid w:val="000F6CFB"/>
    <w:rsid w:val="000F7286"/>
    <w:rsid w:val="001003BD"/>
    <w:rsid w:val="00102460"/>
    <w:rsid w:val="00103503"/>
    <w:rsid w:val="00105C97"/>
    <w:rsid w:val="00105EBE"/>
    <w:rsid w:val="001068F4"/>
    <w:rsid w:val="001122EE"/>
    <w:rsid w:val="00112434"/>
    <w:rsid w:val="001125A6"/>
    <w:rsid w:val="00113875"/>
    <w:rsid w:val="001142B9"/>
    <w:rsid w:val="001145A1"/>
    <w:rsid w:val="001145C2"/>
    <w:rsid w:val="0011493C"/>
    <w:rsid w:val="00114E88"/>
    <w:rsid w:val="00115156"/>
    <w:rsid w:val="00116E21"/>
    <w:rsid w:val="00120216"/>
    <w:rsid w:val="00120756"/>
    <w:rsid w:val="00122CE8"/>
    <w:rsid w:val="0012309E"/>
    <w:rsid w:val="001230C2"/>
    <w:rsid w:val="001233D0"/>
    <w:rsid w:val="001245AA"/>
    <w:rsid w:val="00124B4C"/>
    <w:rsid w:val="00125658"/>
    <w:rsid w:val="00126E9B"/>
    <w:rsid w:val="001303D8"/>
    <w:rsid w:val="00130AED"/>
    <w:rsid w:val="00130C05"/>
    <w:rsid w:val="00130CB5"/>
    <w:rsid w:val="001356F3"/>
    <w:rsid w:val="001409DA"/>
    <w:rsid w:val="001415B4"/>
    <w:rsid w:val="001452A9"/>
    <w:rsid w:val="00146342"/>
    <w:rsid w:val="00146D4D"/>
    <w:rsid w:val="001473E8"/>
    <w:rsid w:val="001514B1"/>
    <w:rsid w:val="00151749"/>
    <w:rsid w:val="00151DEC"/>
    <w:rsid w:val="00152E26"/>
    <w:rsid w:val="0016014C"/>
    <w:rsid w:val="00163421"/>
    <w:rsid w:val="001666B4"/>
    <w:rsid w:val="001678E8"/>
    <w:rsid w:val="00170D31"/>
    <w:rsid w:val="001715EE"/>
    <w:rsid w:val="0017168B"/>
    <w:rsid w:val="00171A9A"/>
    <w:rsid w:val="001721C5"/>
    <w:rsid w:val="001721DC"/>
    <w:rsid w:val="0017249E"/>
    <w:rsid w:val="001731E1"/>
    <w:rsid w:val="00174B12"/>
    <w:rsid w:val="00176135"/>
    <w:rsid w:val="0018107A"/>
    <w:rsid w:val="0018148C"/>
    <w:rsid w:val="00182583"/>
    <w:rsid w:val="00182C3C"/>
    <w:rsid w:val="001833EA"/>
    <w:rsid w:val="00185D00"/>
    <w:rsid w:val="001874AB"/>
    <w:rsid w:val="001878DD"/>
    <w:rsid w:val="001910D3"/>
    <w:rsid w:val="00192553"/>
    <w:rsid w:val="001935E8"/>
    <w:rsid w:val="00197500"/>
    <w:rsid w:val="001A08FB"/>
    <w:rsid w:val="001A1774"/>
    <w:rsid w:val="001A3493"/>
    <w:rsid w:val="001A49ED"/>
    <w:rsid w:val="001A50CF"/>
    <w:rsid w:val="001A684C"/>
    <w:rsid w:val="001A6D15"/>
    <w:rsid w:val="001A7668"/>
    <w:rsid w:val="001A7F38"/>
    <w:rsid w:val="001B0A28"/>
    <w:rsid w:val="001B0BA2"/>
    <w:rsid w:val="001B0E51"/>
    <w:rsid w:val="001B0EF0"/>
    <w:rsid w:val="001B2AFC"/>
    <w:rsid w:val="001B3CD4"/>
    <w:rsid w:val="001B7234"/>
    <w:rsid w:val="001B79E9"/>
    <w:rsid w:val="001C0CCD"/>
    <w:rsid w:val="001C1808"/>
    <w:rsid w:val="001C2847"/>
    <w:rsid w:val="001C2A81"/>
    <w:rsid w:val="001C57ED"/>
    <w:rsid w:val="001C5A24"/>
    <w:rsid w:val="001C67A2"/>
    <w:rsid w:val="001C7611"/>
    <w:rsid w:val="001C7A49"/>
    <w:rsid w:val="001D077F"/>
    <w:rsid w:val="001D0A77"/>
    <w:rsid w:val="001D28EF"/>
    <w:rsid w:val="001D2EC5"/>
    <w:rsid w:val="001D5957"/>
    <w:rsid w:val="001D62E4"/>
    <w:rsid w:val="001D6C5D"/>
    <w:rsid w:val="001D7707"/>
    <w:rsid w:val="001E0F9A"/>
    <w:rsid w:val="001E1583"/>
    <w:rsid w:val="001E1B96"/>
    <w:rsid w:val="001E1CED"/>
    <w:rsid w:val="001E4C6C"/>
    <w:rsid w:val="001E5377"/>
    <w:rsid w:val="001E57EF"/>
    <w:rsid w:val="001E6BD0"/>
    <w:rsid w:val="001E7029"/>
    <w:rsid w:val="001E7CC7"/>
    <w:rsid w:val="001F04BF"/>
    <w:rsid w:val="001F0F95"/>
    <w:rsid w:val="001F1086"/>
    <w:rsid w:val="001F1E25"/>
    <w:rsid w:val="001F314D"/>
    <w:rsid w:val="001F4807"/>
    <w:rsid w:val="001F6F9F"/>
    <w:rsid w:val="001F76D9"/>
    <w:rsid w:val="00200B2F"/>
    <w:rsid w:val="00201652"/>
    <w:rsid w:val="00201725"/>
    <w:rsid w:val="002017E7"/>
    <w:rsid w:val="002026E9"/>
    <w:rsid w:val="00203648"/>
    <w:rsid w:val="00205697"/>
    <w:rsid w:val="00206479"/>
    <w:rsid w:val="00213388"/>
    <w:rsid w:val="00214C47"/>
    <w:rsid w:val="00215ACB"/>
    <w:rsid w:val="00215CDA"/>
    <w:rsid w:val="00217064"/>
    <w:rsid w:val="002201E2"/>
    <w:rsid w:val="00220E72"/>
    <w:rsid w:val="00221156"/>
    <w:rsid w:val="0022147E"/>
    <w:rsid w:val="002215F7"/>
    <w:rsid w:val="00222803"/>
    <w:rsid w:val="002236CD"/>
    <w:rsid w:val="002239B6"/>
    <w:rsid w:val="002251A5"/>
    <w:rsid w:val="002254EB"/>
    <w:rsid w:val="002275A9"/>
    <w:rsid w:val="00227DAA"/>
    <w:rsid w:val="0023417A"/>
    <w:rsid w:val="00235000"/>
    <w:rsid w:val="00235BCE"/>
    <w:rsid w:val="002360B7"/>
    <w:rsid w:val="00236FF2"/>
    <w:rsid w:val="00237E8E"/>
    <w:rsid w:val="00240A7F"/>
    <w:rsid w:val="00242551"/>
    <w:rsid w:val="002426ED"/>
    <w:rsid w:val="002434C7"/>
    <w:rsid w:val="0024652F"/>
    <w:rsid w:val="002477C9"/>
    <w:rsid w:val="002479C0"/>
    <w:rsid w:val="00250294"/>
    <w:rsid w:val="002503F5"/>
    <w:rsid w:val="00251C89"/>
    <w:rsid w:val="00252E9F"/>
    <w:rsid w:val="00253189"/>
    <w:rsid w:val="002564B6"/>
    <w:rsid w:val="002565C4"/>
    <w:rsid w:val="00256B3D"/>
    <w:rsid w:val="00257B15"/>
    <w:rsid w:val="00260434"/>
    <w:rsid w:val="00260896"/>
    <w:rsid w:val="00260900"/>
    <w:rsid w:val="002621B9"/>
    <w:rsid w:val="00263D0E"/>
    <w:rsid w:val="00264E03"/>
    <w:rsid w:val="002700FC"/>
    <w:rsid w:val="00271142"/>
    <w:rsid w:val="00272C58"/>
    <w:rsid w:val="002733D8"/>
    <w:rsid w:val="00273B84"/>
    <w:rsid w:val="002742F3"/>
    <w:rsid w:val="00275F38"/>
    <w:rsid w:val="002765E5"/>
    <w:rsid w:val="0027667E"/>
    <w:rsid w:val="002772AE"/>
    <w:rsid w:val="002805A9"/>
    <w:rsid w:val="00280664"/>
    <w:rsid w:val="002808DE"/>
    <w:rsid w:val="00280D3D"/>
    <w:rsid w:val="00280D60"/>
    <w:rsid w:val="00282DCA"/>
    <w:rsid w:val="00283269"/>
    <w:rsid w:val="0028540A"/>
    <w:rsid w:val="00285452"/>
    <w:rsid w:val="00286337"/>
    <w:rsid w:val="00291AE7"/>
    <w:rsid w:val="002922E4"/>
    <w:rsid w:val="00292FC4"/>
    <w:rsid w:val="00293402"/>
    <w:rsid w:val="00293D68"/>
    <w:rsid w:val="00293F00"/>
    <w:rsid w:val="00294C89"/>
    <w:rsid w:val="0029617B"/>
    <w:rsid w:val="002A120D"/>
    <w:rsid w:val="002A1254"/>
    <w:rsid w:val="002A20D8"/>
    <w:rsid w:val="002A26DC"/>
    <w:rsid w:val="002A2FED"/>
    <w:rsid w:val="002A4510"/>
    <w:rsid w:val="002A62B6"/>
    <w:rsid w:val="002A77B9"/>
    <w:rsid w:val="002B093E"/>
    <w:rsid w:val="002B0EF2"/>
    <w:rsid w:val="002B52C3"/>
    <w:rsid w:val="002B55FE"/>
    <w:rsid w:val="002B5CEC"/>
    <w:rsid w:val="002B6A77"/>
    <w:rsid w:val="002B6D21"/>
    <w:rsid w:val="002B6EF5"/>
    <w:rsid w:val="002B74B3"/>
    <w:rsid w:val="002B7CDB"/>
    <w:rsid w:val="002C406C"/>
    <w:rsid w:val="002C4CF6"/>
    <w:rsid w:val="002C4E9E"/>
    <w:rsid w:val="002C6034"/>
    <w:rsid w:val="002C6D8D"/>
    <w:rsid w:val="002C7D29"/>
    <w:rsid w:val="002C7DB4"/>
    <w:rsid w:val="002D01B6"/>
    <w:rsid w:val="002D0C43"/>
    <w:rsid w:val="002D10C3"/>
    <w:rsid w:val="002D1294"/>
    <w:rsid w:val="002D17A4"/>
    <w:rsid w:val="002D24AC"/>
    <w:rsid w:val="002D5F11"/>
    <w:rsid w:val="002D683B"/>
    <w:rsid w:val="002D72B8"/>
    <w:rsid w:val="002E0FDC"/>
    <w:rsid w:val="002E0FE6"/>
    <w:rsid w:val="002E172D"/>
    <w:rsid w:val="002E3B82"/>
    <w:rsid w:val="002E3C48"/>
    <w:rsid w:val="002E5544"/>
    <w:rsid w:val="002E5886"/>
    <w:rsid w:val="002E68AA"/>
    <w:rsid w:val="002F11AD"/>
    <w:rsid w:val="002F20E7"/>
    <w:rsid w:val="002F22B7"/>
    <w:rsid w:val="002F38DF"/>
    <w:rsid w:val="002F3A99"/>
    <w:rsid w:val="002F3B4D"/>
    <w:rsid w:val="002F4DF9"/>
    <w:rsid w:val="002F5662"/>
    <w:rsid w:val="002F61FD"/>
    <w:rsid w:val="002F7119"/>
    <w:rsid w:val="002F748D"/>
    <w:rsid w:val="003014D1"/>
    <w:rsid w:val="0030287B"/>
    <w:rsid w:val="00302E16"/>
    <w:rsid w:val="003031B6"/>
    <w:rsid w:val="0030517B"/>
    <w:rsid w:val="003064E2"/>
    <w:rsid w:val="0030756C"/>
    <w:rsid w:val="00311011"/>
    <w:rsid w:val="0031241C"/>
    <w:rsid w:val="00313823"/>
    <w:rsid w:val="00314727"/>
    <w:rsid w:val="0031553F"/>
    <w:rsid w:val="00316A00"/>
    <w:rsid w:val="00322915"/>
    <w:rsid w:val="00324B05"/>
    <w:rsid w:val="003307FA"/>
    <w:rsid w:val="00330CD3"/>
    <w:rsid w:val="00331E7D"/>
    <w:rsid w:val="003324B1"/>
    <w:rsid w:val="00332AEB"/>
    <w:rsid w:val="00332D68"/>
    <w:rsid w:val="00334548"/>
    <w:rsid w:val="00334634"/>
    <w:rsid w:val="003365D3"/>
    <w:rsid w:val="003366DD"/>
    <w:rsid w:val="00337B2C"/>
    <w:rsid w:val="003407C7"/>
    <w:rsid w:val="00344155"/>
    <w:rsid w:val="00345E60"/>
    <w:rsid w:val="00354246"/>
    <w:rsid w:val="00354AE5"/>
    <w:rsid w:val="003552C2"/>
    <w:rsid w:val="003553BC"/>
    <w:rsid w:val="003603A2"/>
    <w:rsid w:val="003617CA"/>
    <w:rsid w:val="003626D3"/>
    <w:rsid w:val="003633FC"/>
    <w:rsid w:val="00363A19"/>
    <w:rsid w:val="00363D12"/>
    <w:rsid w:val="00363FF4"/>
    <w:rsid w:val="003646E8"/>
    <w:rsid w:val="00367F9A"/>
    <w:rsid w:val="0037023A"/>
    <w:rsid w:val="003702F2"/>
    <w:rsid w:val="00370BE0"/>
    <w:rsid w:val="00370CF7"/>
    <w:rsid w:val="00373342"/>
    <w:rsid w:val="00373347"/>
    <w:rsid w:val="003742E1"/>
    <w:rsid w:val="00375847"/>
    <w:rsid w:val="00375902"/>
    <w:rsid w:val="003759AE"/>
    <w:rsid w:val="00375ADB"/>
    <w:rsid w:val="00376E72"/>
    <w:rsid w:val="00377182"/>
    <w:rsid w:val="003775FF"/>
    <w:rsid w:val="00377A4C"/>
    <w:rsid w:val="00381250"/>
    <w:rsid w:val="00381DC0"/>
    <w:rsid w:val="00382DFF"/>
    <w:rsid w:val="003836E1"/>
    <w:rsid w:val="00384468"/>
    <w:rsid w:val="00386120"/>
    <w:rsid w:val="00386EC7"/>
    <w:rsid w:val="0038729D"/>
    <w:rsid w:val="00387339"/>
    <w:rsid w:val="00387BA0"/>
    <w:rsid w:val="0039096E"/>
    <w:rsid w:val="0039101F"/>
    <w:rsid w:val="00394111"/>
    <w:rsid w:val="00394EE7"/>
    <w:rsid w:val="00395BF3"/>
    <w:rsid w:val="0039795D"/>
    <w:rsid w:val="00397D4B"/>
    <w:rsid w:val="003A1F8C"/>
    <w:rsid w:val="003A3E9A"/>
    <w:rsid w:val="003A45CA"/>
    <w:rsid w:val="003A4B48"/>
    <w:rsid w:val="003A50FC"/>
    <w:rsid w:val="003A6118"/>
    <w:rsid w:val="003A683D"/>
    <w:rsid w:val="003A71BB"/>
    <w:rsid w:val="003B17D3"/>
    <w:rsid w:val="003B2CB0"/>
    <w:rsid w:val="003B3FB3"/>
    <w:rsid w:val="003B61DC"/>
    <w:rsid w:val="003B6647"/>
    <w:rsid w:val="003B73EF"/>
    <w:rsid w:val="003B7F43"/>
    <w:rsid w:val="003C076E"/>
    <w:rsid w:val="003C0EE7"/>
    <w:rsid w:val="003C1D50"/>
    <w:rsid w:val="003C2721"/>
    <w:rsid w:val="003C332D"/>
    <w:rsid w:val="003C60A7"/>
    <w:rsid w:val="003C7EBD"/>
    <w:rsid w:val="003D0854"/>
    <w:rsid w:val="003D26F3"/>
    <w:rsid w:val="003D3274"/>
    <w:rsid w:val="003D41BC"/>
    <w:rsid w:val="003D45D9"/>
    <w:rsid w:val="003D4BB2"/>
    <w:rsid w:val="003D544E"/>
    <w:rsid w:val="003D6163"/>
    <w:rsid w:val="003D70F6"/>
    <w:rsid w:val="003D7145"/>
    <w:rsid w:val="003E0332"/>
    <w:rsid w:val="003E0F6E"/>
    <w:rsid w:val="003E2941"/>
    <w:rsid w:val="003E3E0C"/>
    <w:rsid w:val="003E4A6E"/>
    <w:rsid w:val="003E632F"/>
    <w:rsid w:val="003E7CFE"/>
    <w:rsid w:val="003E7D5C"/>
    <w:rsid w:val="003F0A21"/>
    <w:rsid w:val="003F1CDC"/>
    <w:rsid w:val="003F1D76"/>
    <w:rsid w:val="003F254D"/>
    <w:rsid w:val="003F330C"/>
    <w:rsid w:val="003F516D"/>
    <w:rsid w:val="003F5228"/>
    <w:rsid w:val="003F54C2"/>
    <w:rsid w:val="003F7341"/>
    <w:rsid w:val="003F7D57"/>
    <w:rsid w:val="00400F21"/>
    <w:rsid w:val="00405790"/>
    <w:rsid w:val="00406855"/>
    <w:rsid w:val="00406FDC"/>
    <w:rsid w:val="00407D54"/>
    <w:rsid w:val="00410DC8"/>
    <w:rsid w:val="00411E29"/>
    <w:rsid w:val="004123E6"/>
    <w:rsid w:val="004130A6"/>
    <w:rsid w:val="004138D7"/>
    <w:rsid w:val="004205B5"/>
    <w:rsid w:val="0042065E"/>
    <w:rsid w:val="0042117B"/>
    <w:rsid w:val="00422254"/>
    <w:rsid w:val="0042282C"/>
    <w:rsid w:val="00422EA5"/>
    <w:rsid w:val="0042305B"/>
    <w:rsid w:val="00423A28"/>
    <w:rsid w:val="00424712"/>
    <w:rsid w:val="00424A9A"/>
    <w:rsid w:val="004270CD"/>
    <w:rsid w:val="004274CB"/>
    <w:rsid w:val="00427F02"/>
    <w:rsid w:val="00430C9E"/>
    <w:rsid w:val="00432B38"/>
    <w:rsid w:val="00433778"/>
    <w:rsid w:val="00433A04"/>
    <w:rsid w:val="00433BB6"/>
    <w:rsid w:val="004347BD"/>
    <w:rsid w:val="004416D9"/>
    <w:rsid w:val="0044377C"/>
    <w:rsid w:val="00445305"/>
    <w:rsid w:val="004461D4"/>
    <w:rsid w:val="004467A9"/>
    <w:rsid w:val="00447322"/>
    <w:rsid w:val="0044748A"/>
    <w:rsid w:val="0045022D"/>
    <w:rsid w:val="00452507"/>
    <w:rsid w:val="004548EB"/>
    <w:rsid w:val="0045543A"/>
    <w:rsid w:val="00455477"/>
    <w:rsid w:val="00455CDB"/>
    <w:rsid w:val="00457D1C"/>
    <w:rsid w:val="004617E0"/>
    <w:rsid w:val="00461ADB"/>
    <w:rsid w:val="00461DEA"/>
    <w:rsid w:val="00464861"/>
    <w:rsid w:val="00464B98"/>
    <w:rsid w:val="004658FC"/>
    <w:rsid w:val="004747D6"/>
    <w:rsid w:val="004754C9"/>
    <w:rsid w:val="004758DD"/>
    <w:rsid w:val="004822E2"/>
    <w:rsid w:val="004822F4"/>
    <w:rsid w:val="004841A0"/>
    <w:rsid w:val="004870A0"/>
    <w:rsid w:val="00487719"/>
    <w:rsid w:val="004902D7"/>
    <w:rsid w:val="00490ACA"/>
    <w:rsid w:val="004914FC"/>
    <w:rsid w:val="00492416"/>
    <w:rsid w:val="0049267D"/>
    <w:rsid w:val="004929B6"/>
    <w:rsid w:val="00492FA0"/>
    <w:rsid w:val="004938BF"/>
    <w:rsid w:val="00493E41"/>
    <w:rsid w:val="00493F45"/>
    <w:rsid w:val="0049556C"/>
    <w:rsid w:val="004957F4"/>
    <w:rsid w:val="00496D41"/>
    <w:rsid w:val="004974AD"/>
    <w:rsid w:val="004979EA"/>
    <w:rsid w:val="00497C6A"/>
    <w:rsid w:val="004A05CF"/>
    <w:rsid w:val="004A0C74"/>
    <w:rsid w:val="004A1D78"/>
    <w:rsid w:val="004A1DE2"/>
    <w:rsid w:val="004A1FB7"/>
    <w:rsid w:val="004A42ED"/>
    <w:rsid w:val="004A55B2"/>
    <w:rsid w:val="004A632E"/>
    <w:rsid w:val="004A7502"/>
    <w:rsid w:val="004B090A"/>
    <w:rsid w:val="004B0FAF"/>
    <w:rsid w:val="004B340F"/>
    <w:rsid w:val="004B3F04"/>
    <w:rsid w:val="004B40FD"/>
    <w:rsid w:val="004B4AB2"/>
    <w:rsid w:val="004B59D3"/>
    <w:rsid w:val="004B640B"/>
    <w:rsid w:val="004C0F72"/>
    <w:rsid w:val="004C1B6B"/>
    <w:rsid w:val="004C1CB8"/>
    <w:rsid w:val="004C2018"/>
    <w:rsid w:val="004C5962"/>
    <w:rsid w:val="004C5C6A"/>
    <w:rsid w:val="004D2CDC"/>
    <w:rsid w:val="004D3195"/>
    <w:rsid w:val="004D3520"/>
    <w:rsid w:val="004D3A92"/>
    <w:rsid w:val="004D3BFD"/>
    <w:rsid w:val="004D6185"/>
    <w:rsid w:val="004D73CA"/>
    <w:rsid w:val="004D73DE"/>
    <w:rsid w:val="004E0463"/>
    <w:rsid w:val="004E2F1B"/>
    <w:rsid w:val="004E6C95"/>
    <w:rsid w:val="004E742B"/>
    <w:rsid w:val="004E7950"/>
    <w:rsid w:val="004E7CB1"/>
    <w:rsid w:val="004E7D90"/>
    <w:rsid w:val="004F0B63"/>
    <w:rsid w:val="004F23E9"/>
    <w:rsid w:val="004F2E2B"/>
    <w:rsid w:val="004F313D"/>
    <w:rsid w:val="00502209"/>
    <w:rsid w:val="005024F8"/>
    <w:rsid w:val="0050354C"/>
    <w:rsid w:val="00503E50"/>
    <w:rsid w:val="005046C1"/>
    <w:rsid w:val="00505351"/>
    <w:rsid w:val="00505560"/>
    <w:rsid w:val="0051129E"/>
    <w:rsid w:val="00511CBC"/>
    <w:rsid w:val="0051226E"/>
    <w:rsid w:val="00512FFC"/>
    <w:rsid w:val="00515730"/>
    <w:rsid w:val="005168C6"/>
    <w:rsid w:val="00516B7A"/>
    <w:rsid w:val="00517962"/>
    <w:rsid w:val="00517A4B"/>
    <w:rsid w:val="005203CD"/>
    <w:rsid w:val="00520948"/>
    <w:rsid w:val="005236BF"/>
    <w:rsid w:val="0052392C"/>
    <w:rsid w:val="005257C9"/>
    <w:rsid w:val="00526BD6"/>
    <w:rsid w:val="00526D95"/>
    <w:rsid w:val="00527DD4"/>
    <w:rsid w:val="00530B9C"/>
    <w:rsid w:val="00531641"/>
    <w:rsid w:val="00531C9C"/>
    <w:rsid w:val="0053247D"/>
    <w:rsid w:val="0053341C"/>
    <w:rsid w:val="00533958"/>
    <w:rsid w:val="00533F29"/>
    <w:rsid w:val="00537040"/>
    <w:rsid w:val="00537AAA"/>
    <w:rsid w:val="00540249"/>
    <w:rsid w:val="00540346"/>
    <w:rsid w:val="00540EC8"/>
    <w:rsid w:val="00542260"/>
    <w:rsid w:val="0054456B"/>
    <w:rsid w:val="00545AF0"/>
    <w:rsid w:val="005477EC"/>
    <w:rsid w:val="00551EDF"/>
    <w:rsid w:val="0055204A"/>
    <w:rsid w:val="00556620"/>
    <w:rsid w:val="00557028"/>
    <w:rsid w:val="005606E5"/>
    <w:rsid w:val="00560B16"/>
    <w:rsid w:val="005615F6"/>
    <w:rsid w:val="005649DF"/>
    <w:rsid w:val="00564DDA"/>
    <w:rsid w:val="00570196"/>
    <w:rsid w:val="00571393"/>
    <w:rsid w:val="0057255C"/>
    <w:rsid w:val="005727F5"/>
    <w:rsid w:val="00573384"/>
    <w:rsid w:val="00573616"/>
    <w:rsid w:val="00573C07"/>
    <w:rsid w:val="0057455F"/>
    <w:rsid w:val="005774C8"/>
    <w:rsid w:val="00580676"/>
    <w:rsid w:val="005817AD"/>
    <w:rsid w:val="0058180E"/>
    <w:rsid w:val="00581BD6"/>
    <w:rsid w:val="005821B2"/>
    <w:rsid w:val="00583342"/>
    <w:rsid w:val="00584829"/>
    <w:rsid w:val="005877CE"/>
    <w:rsid w:val="00587F41"/>
    <w:rsid w:val="00587FB3"/>
    <w:rsid w:val="00590578"/>
    <w:rsid w:val="00591846"/>
    <w:rsid w:val="005918F3"/>
    <w:rsid w:val="00593327"/>
    <w:rsid w:val="00593CBA"/>
    <w:rsid w:val="00593FC7"/>
    <w:rsid w:val="00594E90"/>
    <w:rsid w:val="005954DE"/>
    <w:rsid w:val="00595979"/>
    <w:rsid w:val="00596BD6"/>
    <w:rsid w:val="005A04A3"/>
    <w:rsid w:val="005A171E"/>
    <w:rsid w:val="005A2949"/>
    <w:rsid w:val="005A2A90"/>
    <w:rsid w:val="005A3CC9"/>
    <w:rsid w:val="005A4901"/>
    <w:rsid w:val="005A5003"/>
    <w:rsid w:val="005A6BD4"/>
    <w:rsid w:val="005B15BB"/>
    <w:rsid w:val="005B170F"/>
    <w:rsid w:val="005B1FD2"/>
    <w:rsid w:val="005B4C6D"/>
    <w:rsid w:val="005B63C6"/>
    <w:rsid w:val="005B683B"/>
    <w:rsid w:val="005B6DD9"/>
    <w:rsid w:val="005C0C6F"/>
    <w:rsid w:val="005C2D3B"/>
    <w:rsid w:val="005C2E12"/>
    <w:rsid w:val="005C42E2"/>
    <w:rsid w:val="005C458E"/>
    <w:rsid w:val="005C5661"/>
    <w:rsid w:val="005C627D"/>
    <w:rsid w:val="005C6900"/>
    <w:rsid w:val="005C6ADF"/>
    <w:rsid w:val="005C6C39"/>
    <w:rsid w:val="005D130C"/>
    <w:rsid w:val="005D24B5"/>
    <w:rsid w:val="005D41DF"/>
    <w:rsid w:val="005D6420"/>
    <w:rsid w:val="005D6A3E"/>
    <w:rsid w:val="005E29DF"/>
    <w:rsid w:val="005E34BF"/>
    <w:rsid w:val="005E3F5D"/>
    <w:rsid w:val="005E4043"/>
    <w:rsid w:val="005E4361"/>
    <w:rsid w:val="005E51F3"/>
    <w:rsid w:val="005E5F02"/>
    <w:rsid w:val="005F05EE"/>
    <w:rsid w:val="005F2B5F"/>
    <w:rsid w:val="005F2BAE"/>
    <w:rsid w:val="005F5E91"/>
    <w:rsid w:val="005F61C3"/>
    <w:rsid w:val="005F64D0"/>
    <w:rsid w:val="005F7668"/>
    <w:rsid w:val="0060051B"/>
    <w:rsid w:val="00600ABE"/>
    <w:rsid w:val="006011D7"/>
    <w:rsid w:val="0060186A"/>
    <w:rsid w:val="00601BD6"/>
    <w:rsid w:val="00602DC3"/>
    <w:rsid w:val="006030CE"/>
    <w:rsid w:val="00604D50"/>
    <w:rsid w:val="006050EF"/>
    <w:rsid w:val="0060516C"/>
    <w:rsid w:val="00605C3E"/>
    <w:rsid w:val="00606E9F"/>
    <w:rsid w:val="00610DA0"/>
    <w:rsid w:val="00613160"/>
    <w:rsid w:val="0061349F"/>
    <w:rsid w:val="00614B35"/>
    <w:rsid w:val="00614BA4"/>
    <w:rsid w:val="0061597A"/>
    <w:rsid w:val="00615A23"/>
    <w:rsid w:val="00615EA1"/>
    <w:rsid w:val="00616C08"/>
    <w:rsid w:val="0061772B"/>
    <w:rsid w:val="006209E0"/>
    <w:rsid w:val="00620DBC"/>
    <w:rsid w:val="006214AF"/>
    <w:rsid w:val="00621966"/>
    <w:rsid w:val="00622B5C"/>
    <w:rsid w:val="00622C27"/>
    <w:rsid w:val="006262FE"/>
    <w:rsid w:val="0062702D"/>
    <w:rsid w:val="006278A1"/>
    <w:rsid w:val="0062798B"/>
    <w:rsid w:val="006301AC"/>
    <w:rsid w:val="0063026E"/>
    <w:rsid w:val="00630863"/>
    <w:rsid w:val="00630FA4"/>
    <w:rsid w:val="006310F2"/>
    <w:rsid w:val="0063173D"/>
    <w:rsid w:val="00631EBB"/>
    <w:rsid w:val="00632A97"/>
    <w:rsid w:val="0063333B"/>
    <w:rsid w:val="00633B47"/>
    <w:rsid w:val="0063572A"/>
    <w:rsid w:val="006358DE"/>
    <w:rsid w:val="00636008"/>
    <w:rsid w:val="00636D77"/>
    <w:rsid w:val="00640E74"/>
    <w:rsid w:val="00640F8F"/>
    <w:rsid w:val="00641494"/>
    <w:rsid w:val="006419D2"/>
    <w:rsid w:val="00641D6B"/>
    <w:rsid w:val="006421CD"/>
    <w:rsid w:val="00642EEB"/>
    <w:rsid w:val="0064364F"/>
    <w:rsid w:val="006436F5"/>
    <w:rsid w:val="0064506E"/>
    <w:rsid w:val="006459DA"/>
    <w:rsid w:val="006468CB"/>
    <w:rsid w:val="00647CAE"/>
    <w:rsid w:val="00651631"/>
    <w:rsid w:val="00652334"/>
    <w:rsid w:val="006527FF"/>
    <w:rsid w:val="006538B7"/>
    <w:rsid w:val="00653E2F"/>
    <w:rsid w:val="00654978"/>
    <w:rsid w:val="00654BB2"/>
    <w:rsid w:val="00655013"/>
    <w:rsid w:val="00655F07"/>
    <w:rsid w:val="00656C15"/>
    <w:rsid w:val="006577FC"/>
    <w:rsid w:val="00657A78"/>
    <w:rsid w:val="00660625"/>
    <w:rsid w:val="00662231"/>
    <w:rsid w:val="0066280D"/>
    <w:rsid w:val="006642AE"/>
    <w:rsid w:val="00664343"/>
    <w:rsid w:val="006705EC"/>
    <w:rsid w:val="00670D31"/>
    <w:rsid w:val="0067252D"/>
    <w:rsid w:val="00672A4A"/>
    <w:rsid w:val="00672CAA"/>
    <w:rsid w:val="0067574F"/>
    <w:rsid w:val="006757B9"/>
    <w:rsid w:val="00675C3D"/>
    <w:rsid w:val="00677E3C"/>
    <w:rsid w:val="00677F96"/>
    <w:rsid w:val="006800BF"/>
    <w:rsid w:val="006814A4"/>
    <w:rsid w:val="00681761"/>
    <w:rsid w:val="00681A09"/>
    <w:rsid w:val="00682B97"/>
    <w:rsid w:val="006843A6"/>
    <w:rsid w:val="00686077"/>
    <w:rsid w:val="00686623"/>
    <w:rsid w:val="006928A1"/>
    <w:rsid w:val="00692D32"/>
    <w:rsid w:val="006933C2"/>
    <w:rsid w:val="00693CCF"/>
    <w:rsid w:val="00694E69"/>
    <w:rsid w:val="00696EF5"/>
    <w:rsid w:val="006A242D"/>
    <w:rsid w:val="006A289D"/>
    <w:rsid w:val="006A28B1"/>
    <w:rsid w:val="006A2E29"/>
    <w:rsid w:val="006A3CD6"/>
    <w:rsid w:val="006A53C6"/>
    <w:rsid w:val="006A599B"/>
    <w:rsid w:val="006A6D74"/>
    <w:rsid w:val="006B1987"/>
    <w:rsid w:val="006B4A36"/>
    <w:rsid w:val="006B4A65"/>
    <w:rsid w:val="006B4AF8"/>
    <w:rsid w:val="006B680B"/>
    <w:rsid w:val="006B6A33"/>
    <w:rsid w:val="006B6D17"/>
    <w:rsid w:val="006B7A26"/>
    <w:rsid w:val="006C0AE3"/>
    <w:rsid w:val="006C2715"/>
    <w:rsid w:val="006C2EAA"/>
    <w:rsid w:val="006C2F74"/>
    <w:rsid w:val="006C3086"/>
    <w:rsid w:val="006C42DC"/>
    <w:rsid w:val="006C5C94"/>
    <w:rsid w:val="006C5DCF"/>
    <w:rsid w:val="006C678B"/>
    <w:rsid w:val="006D39D0"/>
    <w:rsid w:val="006D3A44"/>
    <w:rsid w:val="006D3A6C"/>
    <w:rsid w:val="006D3BC2"/>
    <w:rsid w:val="006D4CFF"/>
    <w:rsid w:val="006D6BE4"/>
    <w:rsid w:val="006D755B"/>
    <w:rsid w:val="006E0E3C"/>
    <w:rsid w:val="006E2729"/>
    <w:rsid w:val="006E5103"/>
    <w:rsid w:val="006E550A"/>
    <w:rsid w:val="006E66BD"/>
    <w:rsid w:val="006E6B5F"/>
    <w:rsid w:val="006F117C"/>
    <w:rsid w:val="006F1563"/>
    <w:rsid w:val="006F2083"/>
    <w:rsid w:val="006F2A76"/>
    <w:rsid w:val="006F3F34"/>
    <w:rsid w:val="006F419D"/>
    <w:rsid w:val="006F430D"/>
    <w:rsid w:val="006F7707"/>
    <w:rsid w:val="007012EB"/>
    <w:rsid w:val="00701DCC"/>
    <w:rsid w:val="00701FA3"/>
    <w:rsid w:val="0070267D"/>
    <w:rsid w:val="0070317E"/>
    <w:rsid w:val="0070377F"/>
    <w:rsid w:val="007046B8"/>
    <w:rsid w:val="007048D4"/>
    <w:rsid w:val="007059E4"/>
    <w:rsid w:val="007066D3"/>
    <w:rsid w:val="007068C9"/>
    <w:rsid w:val="007104F0"/>
    <w:rsid w:val="007108F8"/>
    <w:rsid w:val="0071130B"/>
    <w:rsid w:val="0071189C"/>
    <w:rsid w:val="00711D7D"/>
    <w:rsid w:val="00713F58"/>
    <w:rsid w:val="007178A9"/>
    <w:rsid w:val="00717BE7"/>
    <w:rsid w:val="0072226A"/>
    <w:rsid w:val="00724A7A"/>
    <w:rsid w:val="00725D9F"/>
    <w:rsid w:val="00730285"/>
    <w:rsid w:val="007307EE"/>
    <w:rsid w:val="00731857"/>
    <w:rsid w:val="00731A1B"/>
    <w:rsid w:val="0073271A"/>
    <w:rsid w:val="00733540"/>
    <w:rsid w:val="00734599"/>
    <w:rsid w:val="007364F5"/>
    <w:rsid w:val="007401DD"/>
    <w:rsid w:val="007411EB"/>
    <w:rsid w:val="0074258E"/>
    <w:rsid w:val="00743197"/>
    <w:rsid w:val="00743D8B"/>
    <w:rsid w:val="00743ECF"/>
    <w:rsid w:val="00744507"/>
    <w:rsid w:val="00744818"/>
    <w:rsid w:val="0074770D"/>
    <w:rsid w:val="007502E8"/>
    <w:rsid w:val="00751A1F"/>
    <w:rsid w:val="0075277E"/>
    <w:rsid w:val="0075297D"/>
    <w:rsid w:val="00755E68"/>
    <w:rsid w:val="007579D8"/>
    <w:rsid w:val="00757C6A"/>
    <w:rsid w:val="00761525"/>
    <w:rsid w:val="00761E0F"/>
    <w:rsid w:val="00762E8F"/>
    <w:rsid w:val="007649FD"/>
    <w:rsid w:val="0076678C"/>
    <w:rsid w:val="0077012F"/>
    <w:rsid w:val="007707A0"/>
    <w:rsid w:val="00770C69"/>
    <w:rsid w:val="007714E4"/>
    <w:rsid w:val="00772CDA"/>
    <w:rsid w:val="007735F7"/>
    <w:rsid w:val="0077455D"/>
    <w:rsid w:val="00775800"/>
    <w:rsid w:val="00776DB0"/>
    <w:rsid w:val="00776F27"/>
    <w:rsid w:val="00777ED5"/>
    <w:rsid w:val="00782495"/>
    <w:rsid w:val="00782660"/>
    <w:rsid w:val="007829C8"/>
    <w:rsid w:val="00782FB7"/>
    <w:rsid w:val="00783E0E"/>
    <w:rsid w:val="00785AA8"/>
    <w:rsid w:val="007863A2"/>
    <w:rsid w:val="0078744E"/>
    <w:rsid w:val="00790B6F"/>
    <w:rsid w:val="00792109"/>
    <w:rsid w:val="007932FF"/>
    <w:rsid w:val="007958D7"/>
    <w:rsid w:val="00795F68"/>
    <w:rsid w:val="00796065"/>
    <w:rsid w:val="0079641B"/>
    <w:rsid w:val="007A3EC7"/>
    <w:rsid w:val="007A4F52"/>
    <w:rsid w:val="007A6027"/>
    <w:rsid w:val="007B00D9"/>
    <w:rsid w:val="007B173C"/>
    <w:rsid w:val="007B349F"/>
    <w:rsid w:val="007B3AF1"/>
    <w:rsid w:val="007B3C7A"/>
    <w:rsid w:val="007B4343"/>
    <w:rsid w:val="007B480D"/>
    <w:rsid w:val="007B6E0D"/>
    <w:rsid w:val="007B7E49"/>
    <w:rsid w:val="007C17C4"/>
    <w:rsid w:val="007C2890"/>
    <w:rsid w:val="007C31C3"/>
    <w:rsid w:val="007C34FF"/>
    <w:rsid w:val="007C652C"/>
    <w:rsid w:val="007C7315"/>
    <w:rsid w:val="007D1C7C"/>
    <w:rsid w:val="007D4247"/>
    <w:rsid w:val="007D474B"/>
    <w:rsid w:val="007E18D0"/>
    <w:rsid w:val="007E24BE"/>
    <w:rsid w:val="007E2836"/>
    <w:rsid w:val="007E390F"/>
    <w:rsid w:val="007E4626"/>
    <w:rsid w:val="007E529C"/>
    <w:rsid w:val="007E5C91"/>
    <w:rsid w:val="007E611E"/>
    <w:rsid w:val="007E6653"/>
    <w:rsid w:val="007E7D7D"/>
    <w:rsid w:val="007E7D97"/>
    <w:rsid w:val="007E7F89"/>
    <w:rsid w:val="007F015C"/>
    <w:rsid w:val="007F13AC"/>
    <w:rsid w:val="007F2921"/>
    <w:rsid w:val="007F304E"/>
    <w:rsid w:val="007F4848"/>
    <w:rsid w:val="008008F7"/>
    <w:rsid w:val="00800996"/>
    <w:rsid w:val="00800A69"/>
    <w:rsid w:val="008028A6"/>
    <w:rsid w:val="00802CEF"/>
    <w:rsid w:val="00805B7D"/>
    <w:rsid w:val="00805D83"/>
    <w:rsid w:val="00810382"/>
    <w:rsid w:val="008109E5"/>
    <w:rsid w:val="00811058"/>
    <w:rsid w:val="00811DAD"/>
    <w:rsid w:val="00812530"/>
    <w:rsid w:val="00812880"/>
    <w:rsid w:val="00814DB4"/>
    <w:rsid w:val="00815693"/>
    <w:rsid w:val="00816908"/>
    <w:rsid w:val="0082066A"/>
    <w:rsid w:val="00820CA6"/>
    <w:rsid w:val="00821B52"/>
    <w:rsid w:val="00821F05"/>
    <w:rsid w:val="008228B6"/>
    <w:rsid w:val="00822FE7"/>
    <w:rsid w:val="00824F41"/>
    <w:rsid w:val="00824F5D"/>
    <w:rsid w:val="008250B7"/>
    <w:rsid w:val="0082655C"/>
    <w:rsid w:val="0082670C"/>
    <w:rsid w:val="00827361"/>
    <w:rsid w:val="00830818"/>
    <w:rsid w:val="00832D6A"/>
    <w:rsid w:val="00832DA5"/>
    <w:rsid w:val="00833644"/>
    <w:rsid w:val="00834400"/>
    <w:rsid w:val="0083642B"/>
    <w:rsid w:val="0083720E"/>
    <w:rsid w:val="0084012C"/>
    <w:rsid w:val="00840360"/>
    <w:rsid w:val="00840CA0"/>
    <w:rsid w:val="00841369"/>
    <w:rsid w:val="008435E1"/>
    <w:rsid w:val="008447F6"/>
    <w:rsid w:val="00845DE2"/>
    <w:rsid w:val="008462EA"/>
    <w:rsid w:val="0084707F"/>
    <w:rsid w:val="0085045A"/>
    <w:rsid w:val="00850514"/>
    <w:rsid w:val="00850F13"/>
    <w:rsid w:val="008529CA"/>
    <w:rsid w:val="008548CB"/>
    <w:rsid w:val="00854DFF"/>
    <w:rsid w:val="0085562D"/>
    <w:rsid w:val="008610E8"/>
    <w:rsid w:val="0086116A"/>
    <w:rsid w:val="00861D4F"/>
    <w:rsid w:val="00862DD4"/>
    <w:rsid w:val="008638C0"/>
    <w:rsid w:val="008647C1"/>
    <w:rsid w:val="008649D8"/>
    <w:rsid w:val="0086566A"/>
    <w:rsid w:val="008657F1"/>
    <w:rsid w:val="00865E92"/>
    <w:rsid w:val="008674EB"/>
    <w:rsid w:val="00870157"/>
    <w:rsid w:val="00871D1A"/>
    <w:rsid w:val="00871D30"/>
    <w:rsid w:val="008728C9"/>
    <w:rsid w:val="00872F4F"/>
    <w:rsid w:val="00873964"/>
    <w:rsid w:val="0087599F"/>
    <w:rsid w:val="0087628C"/>
    <w:rsid w:val="008776C4"/>
    <w:rsid w:val="008828F5"/>
    <w:rsid w:val="00884ED8"/>
    <w:rsid w:val="00885E63"/>
    <w:rsid w:val="0088657D"/>
    <w:rsid w:val="00886BCF"/>
    <w:rsid w:val="00890EFE"/>
    <w:rsid w:val="008911D3"/>
    <w:rsid w:val="00892FDB"/>
    <w:rsid w:val="00895C0B"/>
    <w:rsid w:val="00895D12"/>
    <w:rsid w:val="00896914"/>
    <w:rsid w:val="00896DA8"/>
    <w:rsid w:val="00897301"/>
    <w:rsid w:val="00897E6C"/>
    <w:rsid w:val="008A0FF7"/>
    <w:rsid w:val="008A223E"/>
    <w:rsid w:val="008A37F0"/>
    <w:rsid w:val="008A78F0"/>
    <w:rsid w:val="008B0258"/>
    <w:rsid w:val="008B0E44"/>
    <w:rsid w:val="008B22EA"/>
    <w:rsid w:val="008B38AA"/>
    <w:rsid w:val="008B5523"/>
    <w:rsid w:val="008C0394"/>
    <w:rsid w:val="008C16FD"/>
    <w:rsid w:val="008C2AA3"/>
    <w:rsid w:val="008C2BAA"/>
    <w:rsid w:val="008C31BD"/>
    <w:rsid w:val="008C33C0"/>
    <w:rsid w:val="008C3832"/>
    <w:rsid w:val="008C3CCB"/>
    <w:rsid w:val="008D03F1"/>
    <w:rsid w:val="008D06BA"/>
    <w:rsid w:val="008D214A"/>
    <w:rsid w:val="008D2D92"/>
    <w:rsid w:val="008D2E18"/>
    <w:rsid w:val="008D325A"/>
    <w:rsid w:val="008D3466"/>
    <w:rsid w:val="008D3C7E"/>
    <w:rsid w:val="008D4FA9"/>
    <w:rsid w:val="008D57D1"/>
    <w:rsid w:val="008E331A"/>
    <w:rsid w:val="008E542C"/>
    <w:rsid w:val="008E7DE1"/>
    <w:rsid w:val="008F0EF6"/>
    <w:rsid w:val="008F106E"/>
    <w:rsid w:val="008F27B7"/>
    <w:rsid w:val="008F2B76"/>
    <w:rsid w:val="008F31BA"/>
    <w:rsid w:val="008F36F8"/>
    <w:rsid w:val="008F4227"/>
    <w:rsid w:val="008F451B"/>
    <w:rsid w:val="008F48CC"/>
    <w:rsid w:val="008F4B78"/>
    <w:rsid w:val="00900ACD"/>
    <w:rsid w:val="00901079"/>
    <w:rsid w:val="0090200A"/>
    <w:rsid w:val="00903058"/>
    <w:rsid w:val="009059A7"/>
    <w:rsid w:val="00906307"/>
    <w:rsid w:val="0090655C"/>
    <w:rsid w:val="00906B4B"/>
    <w:rsid w:val="00906BBC"/>
    <w:rsid w:val="0090740B"/>
    <w:rsid w:val="00907A70"/>
    <w:rsid w:val="00910C35"/>
    <w:rsid w:val="00912A6C"/>
    <w:rsid w:val="0091361B"/>
    <w:rsid w:val="00913934"/>
    <w:rsid w:val="009140A6"/>
    <w:rsid w:val="009143AA"/>
    <w:rsid w:val="00914BA7"/>
    <w:rsid w:val="00916987"/>
    <w:rsid w:val="00917DFB"/>
    <w:rsid w:val="00920910"/>
    <w:rsid w:val="00921983"/>
    <w:rsid w:val="00921BC5"/>
    <w:rsid w:val="00922548"/>
    <w:rsid w:val="009260FB"/>
    <w:rsid w:val="0093214D"/>
    <w:rsid w:val="00932348"/>
    <w:rsid w:val="0093300C"/>
    <w:rsid w:val="00934368"/>
    <w:rsid w:val="0093624C"/>
    <w:rsid w:val="009378C6"/>
    <w:rsid w:val="0094137E"/>
    <w:rsid w:val="00942CFF"/>
    <w:rsid w:val="00943329"/>
    <w:rsid w:val="009433DD"/>
    <w:rsid w:val="009437BA"/>
    <w:rsid w:val="00944E91"/>
    <w:rsid w:val="00946294"/>
    <w:rsid w:val="00946577"/>
    <w:rsid w:val="009514A2"/>
    <w:rsid w:val="00951F42"/>
    <w:rsid w:val="00954A45"/>
    <w:rsid w:val="00956AE9"/>
    <w:rsid w:val="009572DA"/>
    <w:rsid w:val="009603EC"/>
    <w:rsid w:val="009611F3"/>
    <w:rsid w:val="009616B9"/>
    <w:rsid w:val="009622CC"/>
    <w:rsid w:val="00963862"/>
    <w:rsid w:val="009641B0"/>
    <w:rsid w:val="00964CC6"/>
    <w:rsid w:val="00965BE7"/>
    <w:rsid w:val="00965E79"/>
    <w:rsid w:val="00966DA6"/>
    <w:rsid w:val="00971FA1"/>
    <w:rsid w:val="009725CF"/>
    <w:rsid w:val="00972C41"/>
    <w:rsid w:val="00974200"/>
    <w:rsid w:val="00974B1E"/>
    <w:rsid w:val="00975661"/>
    <w:rsid w:val="00975811"/>
    <w:rsid w:val="00975CAD"/>
    <w:rsid w:val="00977604"/>
    <w:rsid w:val="00980349"/>
    <w:rsid w:val="00981A36"/>
    <w:rsid w:val="00982458"/>
    <w:rsid w:val="00983B07"/>
    <w:rsid w:val="00987784"/>
    <w:rsid w:val="00990F97"/>
    <w:rsid w:val="00991FA9"/>
    <w:rsid w:val="009920C2"/>
    <w:rsid w:val="009925FA"/>
    <w:rsid w:val="00993E65"/>
    <w:rsid w:val="00994FF9"/>
    <w:rsid w:val="009958C2"/>
    <w:rsid w:val="00995911"/>
    <w:rsid w:val="00995C40"/>
    <w:rsid w:val="00995C8E"/>
    <w:rsid w:val="00996DE1"/>
    <w:rsid w:val="009A129D"/>
    <w:rsid w:val="009A2427"/>
    <w:rsid w:val="009A2518"/>
    <w:rsid w:val="009A431D"/>
    <w:rsid w:val="009A4AEC"/>
    <w:rsid w:val="009A5629"/>
    <w:rsid w:val="009A6434"/>
    <w:rsid w:val="009A6845"/>
    <w:rsid w:val="009A6E8C"/>
    <w:rsid w:val="009A7452"/>
    <w:rsid w:val="009A79C5"/>
    <w:rsid w:val="009A7CC5"/>
    <w:rsid w:val="009B1A17"/>
    <w:rsid w:val="009B2B68"/>
    <w:rsid w:val="009B33BE"/>
    <w:rsid w:val="009B3F54"/>
    <w:rsid w:val="009B4C2D"/>
    <w:rsid w:val="009B5EDE"/>
    <w:rsid w:val="009B722C"/>
    <w:rsid w:val="009B7714"/>
    <w:rsid w:val="009B7AA5"/>
    <w:rsid w:val="009B7BAA"/>
    <w:rsid w:val="009C0798"/>
    <w:rsid w:val="009C0CA4"/>
    <w:rsid w:val="009C3E90"/>
    <w:rsid w:val="009C41BA"/>
    <w:rsid w:val="009C4DB3"/>
    <w:rsid w:val="009C6368"/>
    <w:rsid w:val="009C75BB"/>
    <w:rsid w:val="009D0EAC"/>
    <w:rsid w:val="009D1730"/>
    <w:rsid w:val="009D260F"/>
    <w:rsid w:val="009D274C"/>
    <w:rsid w:val="009D445B"/>
    <w:rsid w:val="009D47D1"/>
    <w:rsid w:val="009D5C34"/>
    <w:rsid w:val="009D7A44"/>
    <w:rsid w:val="009E0F07"/>
    <w:rsid w:val="009E1F39"/>
    <w:rsid w:val="009E5705"/>
    <w:rsid w:val="009E60C0"/>
    <w:rsid w:val="009E6791"/>
    <w:rsid w:val="009E6C75"/>
    <w:rsid w:val="009E6FB1"/>
    <w:rsid w:val="009E787A"/>
    <w:rsid w:val="009F05DF"/>
    <w:rsid w:val="009F15F4"/>
    <w:rsid w:val="009F29E4"/>
    <w:rsid w:val="009F2A20"/>
    <w:rsid w:val="009F2D89"/>
    <w:rsid w:val="009F379C"/>
    <w:rsid w:val="009F379E"/>
    <w:rsid w:val="009F4051"/>
    <w:rsid w:val="009F56CA"/>
    <w:rsid w:val="009F6668"/>
    <w:rsid w:val="00A011AC"/>
    <w:rsid w:val="00A03BE3"/>
    <w:rsid w:val="00A0404D"/>
    <w:rsid w:val="00A053E3"/>
    <w:rsid w:val="00A05569"/>
    <w:rsid w:val="00A05B17"/>
    <w:rsid w:val="00A05BB5"/>
    <w:rsid w:val="00A05BD1"/>
    <w:rsid w:val="00A06107"/>
    <w:rsid w:val="00A07A7B"/>
    <w:rsid w:val="00A109FE"/>
    <w:rsid w:val="00A10DE8"/>
    <w:rsid w:val="00A11FD8"/>
    <w:rsid w:val="00A12DAB"/>
    <w:rsid w:val="00A13608"/>
    <w:rsid w:val="00A13F12"/>
    <w:rsid w:val="00A1479E"/>
    <w:rsid w:val="00A2232F"/>
    <w:rsid w:val="00A2238D"/>
    <w:rsid w:val="00A22621"/>
    <w:rsid w:val="00A2437E"/>
    <w:rsid w:val="00A25F1F"/>
    <w:rsid w:val="00A26586"/>
    <w:rsid w:val="00A267A2"/>
    <w:rsid w:val="00A27757"/>
    <w:rsid w:val="00A31588"/>
    <w:rsid w:val="00A33057"/>
    <w:rsid w:val="00A334DF"/>
    <w:rsid w:val="00A34601"/>
    <w:rsid w:val="00A34AEA"/>
    <w:rsid w:val="00A35B16"/>
    <w:rsid w:val="00A37B4F"/>
    <w:rsid w:val="00A43649"/>
    <w:rsid w:val="00A43D03"/>
    <w:rsid w:val="00A44B62"/>
    <w:rsid w:val="00A45958"/>
    <w:rsid w:val="00A45AD2"/>
    <w:rsid w:val="00A45FF8"/>
    <w:rsid w:val="00A4638F"/>
    <w:rsid w:val="00A466AE"/>
    <w:rsid w:val="00A46A65"/>
    <w:rsid w:val="00A46E69"/>
    <w:rsid w:val="00A47075"/>
    <w:rsid w:val="00A47402"/>
    <w:rsid w:val="00A50B64"/>
    <w:rsid w:val="00A50BA1"/>
    <w:rsid w:val="00A50F8C"/>
    <w:rsid w:val="00A5145E"/>
    <w:rsid w:val="00A51905"/>
    <w:rsid w:val="00A5344D"/>
    <w:rsid w:val="00A54319"/>
    <w:rsid w:val="00A5524C"/>
    <w:rsid w:val="00A5577F"/>
    <w:rsid w:val="00A557F7"/>
    <w:rsid w:val="00A55878"/>
    <w:rsid w:val="00A56934"/>
    <w:rsid w:val="00A57667"/>
    <w:rsid w:val="00A576D5"/>
    <w:rsid w:val="00A60F5B"/>
    <w:rsid w:val="00A61662"/>
    <w:rsid w:val="00A620B3"/>
    <w:rsid w:val="00A640B2"/>
    <w:rsid w:val="00A6511A"/>
    <w:rsid w:val="00A66797"/>
    <w:rsid w:val="00A70B6D"/>
    <w:rsid w:val="00A72234"/>
    <w:rsid w:val="00A735D6"/>
    <w:rsid w:val="00A7423B"/>
    <w:rsid w:val="00A757D7"/>
    <w:rsid w:val="00A7662C"/>
    <w:rsid w:val="00A817FC"/>
    <w:rsid w:val="00A81EFE"/>
    <w:rsid w:val="00A83C9F"/>
    <w:rsid w:val="00A844DE"/>
    <w:rsid w:val="00A85701"/>
    <w:rsid w:val="00A85D90"/>
    <w:rsid w:val="00A85EA2"/>
    <w:rsid w:val="00A86252"/>
    <w:rsid w:val="00A91635"/>
    <w:rsid w:val="00A92DBC"/>
    <w:rsid w:val="00A94FB0"/>
    <w:rsid w:val="00A975B3"/>
    <w:rsid w:val="00A97DBA"/>
    <w:rsid w:val="00AA08D3"/>
    <w:rsid w:val="00AA0B97"/>
    <w:rsid w:val="00AA1D72"/>
    <w:rsid w:val="00AA45B8"/>
    <w:rsid w:val="00AA4DFA"/>
    <w:rsid w:val="00AA6A06"/>
    <w:rsid w:val="00AA7803"/>
    <w:rsid w:val="00AA7A7C"/>
    <w:rsid w:val="00AB10DC"/>
    <w:rsid w:val="00AB2EB8"/>
    <w:rsid w:val="00AB6079"/>
    <w:rsid w:val="00AB677E"/>
    <w:rsid w:val="00AC1775"/>
    <w:rsid w:val="00AC1800"/>
    <w:rsid w:val="00AC18C4"/>
    <w:rsid w:val="00AC208A"/>
    <w:rsid w:val="00AC61FA"/>
    <w:rsid w:val="00AD1B44"/>
    <w:rsid w:val="00AD1F65"/>
    <w:rsid w:val="00AD2BC3"/>
    <w:rsid w:val="00AD2C02"/>
    <w:rsid w:val="00AD3A4E"/>
    <w:rsid w:val="00AD4681"/>
    <w:rsid w:val="00AD4B32"/>
    <w:rsid w:val="00AE01DD"/>
    <w:rsid w:val="00AE106F"/>
    <w:rsid w:val="00AE1102"/>
    <w:rsid w:val="00AE15F8"/>
    <w:rsid w:val="00AE3BCA"/>
    <w:rsid w:val="00AE51F8"/>
    <w:rsid w:val="00AE5251"/>
    <w:rsid w:val="00AE54B8"/>
    <w:rsid w:val="00AE5EA4"/>
    <w:rsid w:val="00AE6CEE"/>
    <w:rsid w:val="00AE772C"/>
    <w:rsid w:val="00AE7A7D"/>
    <w:rsid w:val="00AE7F2F"/>
    <w:rsid w:val="00AF08CA"/>
    <w:rsid w:val="00AF0FD8"/>
    <w:rsid w:val="00AF1FBD"/>
    <w:rsid w:val="00AF2E65"/>
    <w:rsid w:val="00AF36D0"/>
    <w:rsid w:val="00AF3E57"/>
    <w:rsid w:val="00AF3E6E"/>
    <w:rsid w:val="00AF432F"/>
    <w:rsid w:val="00AF4807"/>
    <w:rsid w:val="00AF6109"/>
    <w:rsid w:val="00AF7A83"/>
    <w:rsid w:val="00B00A40"/>
    <w:rsid w:val="00B00A67"/>
    <w:rsid w:val="00B01B73"/>
    <w:rsid w:val="00B05118"/>
    <w:rsid w:val="00B05495"/>
    <w:rsid w:val="00B055DB"/>
    <w:rsid w:val="00B05821"/>
    <w:rsid w:val="00B101E8"/>
    <w:rsid w:val="00B12665"/>
    <w:rsid w:val="00B12CFC"/>
    <w:rsid w:val="00B13181"/>
    <w:rsid w:val="00B13E85"/>
    <w:rsid w:val="00B14B9E"/>
    <w:rsid w:val="00B15E47"/>
    <w:rsid w:val="00B20926"/>
    <w:rsid w:val="00B20AA2"/>
    <w:rsid w:val="00B21BED"/>
    <w:rsid w:val="00B2225A"/>
    <w:rsid w:val="00B22BF5"/>
    <w:rsid w:val="00B258B1"/>
    <w:rsid w:val="00B261D6"/>
    <w:rsid w:val="00B27253"/>
    <w:rsid w:val="00B27AB7"/>
    <w:rsid w:val="00B32E62"/>
    <w:rsid w:val="00B33119"/>
    <w:rsid w:val="00B34FD9"/>
    <w:rsid w:val="00B37EC9"/>
    <w:rsid w:val="00B411E3"/>
    <w:rsid w:val="00B4122F"/>
    <w:rsid w:val="00B42CFC"/>
    <w:rsid w:val="00B44771"/>
    <w:rsid w:val="00B46411"/>
    <w:rsid w:val="00B50342"/>
    <w:rsid w:val="00B516F3"/>
    <w:rsid w:val="00B51BA0"/>
    <w:rsid w:val="00B533B2"/>
    <w:rsid w:val="00B53E71"/>
    <w:rsid w:val="00B568D9"/>
    <w:rsid w:val="00B56CB3"/>
    <w:rsid w:val="00B56E81"/>
    <w:rsid w:val="00B573A6"/>
    <w:rsid w:val="00B6071F"/>
    <w:rsid w:val="00B6160A"/>
    <w:rsid w:val="00B62D63"/>
    <w:rsid w:val="00B63AE0"/>
    <w:rsid w:val="00B63FE7"/>
    <w:rsid w:val="00B6447C"/>
    <w:rsid w:val="00B6621A"/>
    <w:rsid w:val="00B668B0"/>
    <w:rsid w:val="00B66D92"/>
    <w:rsid w:val="00B67033"/>
    <w:rsid w:val="00B67557"/>
    <w:rsid w:val="00B725FC"/>
    <w:rsid w:val="00B7272C"/>
    <w:rsid w:val="00B72CDF"/>
    <w:rsid w:val="00B7346D"/>
    <w:rsid w:val="00B73E17"/>
    <w:rsid w:val="00B76EB0"/>
    <w:rsid w:val="00B778D3"/>
    <w:rsid w:val="00B82D8D"/>
    <w:rsid w:val="00B8366F"/>
    <w:rsid w:val="00B83F97"/>
    <w:rsid w:val="00B85509"/>
    <w:rsid w:val="00B856FE"/>
    <w:rsid w:val="00B85F35"/>
    <w:rsid w:val="00B86BC3"/>
    <w:rsid w:val="00B87F21"/>
    <w:rsid w:val="00B90D92"/>
    <w:rsid w:val="00B91975"/>
    <w:rsid w:val="00B91C9C"/>
    <w:rsid w:val="00B91D74"/>
    <w:rsid w:val="00B9268B"/>
    <w:rsid w:val="00B9276C"/>
    <w:rsid w:val="00B962E2"/>
    <w:rsid w:val="00BA0A96"/>
    <w:rsid w:val="00BA2176"/>
    <w:rsid w:val="00BA4B3F"/>
    <w:rsid w:val="00BA5526"/>
    <w:rsid w:val="00BA67FA"/>
    <w:rsid w:val="00BB07AA"/>
    <w:rsid w:val="00BB0B98"/>
    <w:rsid w:val="00BB1E10"/>
    <w:rsid w:val="00BB2965"/>
    <w:rsid w:val="00BB72EF"/>
    <w:rsid w:val="00BC12D9"/>
    <w:rsid w:val="00BC2A3F"/>
    <w:rsid w:val="00BC2F37"/>
    <w:rsid w:val="00BC5682"/>
    <w:rsid w:val="00BD04B5"/>
    <w:rsid w:val="00BD0701"/>
    <w:rsid w:val="00BD0A8E"/>
    <w:rsid w:val="00BD105A"/>
    <w:rsid w:val="00BD1CD9"/>
    <w:rsid w:val="00BD2892"/>
    <w:rsid w:val="00BD353D"/>
    <w:rsid w:val="00BD407B"/>
    <w:rsid w:val="00BD5B43"/>
    <w:rsid w:val="00BE17C8"/>
    <w:rsid w:val="00BE1D9F"/>
    <w:rsid w:val="00BE335D"/>
    <w:rsid w:val="00BE36A5"/>
    <w:rsid w:val="00BE3DC8"/>
    <w:rsid w:val="00BE6A71"/>
    <w:rsid w:val="00BE6F8A"/>
    <w:rsid w:val="00BE71A6"/>
    <w:rsid w:val="00BE7D83"/>
    <w:rsid w:val="00BF0A91"/>
    <w:rsid w:val="00BF2BA1"/>
    <w:rsid w:val="00BF3CF3"/>
    <w:rsid w:val="00BF4D40"/>
    <w:rsid w:val="00BF6FA6"/>
    <w:rsid w:val="00C00474"/>
    <w:rsid w:val="00C005A4"/>
    <w:rsid w:val="00C0168A"/>
    <w:rsid w:val="00C0402B"/>
    <w:rsid w:val="00C07F69"/>
    <w:rsid w:val="00C10AD2"/>
    <w:rsid w:val="00C11115"/>
    <w:rsid w:val="00C117BF"/>
    <w:rsid w:val="00C13042"/>
    <w:rsid w:val="00C14B3C"/>
    <w:rsid w:val="00C15083"/>
    <w:rsid w:val="00C154AC"/>
    <w:rsid w:val="00C164F6"/>
    <w:rsid w:val="00C16B59"/>
    <w:rsid w:val="00C21089"/>
    <w:rsid w:val="00C229FA"/>
    <w:rsid w:val="00C22D07"/>
    <w:rsid w:val="00C22E4B"/>
    <w:rsid w:val="00C242C1"/>
    <w:rsid w:val="00C24AA9"/>
    <w:rsid w:val="00C24E6C"/>
    <w:rsid w:val="00C25C13"/>
    <w:rsid w:val="00C30EBA"/>
    <w:rsid w:val="00C32AC5"/>
    <w:rsid w:val="00C34671"/>
    <w:rsid w:val="00C35185"/>
    <w:rsid w:val="00C352C2"/>
    <w:rsid w:val="00C354B6"/>
    <w:rsid w:val="00C357A0"/>
    <w:rsid w:val="00C35AA4"/>
    <w:rsid w:val="00C36F80"/>
    <w:rsid w:val="00C40612"/>
    <w:rsid w:val="00C4163C"/>
    <w:rsid w:val="00C4313F"/>
    <w:rsid w:val="00C44409"/>
    <w:rsid w:val="00C51389"/>
    <w:rsid w:val="00C52189"/>
    <w:rsid w:val="00C531A2"/>
    <w:rsid w:val="00C53263"/>
    <w:rsid w:val="00C53B0F"/>
    <w:rsid w:val="00C540C9"/>
    <w:rsid w:val="00C550DE"/>
    <w:rsid w:val="00C578E2"/>
    <w:rsid w:val="00C61B36"/>
    <w:rsid w:val="00C61EEC"/>
    <w:rsid w:val="00C63DAE"/>
    <w:rsid w:val="00C643F8"/>
    <w:rsid w:val="00C64AC3"/>
    <w:rsid w:val="00C7000E"/>
    <w:rsid w:val="00C71098"/>
    <w:rsid w:val="00C71C79"/>
    <w:rsid w:val="00C721BB"/>
    <w:rsid w:val="00C72674"/>
    <w:rsid w:val="00C729CC"/>
    <w:rsid w:val="00C74213"/>
    <w:rsid w:val="00C7422F"/>
    <w:rsid w:val="00C75288"/>
    <w:rsid w:val="00C76D4C"/>
    <w:rsid w:val="00C77554"/>
    <w:rsid w:val="00C84ED8"/>
    <w:rsid w:val="00C852D3"/>
    <w:rsid w:val="00C86C0D"/>
    <w:rsid w:val="00C86F9B"/>
    <w:rsid w:val="00C905CF"/>
    <w:rsid w:val="00C91A63"/>
    <w:rsid w:val="00C93AE7"/>
    <w:rsid w:val="00C94C80"/>
    <w:rsid w:val="00C97A5C"/>
    <w:rsid w:val="00CA1632"/>
    <w:rsid w:val="00CA2764"/>
    <w:rsid w:val="00CA3F81"/>
    <w:rsid w:val="00CA445D"/>
    <w:rsid w:val="00CA50A4"/>
    <w:rsid w:val="00CB0178"/>
    <w:rsid w:val="00CB049A"/>
    <w:rsid w:val="00CB07E4"/>
    <w:rsid w:val="00CB0CC3"/>
    <w:rsid w:val="00CB37D9"/>
    <w:rsid w:val="00CB648B"/>
    <w:rsid w:val="00CB70ED"/>
    <w:rsid w:val="00CC0BEF"/>
    <w:rsid w:val="00CC0F16"/>
    <w:rsid w:val="00CC19E7"/>
    <w:rsid w:val="00CC1E88"/>
    <w:rsid w:val="00CC27DF"/>
    <w:rsid w:val="00CC3030"/>
    <w:rsid w:val="00CC4FDB"/>
    <w:rsid w:val="00CC5EDF"/>
    <w:rsid w:val="00CC5FC9"/>
    <w:rsid w:val="00CC609B"/>
    <w:rsid w:val="00CC6E9C"/>
    <w:rsid w:val="00CC7515"/>
    <w:rsid w:val="00CC75BF"/>
    <w:rsid w:val="00CC7C07"/>
    <w:rsid w:val="00CD0111"/>
    <w:rsid w:val="00CD0335"/>
    <w:rsid w:val="00CD1D07"/>
    <w:rsid w:val="00CD2157"/>
    <w:rsid w:val="00CD3158"/>
    <w:rsid w:val="00CD4C9E"/>
    <w:rsid w:val="00CD5903"/>
    <w:rsid w:val="00CD5A0E"/>
    <w:rsid w:val="00CD6F75"/>
    <w:rsid w:val="00CD7772"/>
    <w:rsid w:val="00CE0375"/>
    <w:rsid w:val="00CE145E"/>
    <w:rsid w:val="00CE2A83"/>
    <w:rsid w:val="00CE3269"/>
    <w:rsid w:val="00CE3FC3"/>
    <w:rsid w:val="00CE43A4"/>
    <w:rsid w:val="00CE5140"/>
    <w:rsid w:val="00CE5C98"/>
    <w:rsid w:val="00CE7D9B"/>
    <w:rsid w:val="00CF1E96"/>
    <w:rsid w:val="00CF2D42"/>
    <w:rsid w:val="00CF328C"/>
    <w:rsid w:val="00CF3CFF"/>
    <w:rsid w:val="00CF493B"/>
    <w:rsid w:val="00CF5AAB"/>
    <w:rsid w:val="00CF7496"/>
    <w:rsid w:val="00D00BA9"/>
    <w:rsid w:val="00D0151B"/>
    <w:rsid w:val="00D015A2"/>
    <w:rsid w:val="00D038EB"/>
    <w:rsid w:val="00D0499B"/>
    <w:rsid w:val="00D05A52"/>
    <w:rsid w:val="00D073E2"/>
    <w:rsid w:val="00D077B5"/>
    <w:rsid w:val="00D112D8"/>
    <w:rsid w:val="00D11670"/>
    <w:rsid w:val="00D1183D"/>
    <w:rsid w:val="00D133BA"/>
    <w:rsid w:val="00D1350B"/>
    <w:rsid w:val="00D14A55"/>
    <w:rsid w:val="00D1525E"/>
    <w:rsid w:val="00D166E5"/>
    <w:rsid w:val="00D1728D"/>
    <w:rsid w:val="00D172EC"/>
    <w:rsid w:val="00D17C99"/>
    <w:rsid w:val="00D17E69"/>
    <w:rsid w:val="00D20D98"/>
    <w:rsid w:val="00D22327"/>
    <w:rsid w:val="00D233E3"/>
    <w:rsid w:val="00D23B51"/>
    <w:rsid w:val="00D23B59"/>
    <w:rsid w:val="00D247AA"/>
    <w:rsid w:val="00D25D65"/>
    <w:rsid w:val="00D26239"/>
    <w:rsid w:val="00D27957"/>
    <w:rsid w:val="00D30AC7"/>
    <w:rsid w:val="00D31413"/>
    <w:rsid w:val="00D318E3"/>
    <w:rsid w:val="00D3204C"/>
    <w:rsid w:val="00D33357"/>
    <w:rsid w:val="00D35D26"/>
    <w:rsid w:val="00D366EA"/>
    <w:rsid w:val="00D409C1"/>
    <w:rsid w:val="00D41D7B"/>
    <w:rsid w:val="00D41FEB"/>
    <w:rsid w:val="00D42ECE"/>
    <w:rsid w:val="00D44A07"/>
    <w:rsid w:val="00D45EEE"/>
    <w:rsid w:val="00D460F9"/>
    <w:rsid w:val="00D46EDE"/>
    <w:rsid w:val="00D46F44"/>
    <w:rsid w:val="00D475F3"/>
    <w:rsid w:val="00D5061E"/>
    <w:rsid w:val="00D50ACB"/>
    <w:rsid w:val="00D56DA4"/>
    <w:rsid w:val="00D57011"/>
    <w:rsid w:val="00D60856"/>
    <w:rsid w:val="00D61C4A"/>
    <w:rsid w:val="00D61D48"/>
    <w:rsid w:val="00D63504"/>
    <w:rsid w:val="00D648DC"/>
    <w:rsid w:val="00D6540B"/>
    <w:rsid w:val="00D65CF1"/>
    <w:rsid w:val="00D66431"/>
    <w:rsid w:val="00D7078D"/>
    <w:rsid w:val="00D717DC"/>
    <w:rsid w:val="00D7500C"/>
    <w:rsid w:val="00D760CA"/>
    <w:rsid w:val="00D76898"/>
    <w:rsid w:val="00D76C43"/>
    <w:rsid w:val="00D80233"/>
    <w:rsid w:val="00D80789"/>
    <w:rsid w:val="00D808E5"/>
    <w:rsid w:val="00D81F6A"/>
    <w:rsid w:val="00D84759"/>
    <w:rsid w:val="00D85776"/>
    <w:rsid w:val="00D857CF"/>
    <w:rsid w:val="00D86237"/>
    <w:rsid w:val="00D86A10"/>
    <w:rsid w:val="00D91114"/>
    <w:rsid w:val="00D91DE8"/>
    <w:rsid w:val="00D92799"/>
    <w:rsid w:val="00D93A2F"/>
    <w:rsid w:val="00D93E86"/>
    <w:rsid w:val="00D95FBC"/>
    <w:rsid w:val="00D963DF"/>
    <w:rsid w:val="00D96AC2"/>
    <w:rsid w:val="00DA01A1"/>
    <w:rsid w:val="00DA295B"/>
    <w:rsid w:val="00DA2E5E"/>
    <w:rsid w:val="00DA4691"/>
    <w:rsid w:val="00DA48E4"/>
    <w:rsid w:val="00DA4E5D"/>
    <w:rsid w:val="00DA55F0"/>
    <w:rsid w:val="00DA5912"/>
    <w:rsid w:val="00DA63DD"/>
    <w:rsid w:val="00DA68F9"/>
    <w:rsid w:val="00DA7A74"/>
    <w:rsid w:val="00DA7FAA"/>
    <w:rsid w:val="00DB08A3"/>
    <w:rsid w:val="00DB0EB3"/>
    <w:rsid w:val="00DB103D"/>
    <w:rsid w:val="00DB1659"/>
    <w:rsid w:val="00DB1D07"/>
    <w:rsid w:val="00DB5AD0"/>
    <w:rsid w:val="00DB5BA6"/>
    <w:rsid w:val="00DB68F6"/>
    <w:rsid w:val="00DB6B3F"/>
    <w:rsid w:val="00DB7D2D"/>
    <w:rsid w:val="00DC0138"/>
    <w:rsid w:val="00DC275A"/>
    <w:rsid w:val="00DC313D"/>
    <w:rsid w:val="00DC3A25"/>
    <w:rsid w:val="00DC6CC7"/>
    <w:rsid w:val="00DD0DBC"/>
    <w:rsid w:val="00DD25FA"/>
    <w:rsid w:val="00DD40DF"/>
    <w:rsid w:val="00DD42FF"/>
    <w:rsid w:val="00DD5469"/>
    <w:rsid w:val="00DD66E4"/>
    <w:rsid w:val="00DD6CF8"/>
    <w:rsid w:val="00DD7222"/>
    <w:rsid w:val="00DD752B"/>
    <w:rsid w:val="00DE2D70"/>
    <w:rsid w:val="00DE4544"/>
    <w:rsid w:val="00DE5643"/>
    <w:rsid w:val="00DE68D5"/>
    <w:rsid w:val="00DE7567"/>
    <w:rsid w:val="00DF007E"/>
    <w:rsid w:val="00DF0A48"/>
    <w:rsid w:val="00DF267C"/>
    <w:rsid w:val="00DF36B8"/>
    <w:rsid w:val="00DF3CDC"/>
    <w:rsid w:val="00DF5008"/>
    <w:rsid w:val="00DF6262"/>
    <w:rsid w:val="00DF72E7"/>
    <w:rsid w:val="00DF75C7"/>
    <w:rsid w:val="00E00086"/>
    <w:rsid w:val="00E00A6B"/>
    <w:rsid w:val="00E02712"/>
    <w:rsid w:val="00E02726"/>
    <w:rsid w:val="00E0375F"/>
    <w:rsid w:val="00E06E86"/>
    <w:rsid w:val="00E0700B"/>
    <w:rsid w:val="00E10B6C"/>
    <w:rsid w:val="00E10DE4"/>
    <w:rsid w:val="00E11D8F"/>
    <w:rsid w:val="00E124D1"/>
    <w:rsid w:val="00E130BB"/>
    <w:rsid w:val="00E14AAE"/>
    <w:rsid w:val="00E1600D"/>
    <w:rsid w:val="00E16DFE"/>
    <w:rsid w:val="00E16E46"/>
    <w:rsid w:val="00E222C6"/>
    <w:rsid w:val="00E23F7D"/>
    <w:rsid w:val="00E249F4"/>
    <w:rsid w:val="00E27C5E"/>
    <w:rsid w:val="00E303E7"/>
    <w:rsid w:val="00E31E9A"/>
    <w:rsid w:val="00E329DF"/>
    <w:rsid w:val="00E33683"/>
    <w:rsid w:val="00E34D7E"/>
    <w:rsid w:val="00E3558F"/>
    <w:rsid w:val="00E35708"/>
    <w:rsid w:val="00E35D45"/>
    <w:rsid w:val="00E35FDD"/>
    <w:rsid w:val="00E36447"/>
    <w:rsid w:val="00E371A1"/>
    <w:rsid w:val="00E371D9"/>
    <w:rsid w:val="00E373DD"/>
    <w:rsid w:val="00E377EB"/>
    <w:rsid w:val="00E413DA"/>
    <w:rsid w:val="00E4435C"/>
    <w:rsid w:val="00E45086"/>
    <w:rsid w:val="00E55B49"/>
    <w:rsid w:val="00E5606E"/>
    <w:rsid w:val="00E5667B"/>
    <w:rsid w:val="00E57570"/>
    <w:rsid w:val="00E6138E"/>
    <w:rsid w:val="00E615BA"/>
    <w:rsid w:val="00E6339F"/>
    <w:rsid w:val="00E633C2"/>
    <w:rsid w:val="00E63711"/>
    <w:rsid w:val="00E64D6C"/>
    <w:rsid w:val="00E6555E"/>
    <w:rsid w:val="00E65FE9"/>
    <w:rsid w:val="00E66608"/>
    <w:rsid w:val="00E66734"/>
    <w:rsid w:val="00E67CE5"/>
    <w:rsid w:val="00E71871"/>
    <w:rsid w:val="00E741EB"/>
    <w:rsid w:val="00E74966"/>
    <w:rsid w:val="00E75583"/>
    <w:rsid w:val="00E75F16"/>
    <w:rsid w:val="00E76809"/>
    <w:rsid w:val="00E76A98"/>
    <w:rsid w:val="00E76D65"/>
    <w:rsid w:val="00E77610"/>
    <w:rsid w:val="00E77F6F"/>
    <w:rsid w:val="00E800CA"/>
    <w:rsid w:val="00E805D7"/>
    <w:rsid w:val="00E820A2"/>
    <w:rsid w:val="00E8215A"/>
    <w:rsid w:val="00E82438"/>
    <w:rsid w:val="00E82502"/>
    <w:rsid w:val="00E831FB"/>
    <w:rsid w:val="00E8360E"/>
    <w:rsid w:val="00E83828"/>
    <w:rsid w:val="00E839F0"/>
    <w:rsid w:val="00E842C9"/>
    <w:rsid w:val="00E91D92"/>
    <w:rsid w:val="00E93ABE"/>
    <w:rsid w:val="00E943A8"/>
    <w:rsid w:val="00E96AD3"/>
    <w:rsid w:val="00E972CC"/>
    <w:rsid w:val="00EA5163"/>
    <w:rsid w:val="00EA5EA9"/>
    <w:rsid w:val="00EA70C4"/>
    <w:rsid w:val="00EB1B7F"/>
    <w:rsid w:val="00EB2291"/>
    <w:rsid w:val="00EB393F"/>
    <w:rsid w:val="00EB6543"/>
    <w:rsid w:val="00EB674B"/>
    <w:rsid w:val="00EB68D4"/>
    <w:rsid w:val="00EB72B4"/>
    <w:rsid w:val="00EB7A58"/>
    <w:rsid w:val="00EC37D8"/>
    <w:rsid w:val="00EC5AEF"/>
    <w:rsid w:val="00EC7E6D"/>
    <w:rsid w:val="00ED08FE"/>
    <w:rsid w:val="00ED0DC1"/>
    <w:rsid w:val="00ED131C"/>
    <w:rsid w:val="00ED19A2"/>
    <w:rsid w:val="00ED22D1"/>
    <w:rsid w:val="00ED2412"/>
    <w:rsid w:val="00ED2567"/>
    <w:rsid w:val="00ED29F8"/>
    <w:rsid w:val="00ED36EB"/>
    <w:rsid w:val="00ED3C0C"/>
    <w:rsid w:val="00ED473C"/>
    <w:rsid w:val="00ED48AD"/>
    <w:rsid w:val="00ED682A"/>
    <w:rsid w:val="00ED7711"/>
    <w:rsid w:val="00ED7751"/>
    <w:rsid w:val="00EE2BE9"/>
    <w:rsid w:val="00EE2C0F"/>
    <w:rsid w:val="00EE2F13"/>
    <w:rsid w:val="00EE47F5"/>
    <w:rsid w:val="00EE5164"/>
    <w:rsid w:val="00EE66EA"/>
    <w:rsid w:val="00EE6E40"/>
    <w:rsid w:val="00EE786A"/>
    <w:rsid w:val="00EF0092"/>
    <w:rsid w:val="00EF196B"/>
    <w:rsid w:val="00EF1E05"/>
    <w:rsid w:val="00EF2D79"/>
    <w:rsid w:val="00EF3A64"/>
    <w:rsid w:val="00EF4ADA"/>
    <w:rsid w:val="00EF4E51"/>
    <w:rsid w:val="00EF752F"/>
    <w:rsid w:val="00EF7EA4"/>
    <w:rsid w:val="00EF7FF6"/>
    <w:rsid w:val="00F00C09"/>
    <w:rsid w:val="00F01FA7"/>
    <w:rsid w:val="00F02F52"/>
    <w:rsid w:val="00F030BB"/>
    <w:rsid w:val="00F0495F"/>
    <w:rsid w:val="00F0589F"/>
    <w:rsid w:val="00F06095"/>
    <w:rsid w:val="00F06917"/>
    <w:rsid w:val="00F06E5D"/>
    <w:rsid w:val="00F07101"/>
    <w:rsid w:val="00F072A7"/>
    <w:rsid w:val="00F073B7"/>
    <w:rsid w:val="00F077E5"/>
    <w:rsid w:val="00F07CFF"/>
    <w:rsid w:val="00F13CFA"/>
    <w:rsid w:val="00F140D2"/>
    <w:rsid w:val="00F15054"/>
    <w:rsid w:val="00F162EE"/>
    <w:rsid w:val="00F169DE"/>
    <w:rsid w:val="00F16DD3"/>
    <w:rsid w:val="00F171E2"/>
    <w:rsid w:val="00F17758"/>
    <w:rsid w:val="00F207D8"/>
    <w:rsid w:val="00F20B87"/>
    <w:rsid w:val="00F22B4C"/>
    <w:rsid w:val="00F22C5A"/>
    <w:rsid w:val="00F23A23"/>
    <w:rsid w:val="00F23E31"/>
    <w:rsid w:val="00F24009"/>
    <w:rsid w:val="00F2632E"/>
    <w:rsid w:val="00F269FC"/>
    <w:rsid w:val="00F26D4C"/>
    <w:rsid w:val="00F27294"/>
    <w:rsid w:val="00F27295"/>
    <w:rsid w:val="00F274D5"/>
    <w:rsid w:val="00F27604"/>
    <w:rsid w:val="00F306E0"/>
    <w:rsid w:val="00F30CBE"/>
    <w:rsid w:val="00F31DF8"/>
    <w:rsid w:val="00F32B30"/>
    <w:rsid w:val="00F3308B"/>
    <w:rsid w:val="00F33D49"/>
    <w:rsid w:val="00F36C3C"/>
    <w:rsid w:val="00F37E39"/>
    <w:rsid w:val="00F405B6"/>
    <w:rsid w:val="00F41D32"/>
    <w:rsid w:val="00F41FBC"/>
    <w:rsid w:val="00F42E03"/>
    <w:rsid w:val="00F43E4A"/>
    <w:rsid w:val="00F45B79"/>
    <w:rsid w:val="00F50658"/>
    <w:rsid w:val="00F50EDE"/>
    <w:rsid w:val="00F50F87"/>
    <w:rsid w:val="00F527E4"/>
    <w:rsid w:val="00F52F8D"/>
    <w:rsid w:val="00F5333A"/>
    <w:rsid w:val="00F535DD"/>
    <w:rsid w:val="00F54642"/>
    <w:rsid w:val="00F54AA0"/>
    <w:rsid w:val="00F550E8"/>
    <w:rsid w:val="00F55E62"/>
    <w:rsid w:val="00F576FD"/>
    <w:rsid w:val="00F57CAD"/>
    <w:rsid w:val="00F60183"/>
    <w:rsid w:val="00F60F12"/>
    <w:rsid w:val="00F6105A"/>
    <w:rsid w:val="00F614DB"/>
    <w:rsid w:val="00F61DD8"/>
    <w:rsid w:val="00F6394D"/>
    <w:rsid w:val="00F64F1D"/>
    <w:rsid w:val="00F6510E"/>
    <w:rsid w:val="00F652A0"/>
    <w:rsid w:val="00F657C0"/>
    <w:rsid w:val="00F66504"/>
    <w:rsid w:val="00F67CE2"/>
    <w:rsid w:val="00F700E1"/>
    <w:rsid w:val="00F70831"/>
    <w:rsid w:val="00F70EEE"/>
    <w:rsid w:val="00F73B9D"/>
    <w:rsid w:val="00F73C71"/>
    <w:rsid w:val="00F76AC1"/>
    <w:rsid w:val="00F7766E"/>
    <w:rsid w:val="00F77E1D"/>
    <w:rsid w:val="00F77FA5"/>
    <w:rsid w:val="00F81DEB"/>
    <w:rsid w:val="00F8274F"/>
    <w:rsid w:val="00F82B48"/>
    <w:rsid w:val="00F83C97"/>
    <w:rsid w:val="00F86F66"/>
    <w:rsid w:val="00F908B3"/>
    <w:rsid w:val="00F9113E"/>
    <w:rsid w:val="00F91466"/>
    <w:rsid w:val="00F92B4B"/>
    <w:rsid w:val="00F92C2E"/>
    <w:rsid w:val="00F93025"/>
    <w:rsid w:val="00F930C4"/>
    <w:rsid w:val="00F939E1"/>
    <w:rsid w:val="00F93CE2"/>
    <w:rsid w:val="00F93D35"/>
    <w:rsid w:val="00F94094"/>
    <w:rsid w:val="00F959A4"/>
    <w:rsid w:val="00F96B21"/>
    <w:rsid w:val="00F96F8E"/>
    <w:rsid w:val="00F973E3"/>
    <w:rsid w:val="00F97767"/>
    <w:rsid w:val="00F979C1"/>
    <w:rsid w:val="00FA021A"/>
    <w:rsid w:val="00FA0E16"/>
    <w:rsid w:val="00FA0F5A"/>
    <w:rsid w:val="00FA154F"/>
    <w:rsid w:val="00FA1F93"/>
    <w:rsid w:val="00FA2AFF"/>
    <w:rsid w:val="00FA34DD"/>
    <w:rsid w:val="00FA76AC"/>
    <w:rsid w:val="00FB1E96"/>
    <w:rsid w:val="00FB1F64"/>
    <w:rsid w:val="00FB270B"/>
    <w:rsid w:val="00FB2741"/>
    <w:rsid w:val="00FB284A"/>
    <w:rsid w:val="00FB2862"/>
    <w:rsid w:val="00FB40F2"/>
    <w:rsid w:val="00FB6180"/>
    <w:rsid w:val="00FB6BFC"/>
    <w:rsid w:val="00FB76E5"/>
    <w:rsid w:val="00FC0AD3"/>
    <w:rsid w:val="00FC0D97"/>
    <w:rsid w:val="00FC1422"/>
    <w:rsid w:val="00FC18D9"/>
    <w:rsid w:val="00FC200B"/>
    <w:rsid w:val="00FC25DF"/>
    <w:rsid w:val="00FC5015"/>
    <w:rsid w:val="00FC5C6B"/>
    <w:rsid w:val="00FC5F3D"/>
    <w:rsid w:val="00FC6703"/>
    <w:rsid w:val="00FC6E34"/>
    <w:rsid w:val="00FC7917"/>
    <w:rsid w:val="00FC7C82"/>
    <w:rsid w:val="00FD074F"/>
    <w:rsid w:val="00FD2968"/>
    <w:rsid w:val="00FD327D"/>
    <w:rsid w:val="00FD4372"/>
    <w:rsid w:val="00FD4B9C"/>
    <w:rsid w:val="00FD4F39"/>
    <w:rsid w:val="00FD6BF6"/>
    <w:rsid w:val="00FD78F8"/>
    <w:rsid w:val="00FE1D8F"/>
    <w:rsid w:val="00FE2EAE"/>
    <w:rsid w:val="00FE4096"/>
    <w:rsid w:val="00FE472B"/>
    <w:rsid w:val="00FE56A3"/>
    <w:rsid w:val="00FE7057"/>
    <w:rsid w:val="00FF06FF"/>
    <w:rsid w:val="00FF2022"/>
    <w:rsid w:val="00FF2B7E"/>
    <w:rsid w:val="00FF3895"/>
    <w:rsid w:val="00FF75B1"/>
    <w:rsid w:val="00FF7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1CF0C"/>
  <w15:docId w15:val="{65B4BBFC-7A08-4534-A954-8CCB5741F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4F0"/>
    <w:rPr>
      <w:rFonts w:ascii="CTimesRoman" w:eastAsia="Times New Roman" w:hAnsi="CTimesRoman" w:cs="Times New Roman"/>
      <w:noProof/>
      <w:sz w:val="24"/>
      <w:szCs w:val="20"/>
      <w:lang w:val="sr-Cyrl-RS"/>
    </w:rPr>
  </w:style>
  <w:style w:type="paragraph" w:styleId="Heading1">
    <w:name w:val="heading 1"/>
    <w:basedOn w:val="Normal"/>
    <w:next w:val="Normal"/>
    <w:link w:val="Heading1Char"/>
    <w:uiPriority w:val="9"/>
    <w:qFormat/>
    <w:rsid w:val="007104F0"/>
    <w:pPr>
      <w:keepNext/>
      <w:spacing w:before="240" w:after="60"/>
      <w:outlineLvl w:val="0"/>
    </w:pPr>
    <w:rPr>
      <w:rFonts w:ascii="Arial" w:hAnsi="Arial"/>
      <w:b/>
      <w:bCs/>
      <w:kern w:val="32"/>
      <w:sz w:val="32"/>
      <w:szCs w:val="32"/>
      <w:lang w:eastAsia="x-none"/>
    </w:rPr>
  </w:style>
  <w:style w:type="paragraph" w:styleId="Heading2">
    <w:name w:val="heading 2"/>
    <w:basedOn w:val="Normal"/>
    <w:next w:val="Normal"/>
    <w:link w:val="Heading2Char"/>
    <w:uiPriority w:val="9"/>
    <w:qFormat/>
    <w:rsid w:val="007104F0"/>
    <w:pPr>
      <w:keepNext/>
      <w:spacing w:before="240" w:after="60"/>
      <w:jc w:val="center"/>
      <w:outlineLvl w:val="1"/>
    </w:pPr>
    <w:rPr>
      <w:b/>
      <w:caps/>
      <w:sz w:val="28"/>
      <w:lang w:eastAsia="x-none"/>
    </w:rPr>
  </w:style>
  <w:style w:type="paragraph" w:styleId="Heading3">
    <w:name w:val="heading 3"/>
    <w:basedOn w:val="Normal"/>
    <w:next w:val="Normal"/>
    <w:link w:val="Heading3Char"/>
    <w:uiPriority w:val="9"/>
    <w:qFormat/>
    <w:rsid w:val="007104F0"/>
    <w:pPr>
      <w:keepNext/>
      <w:spacing w:before="240" w:after="60"/>
      <w:outlineLvl w:val="2"/>
    </w:pPr>
    <w:rPr>
      <w:rFonts w:ascii="Arial" w:hAnsi="Arial"/>
      <w:b/>
      <w:bCs/>
      <w:sz w:val="26"/>
      <w:szCs w:val="26"/>
      <w:lang w:eastAsia="x-none"/>
    </w:rPr>
  </w:style>
  <w:style w:type="paragraph" w:styleId="Heading4">
    <w:name w:val="heading 4"/>
    <w:basedOn w:val="Normal"/>
    <w:next w:val="Normal"/>
    <w:link w:val="Heading4Char"/>
    <w:uiPriority w:val="9"/>
    <w:qFormat/>
    <w:rsid w:val="007104F0"/>
    <w:pPr>
      <w:keepNext/>
      <w:spacing w:before="240" w:after="60"/>
      <w:outlineLvl w:val="3"/>
    </w:pPr>
    <w:rPr>
      <w:rFonts w:ascii="Times New Roman" w:hAnsi="Times New Roman"/>
      <w:b/>
      <w:bCs/>
      <w:sz w:val="28"/>
      <w:szCs w:val="28"/>
      <w:lang w:eastAsia="x-none"/>
    </w:rPr>
  </w:style>
  <w:style w:type="paragraph" w:styleId="Heading5">
    <w:name w:val="heading 5"/>
    <w:basedOn w:val="Normal"/>
    <w:next w:val="Normal"/>
    <w:link w:val="Heading5Char"/>
    <w:uiPriority w:val="9"/>
    <w:qFormat/>
    <w:rsid w:val="007104F0"/>
    <w:pPr>
      <w:spacing w:before="240" w:after="60"/>
      <w:outlineLvl w:val="4"/>
    </w:pPr>
    <w:rPr>
      <w:b/>
      <w:bCs/>
      <w:i/>
      <w:iCs/>
      <w:sz w:val="26"/>
      <w:szCs w:val="26"/>
      <w:lang w:eastAsia="x-none"/>
    </w:rPr>
  </w:style>
  <w:style w:type="paragraph" w:styleId="Heading6">
    <w:name w:val="heading 6"/>
    <w:basedOn w:val="Normal"/>
    <w:next w:val="Normal"/>
    <w:link w:val="Heading6Char"/>
    <w:uiPriority w:val="9"/>
    <w:qFormat/>
    <w:rsid w:val="007104F0"/>
    <w:pPr>
      <w:spacing w:before="240" w:after="60"/>
      <w:outlineLvl w:val="5"/>
    </w:pPr>
    <w:rPr>
      <w:rFonts w:ascii="Times New Roman" w:hAnsi="Times New Roman"/>
      <w:b/>
      <w:bCs/>
      <w:sz w:val="22"/>
      <w:szCs w:val="22"/>
      <w:lang w:eastAsia="x-none"/>
    </w:rPr>
  </w:style>
  <w:style w:type="paragraph" w:styleId="Heading7">
    <w:name w:val="heading 7"/>
    <w:basedOn w:val="Normal"/>
    <w:next w:val="Normal"/>
    <w:link w:val="Heading7Char"/>
    <w:uiPriority w:val="9"/>
    <w:qFormat/>
    <w:rsid w:val="007104F0"/>
    <w:pPr>
      <w:spacing w:before="240" w:after="60"/>
      <w:outlineLvl w:val="6"/>
    </w:pPr>
    <w:rPr>
      <w:rFonts w:ascii="Times New Roman" w:hAnsi="Times New Roman"/>
      <w:szCs w:val="24"/>
      <w:lang w:eastAsia="x-none"/>
    </w:rPr>
  </w:style>
  <w:style w:type="paragraph" w:styleId="Heading8">
    <w:name w:val="heading 8"/>
    <w:basedOn w:val="Normal"/>
    <w:next w:val="Normal"/>
    <w:link w:val="Heading8Char"/>
    <w:uiPriority w:val="9"/>
    <w:qFormat/>
    <w:rsid w:val="007104F0"/>
    <w:pPr>
      <w:widowControl w:val="0"/>
      <w:autoSpaceDE w:val="0"/>
      <w:autoSpaceDN w:val="0"/>
      <w:adjustRightInd w:val="0"/>
      <w:jc w:val="left"/>
      <w:outlineLvl w:val="7"/>
    </w:pPr>
    <w:rPr>
      <w:rFonts w:ascii="Arial" w:hAnsi="Arial"/>
      <w:szCs w:val="24"/>
      <w:lang w:val="x-none" w:eastAsia="x-none"/>
    </w:rPr>
  </w:style>
  <w:style w:type="paragraph" w:styleId="Heading9">
    <w:name w:val="heading 9"/>
    <w:basedOn w:val="Normal"/>
    <w:next w:val="Normal"/>
    <w:link w:val="Heading9Char"/>
    <w:uiPriority w:val="9"/>
    <w:qFormat/>
    <w:rsid w:val="007104F0"/>
    <w:p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4F0"/>
    <w:rPr>
      <w:rFonts w:ascii="Arial" w:eastAsia="Times New Roman" w:hAnsi="Arial" w:cs="Times New Roman"/>
      <w:b/>
      <w:bCs/>
      <w:kern w:val="32"/>
      <w:sz w:val="32"/>
      <w:szCs w:val="32"/>
      <w:lang w:val="sr-Cyrl-CS" w:eastAsia="x-none"/>
    </w:rPr>
  </w:style>
  <w:style w:type="character" w:customStyle="1" w:styleId="Heading2Char">
    <w:name w:val="Heading 2 Char"/>
    <w:basedOn w:val="DefaultParagraphFont"/>
    <w:link w:val="Heading2"/>
    <w:uiPriority w:val="9"/>
    <w:rsid w:val="007104F0"/>
    <w:rPr>
      <w:rFonts w:ascii="CTimesRoman" w:eastAsia="Times New Roman" w:hAnsi="CTimesRoman" w:cs="Times New Roman"/>
      <w:b/>
      <w:caps/>
      <w:sz w:val="28"/>
      <w:szCs w:val="20"/>
      <w:lang w:val="sr-Cyrl-CS" w:eastAsia="x-none"/>
    </w:rPr>
  </w:style>
  <w:style w:type="character" w:customStyle="1" w:styleId="Heading3Char">
    <w:name w:val="Heading 3 Char"/>
    <w:basedOn w:val="DefaultParagraphFont"/>
    <w:link w:val="Heading3"/>
    <w:uiPriority w:val="9"/>
    <w:rsid w:val="007104F0"/>
    <w:rPr>
      <w:rFonts w:ascii="Arial" w:eastAsia="Times New Roman" w:hAnsi="Arial" w:cs="Times New Roman"/>
      <w:b/>
      <w:bCs/>
      <w:sz w:val="26"/>
      <w:szCs w:val="26"/>
      <w:lang w:val="sr-Cyrl-CS" w:eastAsia="x-none"/>
    </w:rPr>
  </w:style>
  <w:style w:type="character" w:customStyle="1" w:styleId="Heading4Char">
    <w:name w:val="Heading 4 Char"/>
    <w:basedOn w:val="DefaultParagraphFont"/>
    <w:link w:val="Heading4"/>
    <w:uiPriority w:val="9"/>
    <w:rsid w:val="007104F0"/>
    <w:rPr>
      <w:rFonts w:ascii="Times New Roman" w:eastAsia="Times New Roman" w:hAnsi="Times New Roman" w:cs="Times New Roman"/>
      <w:b/>
      <w:bCs/>
      <w:sz w:val="28"/>
      <w:szCs w:val="28"/>
      <w:lang w:val="sr-Cyrl-CS" w:eastAsia="x-none"/>
    </w:rPr>
  </w:style>
  <w:style w:type="character" w:customStyle="1" w:styleId="Heading5Char">
    <w:name w:val="Heading 5 Char"/>
    <w:basedOn w:val="DefaultParagraphFont"/>
    <w:link w:val="Heading5"/>
    <w:uiPriority w:val="9"/>
    <w:rsid w:val="007104F0"/>
    <w:rPr>
      <w:rFonts w:ascii="CTimesRoman" w:eastAsia="Times New Roman" w:hAnsi="CTimesRoman" w:cs="Times New Roman"/>
      <w:b/>
      <w:bCs/>
      <w:i/>
      <w:iCs/>
      <w:sz w:val="26"/>
      <w:szCs w:val="26"/>
      <w:lang w:val="sr-Cyrl-CS" w:eastAsia="x-none"/>
    </w:rPr>
  </w:style>
  <w:style w:type="character" w:customStyle="1" w:styleId="Heading6Char">
    <w:name w:val="Heading 6 Char"/>
    <w:basedOn w:val="DefaultParagraphFont"/>
    <w:link w:val="Heading6"/>
    <w:uiPriority w:val="9"/>
    <w:rsid w:val="007104F0"/>
    <w:rPr>
      <w:rFonts w:ascii="Times New Roman" w:eastAsia="Times New Roman" w:hAnsi="Times New Roman" w:cs="Times New Roman"/>
      <w:b/>
      <w:bCs/>
      <w:lang w:val="sr-Cyrl-CS" w:eastAsia="x-none"/>
    </w:rPr>
  </w:style>
  <w:style w:type="character" w:customStyle="1" w:styleId="Heading7Char">
    <w:name w:val="Heading 7 Char"/>
    <w:basedOn w:val="DefaultParagraphFont"/>
    <w:link w:val="Heading7"/>
    <w:uiPriority w:val="9"/>
    <w:rsid w:val="007104F0"/>
    <w:rPr>
      <w:rFonts w:ascii="Times New Roman" w:eastAsia="Times New Roman" w:hAnsi="Times New Roman" w:cs="Times New Roman"/>
      <w:sz w:val="24"/>
      <w:szCs w:val="24"/>
      <w:lang w:val="sr-Cyrl-CS" w:eastAsia="x-none"/>
    </w:rPr>
  </w:style>
  <w:style w:type="character" w:customStyle="1" w:styleId="Heading8Char">
    <w:name w:val="Heading 8 Char"/>
    <w:basedOn w:val="DefaultParagraphFont"/>
    <w:link w:val="Heading8"/>
    <w:uiPriority w:val="9"/>
    <w:rsid w:val="007104F0"/>
    <w:rPr>
      <w:rFonts w:ascii="Arial" w:eastAsia="Times New Roman" w:hAnsi="Arial" w:cs="Times New Roman"/>
      <w:sz w:val="24"/>
      <w:szCs w:val="24"/>
      <w:lang w:val="x-none" w:eastAsia="x-none"/>
    </w:rPr>
  </w:style>
  <w:style w:type="character" w:customStyle="1" w:styleId="Heading9Char">
    <w:name w:val="Heading 9 Char"/>
    <w:basedOn w:val="DefaultParagraphFont"/>
    <w:link w:val="Heading9"/>
    <w:uiPriority w:val="9"/>
    <w:rsid w:val="007104F0"/>
    <w:rPr>
      <w:rFonts w:ascii="Arial" w:eastAsia="Times New Roman" w:hAnsi="Arial" w:cs="Times New Roman"/>
      <w:lang w:val="sr-Cyrl-CS" w:eastAsia="x-none"/>
    </w:rPr>
  </w:style>
  <w:style w:type="paragraph" w:customStyle="1" w:styleId="CharCharCharChar">
    <w:name w:val="Char Char Char Char"/>
    <w:basedOn w:val="Normal"/>
    <w:rsid w:val="007104F0"/>
    <w:pPr>
      <w:spacing w:after="160" w:line="240" w:lineRule="exact"/>
      <w:jc w:val="left"/>
    </w:pPr>
    <w:rPr>
      <w:rFonts w:ascii="Verdana" w:hAnsi="Verdana"/>
      <w:sz w:val="20"/>
      <w:lang w:val="en-US"/>
    </w:rPr>
  </w:style>
  <w:style w:type="paragraph" w:styleId="BodyTextIndent">
    <w:name w:val="Body Text Indent"/>
    <w:basedOn w:val="Normal"/>
    <w:link w:val="BodyTextIndentChar1"/>
    <w:rsid w:val="007104F0"/>
    <w:pPr>
      <w:ind w:left="357"/>
      <w:jc w:val="left"/>
    </w:pPr>
    <w:rPr>
      <w:rFonts w:ascii="Times New Roman" w:hAnsi="Times New Roman"/>
    </w:rPr>
  </w:style>
  <w:style w:type="character" w:customStyle="1" w:styleId="BodyTextIndentChar">
    <w:name w:val="Body Text Indent Char"/>
    <w:basedOn w:val="DefaultParagraphFont"/>
    <w:uiPriority w:val="99"/>
    <w:rsid w:val="007104F0"/>
    <w:rPr>
      <w:rFonts w:ascii="CTimesRoman" w:eastAsia="Times New Roman" w:hAnsi="CTimesRoman" w:cs="Times New Roman"/>
      <w:sz w:val="24"/>
      <w:szCs w:val="20"/>
      <w:lang w:val="sr-Cyrl-CS"/>
    </w:rPr>
  </w:style>
  <w:style w:type="character" w:customStyle="1" w:styleId="BodyTextIndentChar1">
    <w:name w:val="Body Text Indent Char1"/>
    <w:link w:val="BodyTextIndent"/>
    <w:rsid w:val="007104F0"/>
    <w:rPr>
      <w:rFonts w:ascii="Times New Roman" w:eastAsia="Times New Roman" w:hAnsi="Times New Roman" w:cs="Times New Roman"/>
      <w:sz w:val="24"/>
      <w:szCs w:val="20"/>
      <w:lang w:val="sr-Cyrl-CS"/>
    </w:rPr>
  </w:style>
  <w:style w:type="paragraph" w:styleId="BodyText">
    <w:name w:val="Body Text"/>
    <w:basedOn w:val="Normal"/>
    <w:link w:val="BodyTextChar"/>
    <w:rsid w:val="007104F0"/>
    <w:pPr>
      <w:spacing w:after="120"/>
      <w:jc w:val="left"/>
    </w:pPr>
    <w:rPr>
      <w:rFonts w:ascii="Times New Roman" w:hAnsi="Times New Roman"/>
      <w:lang w:val="x-none" w:eastAsia="x-none"/>
    </w:rPr>
  </w:style>
  <w:style w:type="character" w:customStyle="1" w:styleId="BodyTextChar">
    <w:name w:val="Body Text Char"/>
    <w:basedOn w:val="DefaultParagraphFont"/>
    <w:link w:val="BodyText"/>
    <w:rsid w:val="007104F0"/>
    <w:rPr>
      <w:rFonts w:ascii="Times New Roman" w:eastAsia="Times New Roman" w:hAnsi="Times New Roman" w:cs="Times New Roman"/>
      <w:sz w:val="24"/>
      <w:szCs w:val="20"/>
      <w:lang w:val="x-none" w:eastAsia="x-none"/>
    </w:rPr>
  </w:style>
  <w:style w:type="paragraph" w:styleId="NormalWeb">
    <w:name w:val="Normal (Web)"/>
    <w:basedOn w:val="Normal"/>
    <w:uiPriority w:val="99"/>
    <w:rsid w:val="007104F0"/>
    <w:pPr>
      <w:spacing w:after="100" w:afterAutospacing="1"/>
    </w:pPr>
    <w:rPr>
      <w:rFonts w:ascii="Times New Roman" w:eastAsia="Arial Unicode MS" w:hAnsi="Times New Roman"/>
      <w:szCs w:val="24"/>
      <w:lang w:val="en-GB"/>
    </w:rPr>
  </w:style>
  <w:style w:type="paragraph" w:styleId="BodyText3">
    <w:name w:val="Body Text 3"/>
    <w:basedOn w:val="Normal"/>
    <w:link w:val="BodyText3Char"/>
    <w:rsid w:val="007104F0"/>
    <w:pPr>
      <w:spacing w:after="120"/>
    </w:pPr>
    <w:rPr>
      <w:sz w:val="16"/>
      <w:szCs w:val="16"/>
      <w:lang w:eastAsia="x-none"/>
    </w:rPr>
  </w:style>
  <w:style w:type="character" w:customStyle="1" w:styleId="BodyText3Char">
    <w:name w:val="Body Text 3 Char"/>
    <w:basedOn w:val="DefaultParagraphFont"/>
    <w:link w:val="BodyText3"/>
    <w:rsid w:val="007104F0"/>
    <w:rPr>
      <w:rFonts w:ascii="CTimesRoman" w:eastAsia="Times New Roman" w:hAnsi="CTimesRoman" w:cs="Times New Roman"/>
      <w:sz w:val="16"/>
      <w:szCs w:val="16"/>
      <w:lang w:val="sr-Cyrl-CS" w:eastAsia="x-none"/>
    </w:rPr>
  </w:style>
  <w:style w:type="paragraph" w:styleId="BodyTextIndent3">
    <w:name w:val="Body Text Indent 3"/>
    <w:basedOn w:val="Normal"/>
    <w:link w:val="BodyTextIndent3Char"/>
    <w:rsid w:val="007104F0"/>
    <w:pPr>
      <w:spacing w:after="120"/>
      <w:ind w:left="360"/>
    </w:pPr>
    <w:rPr>
      <w:sz w:val="16"/>
      <w:szCs w:val="16"/>
      <w:lang w:eastAsia="x-none"/>
    </w:rPr>
  </w:style>
  <w:style w:type="character" w:customStyle="1" w:styleId="BodyTextIndent3Char">
    <w:name w:val="Body Text Indent 3 Char"/>
    <w:basedOn w:val="DefaultParagraphFont"/>
    <w:link w:val="BodyTextIndent3"/>
    <w:rsid w:val="007104F0"/>
    <w:rPr>
      <w:rFonts w:ascii="CTimesRoman" w:eastAsia="Times New Roman" w:hAnsi="CTimesRoman" w:cs="Times New Roman"/>
      <w:sz w:val="16"/>
      <w:szCs w:val="16"/>
      <w:lang w:val="sr-Cyrl-CS" w:eastAsia="x-none"/>
    </w:rPr>
  </w:style>
  <w:style w:type="character" w:styleId="PageNumber">
    <w:name w:val="page number"/>
    <w:basedOn w:val="DefaultParagraphFont"/>
    <w:rsid w:val="007104F0"/>
  </w:style>
  <w:style w:type="paragraph" w:styleId="Footer">
    <w:name w:val="footer"/>
    <w:basedOn w:val="Normal"/>
    <w:link w:val="FooterChar"/>
    <w:uiPriority w:val="99"/>
    <w:rsid w:val="007104F0"/>
    <w:pPr>
      <w:tabs>
        <w:tab w:val="center" w:pos="4320"/>
        <w:tab w:val="right" w:pos="8640"/>
      </w:tabs>
      <w:jc w:val="left"/>
    </w:pPr>
    <w:rPr>
      <w:rFonts w:ascii="Times New Roman" w:hAnsi="Times New Roman"/>
      <w:lang w:val="x-none" w:eastAsia="x-none"/>
    </w:rPr>
  </w:style>
  <w:style w:type="character" w:customStyle="1" w:styleId="FooterChar">
    <w:name w:val="Footer Char"/>
    <w:basedOn w:val="DefaultParagraphFont"/>
    <w:link w:val="Footer"/>
    <w:uiPriority w:val="99"/>
    <w:rsid w:val="007104F0"/>
    <w:rPr>
      <w:rFonts w:ascii="Times New Roman" w:eastAsia="Times New Roman" w:hAnsi="Times New Roman" w:cs="Times New Roman"/>
      <w:sz w:val="24"/>
      <w:szCs w:val="20"/>
      <w:lang w:val="x-none" w:eastAsia="x-none"/>
    </w:rPr>
  </w:style>
  <w:style w:type="paragraph" w:styleId="Subtitle">
    <w:name w:val="Subtitle"/>
    <w:basedOn w:val="Normal"/>
    <w:link w:val="SubtitleChar"/>
    <w:qFormat/>
    <w:rsid w:val="007104F0"/>
    <w:pPr>
      <w:jc w:val="center"/>
    </w:pPr>
    <w:rPr>
      <w:rFonts w:ascii="Times New Roman" w:hAnsi="Times New Roman"/>
      <w:b/>
      <w:bCs/>
      <w:szCs w:val="24"/>
      <w:lang w:eastAsia="x-none"/>
    </w:rPr>
  </w:style>
  <w:style w:type="character" w:customStyle="1" w:styleId="SubtitleChar">
    <w:name w:val="Subtitle Char"/>
    <w:basedOn w:val="DefaultParagraphFont"/>
    <w:link w:val="Subtitle"/>
    <w:rsid w:val="007104F0"/>
    <w:rPr>
      <w:rFonts w:ascii="Times New Roman" w:eastAsia="Times New Roman" w:hAnsi="Times New Roman" w:cs="Times New Roman"/>
      <w:b/>
      <w:bCs/>
      <w:sz w:val="24"/>
      <w:szCs w:val="24"/>
      <w:lang w:val="sr-Cyrl-CS" w:eastAsia="x-none"/>
    </w:rPr>
  </w:style>
  <w:style w:type="paragraph" w:styleId="Header">
    <w:name w:val="header"/>
    <w:basedOn w:val="Normal"/>
    <w:link w:val="HeaderChar"/>
    <w:uiPriority w:val="99"/>
    <w:rsid w:val="007104F0"/>
    <w:pPr>
      <w:tabs>
        <w:tab w:val="center" w:pos="4535"/>
        <w:tab w:val="right" w:pos="9071"/>
      </w:tabs>
    </w:pPr>
    <w:rPr>
      <w:lang w:eastAsia="x-none"/>
    </w:rPr>
  </w:style>
  <w:style w:type="character" w:customStyle="1" w:styleId="HeaderChar">
    <w:name w:val="Header Char"/>
    <w:basedOn w:val="DefaultParagraphFont"/>
    <w:link w:val="Header"/>
    <w:uiPriority w:val="99"/>
    <w:rsid w:val="007104F0"/>
    <w:rPr>
      <w:rFonts w:ascii="CTimesRoman" w:eastAsia="Times New Roman" w:hAnsi="CTimesRoman" w:cs="Times New Roman"/>
      <w:sz w:val="24"/>
      <w:szCs w:val="20"/>
      <w:lang w:val="sr-Cyrl-CS" w:eastAsia="x-none"/>
    </w:rPr>
  </w:style>
  <w:style w:type="paragraph" w:customStyle="1" w:styleId="Pismo">
    <w:name w:val="Pismo"/>
    <w:basedOn w:val="Normal"/>
    <w:next w:val="Normal"/>
    <w:rsid w:val="007104F0"/>
    <w:pPr>
      <w:keepNext/>
    </w:pPr>
    <w:rPr>
      <w:lang w:val="en-US"/>
    </w:rPr>
  </w:style>
  <w:style w:type="paragraph" w:styleId="BodyTextIndent2">
    <w:name w:val="Body Text Indent 2"/>
    <w:basedOn w:val="Normal"/>
    <w:link w:val="BodyTextIndent2Char"/>
    <w:rsid w:val="007104F0"/>
    <w:pPr>
      <w:spacing w:after="120" w:line="480" w:lineRule="auto"/>
      <w:ind w:left="360"/>
    </w:pPr>
    <w:rPr>
      <w:lang w:eastAsia="x-none"/>
    </w:rPr>
  </w:style>
  <w:style w:type="character" w:customStyle="1" w:styleId="BodyTextIndent2Char">
    <w:name w:val="Body Text Indent 2 Char"/>
    <w:basedOn w:val="DefaultParagraphFont"/>
    <w:link w:val="BodyTextIndent2"/>
    <w:rsid w:val="007104F0"/>
    <w:rPr>
      <w:rFonts w:ascii="CTimesRoman" w:eastAsia="Times New Roman" w:hAnsi="CTimesRoman" w:cs="Times New Roman"/>
      <w:sz w:val="24"/>
      <w:szCs w:val="20"/>
      <w:lang w:val="sr-Cyrl-CS" w:eastAsia="x-none"/>
    </w:rPr>
  </w:style>
  <w:style w:type="paragraph" w:customStyle="1" w:styleId="Buletiutekstu">
    <w:name w:val="Buleti u tekstu"/>
    <w:basedOn w:val="Normal"/>
    <w:rsid w:val="007104F0"/>
    <w:pPr>
      <w:tabs>
        <w:tab w:val="num" w:pos="1035"/>
      </w:tabs>
      <w:spacing w:before="120" w:line="260" w:lineRule="exact"/>
      <w:ind w:left="1035" w:hanging="360"/>
    </w:pPr>
    <w:rPr>
      <w:rFonts w:ascii="Times New Roman" w:hAnsi="Times New Roman"/>
      <w:bCs/>
      <w:szCs w:val="24"/>
      <w:lang w:val="it-IT"/>
    </w:rPr>
  </w:style>
  <w:style w:type="paragraph" w:customStyle="1" w:styleId="a">
    <w:name w:val="Текст"/>
    <w:basedOn w:val="Normal"/>
    <w:rsid w:val="007104F0"/>
    <w:pPr>
      <w:tabs>
        <w:tab w:val="left" w:pos="1418"/>
      </w:tabs>
      <w:spacing w:after="120"/>
    </w:pPr>
    <w:rPr>
      <w:rFonts w:ascii="Tahoma" w:hAnsi="Tahoma" w:cs="Tahoma"/>
      <w:sz w:val="20"/>
      <w:szCs w:val="24"/>
    </w:rPr>
  </w:style>
  <w:style w:type="paragraph" w:customStyle="1" w:styleId="Podnaslov">
    <w:name w:val="Podnaslov"/>
    <w:basedOn w:val="Normal"/>
    <w:rsid w:val="007104F0"/>
    <w:pPr>
      <w:keepNext/>
      <w:tabs>
        <w:tab w:val="left" w:pos="1800"/>
      </w:tabs>
      <w:spacing w:before="120" w:after="120"/>
      <w:ind w:left="720" w:right="720"/>
      <w:jc w:val="center"/>
    </w:pPr>
    <w:rPr>
      <w:rFonts w:ascii="Arial" w:hAnsi="Arial"/>
      <w:b/>
      <w:sz w:val="22"/>
    </w:rPr>
  </w:style>
  <w:style w:type="paragraph" w:customStyle="1" w:styleId="Normal1">
    <w:name w:val="Normal1"/>
    <w:basedOn w:val="Normal"/>
    <w:rsid w:val="007104F0"/>
    <w:pPr>
      <w:spacing w:before="100" w:beforeAutospacing="1" w:after="100" w:afterAutospacing="1"/>
      <w:jc w:val="left"/>
    </w:pPr>
    <w:rPr>
      <w:rFonts w:ascii="Arial" w:hAnsi="Arial" w:cs="Arial"/>
      <w:sz w:val="22"/>
      <w:szCs w:val="22"/>
      <w:lang w:val="sr-Latn-CS" w:eastAsia="sr-Latn-CS"/>
    </w:rPr>
  </w:style>
  <w:style w:type="paragraph" w:customStyle="1" w:styleId="clan">
    <w:name w:val="clan"/>
    <w:basedOn w:val="Normal"/>
    <w:rsid w:val="007104F0"/>
    <w:pPr>
      <w:spacing w:before="240" w:after="120"/>
      <w:jc w:val="center"/>
    </w:pPr>
    <w:rPr>
      <w:rFonts w:ascii="Arial" w:hAnsi="Arial" w:cs="Arial"/>
      <w:b/>
      <w:bCs/>
      <w:szCs w:val="24"/>
      <w:lang w:val="sr-Latn-CS" w:eastAsia="sr-Latn-CS"/>
    </w:rPr>
  </w:style>
  <w:style w:type="paragraph" w:customStyle="1" w:styleId="060---pododeljak">
    <w:name w:val="060---pododeljak"/>
    <w:basedOn w:val="Normal"/>
    <w:rsid w:val="007104F0"/>
    <w:pPr>
      <w:jc w:val="center"/>
    </w:pPr>
    <w:rPr>
      <w:rFonts w:ascii="Arial" w:hAnsi="Arial" w:cs="Arial"/>
      <w:sz w:val="31"/>
      <w:szCs w:val="31"/>
      <w:lang w:val="sr-Latn-CS" w:eastAsia="sr-Latn-CS"/>
    </w:rPr>
  </w:style>
  <w:style w:type="paragraph" w:customStyle="1" w:styleId="120---podnaslov-clana">
    <w:name w:val="120---podnaslov-clana"/>
    <w:basedOn w:val="Normal"/>
    <w:rsid w:val="007104F0"/>
    <w:pPr>
      <w:spacing w:before="240" w:after="240"/>
      <w:jc w:val="center"/>
    </w:pPr>
    <w:rPr>
      <w:rFonts w:ascii="Arial" w:hAnsi="Arial" w:cs="Arial"/>
      <w:i/>
      <w:iCs/>
      <w:szCs w:val="24"/>
      <w:lang w:val="sr-Latn-CS" w:eastAsia="sr-Latn-CS"/>
    </w:rPr>
  </w:style>
  <w:style w:type="paragraph" w:customStyle="1" w:styleId="Char">
    <w:name w:val="Char"/>
    <w:basedOn w:val="Normal"/>
    <w:rsid w:val="007104F0"/>
    <w:pPr>
      <w:spacing w:after="160" w:line="240" w:lineRule="exact"/>
      <w:jc w:val="left"/>
    </w:pPr>
    <w:rPr>
      <w:rFonts w:ascii="Verdana" w:hAnsi="Verdana"/>
      <w:sz w:val="20"/>
      <w:lang w:val="en-US"/>
    </w:rPr>
  </w:style>
  <w:style w:type="paragraph" w:customStyle="1" w:styleId="CharChar">
    <w:name w:val="Char Char"/>
    <w:basedOn w:val="Normal"/>
    <w:link w:val="CharCharChar1"/>
    <w:rsid w:val="007104F0"/>
    <w:pPr>
      <w:spacing w:after="160" w:line="240" w:lineRule="exact"/>
      <w:jc w:val="left"/>
    </w:pPr>
    <w:rPr>
      <w:rFonts w:ascii="Verdana" w:hAnsi="Verdana"/>
      <w:sz w:val="20"/>
      <w:lang w:val="en-US"/>
    </w:rPr>
  </w:style>
  <w:style w:type="character" w:customStyle="1" w:styleId="CharCharChar1">
    <w:name w:val="Char Char Char1"/>
    <w:link w:val="CharChar"/>
    <w:rsid w:val="007104F0"/>
    <w:rPr>
      <w:rFonts w:ascii="Verdana" w:eastAsia="Times New Roman" w:hAnsi="Verdana" w:cs="Times New Roman"/>
      <w:sz w:val="20"/>
      <w:szCs w:val="20"/>
    </w:rPr>
  </w:style>
  <w:style w:type="paragraph" w:customStyle="1" w:styleId="CharCharCharCharCharCharCharCharCharCharCharCharCharCharCharCharCharCharChar">
    <w:name w:val="Char Char Char Char Char Char Char Char Char Char Char Char Char Char Char Char Char Char Char"/>
    <w:basedOn w:val="Normal"/>
    <w:rsid w:val="007104F0"/>
    <w:pPr>
      <w:spacing w:after="160" w:line="240" w:lineRule="exact"/>
      <w:jc w:val="left"/>
    </w:pPr>
    <w:rPr>
      <w:rFonts w:ascii="Verdana" w:hAnsi="Verdana"/>
      <w:sz w:val="20"/>
      <w:lang w:val="en-US"/>
    </w:rPr>
  </w:style>
  <w:style w:type="paragraph" w:customStyle="1" w:styleId="1tekst">
    <w:name w:val="1tekst"/>
    <w:basedOn w:val="Normal"/>
    <w:rsid w:val="007104F0"/>
    <w:pPr>
      <w:ind w:left="261" w:right="261" w:firstLine="240"/>
    </w:pPr>
    <w:rPr>
      <w:rFonts w:ascii="Arial" w:hAnsi="Arial" w:cs="Arial"/>
      <w:sz w:val="20"/>
      <w:lang w:val="en-US"/>
    </w:rPr>
  </w:style>
  <w:style w:type="character" w:styleId="Hyperlink">
    <w:name w:val="Hyperlink"/>
    <w:rsid w:val="007104F0"/>
    <w:rPr>
      <w:color w:val="000080"/>
      <w:u w:val="single"/>
    </w:rPr>
  </w:style>
  <w:style w:type="paragraph" w:customStyle="1" w:styleId="NormalArial">
    <w:name w:val="Normal + Arial"/>
    <w:basedOn w:val="Normal"/>
    <w:link w:val="NormalArialChar"/>
    <w:rsid w:val="007104F0"/>
    <w:rPr>
      <w:rFonts w:ascii="Arial" w:hAnsi="Arial" w:cs="Arial"/>
      <w:b/>
      <w:szCs w:val="24"/>
      <w:lang w:val="ru-RU"/>
    </w:rPr>
  </w:style>
  <w:style w:type="character" w:customStyle="1" w:styleId="NormalArialChar">
    <w:name w:val="Normal + Arial Char"/>
    <w:link w:val="NormalArial"/>
    <w:rsid w:val="007104F0"/>
    <w:rPr>
      <w:rFonts w:ascii="Arial" w:eastAsia="Times New Roman" w:hAnsi="Arial" w:cs="Arial"/>
      <w:b/>
      <w:sz w:val="24"/>
      <w:szCs w:val="24"/>
      <w:lang w:val="ru-RU"/>
    </w:rPr>
  </w:style>
  <w:style w:type="paragraph" w:styleId="ListParagraph">
    <w:name w:val="List Paragraph"/>
    <w:basedOn w:val="Normal"/>
    <w:link w:val="ListParagraphChar"/>
    <w:uiPriority w:val="34"/>
    <w:qFormat/>
    <w:rsid w:val="007104F0"/>
    <w:pPr>
      <w:spacing w:after="200" w:line="276" w:lineRule="auto"/>
      <w:ind w:left="720"/>
      <w:contextualSpacing/>
      <w:jc w:val="left"/>
    </w:pPr>
    <w:rPr>
      <w:rFonts w:ascii="Calibri" w:hAnsi="Calibri"/>
      <w:sz w:val="22"/>
      <w:szCs w:val="22"/>
      <w:lang w:val="x-none" w:eastAsia="x-none"/>
    </w:rPr>
  </w:style>
  <w:style w:type="paragraph" w:styleId="BodyText2">
    <w:name w:val="Body Text 2"/>
    <w:basedOn w:val="Normal"/>
    <w:link w:val="BodyText2Char"/>
    <w:rsid w:val="007104F0"/>
    <w:pPr>
      <w:spacing w:after="120" w:line="480" w:lineRule="auto"/>
    </w:pPr>
    <w:rPr>
      <w:lang w:eastAsia="x-none"/>
    </w:rPr>
  </w:style>
  <w:style w:type="character" w:customStyle="1" w:styleId="BodyText2Char">
    <w:name w:val="Body Text 2 Char"/>
    <w:basedOn w:val="DefaultParagraphFont"/>
    <w:link w:val="BodyText2"/>
    <w:rsid w:val="007104F0"/>
    <w:rPr>
      <w:rFonts w:ascii="CTimesRoman" w:eastAsia="Times New Roman" w:hAnsi="CTimesRoman" w:cs="Times New Roman"/>
      <w:sz w:val="24"/>
      <w:szCs w:val="20"/>
      <w:lang w:val="sr-Cyrl-CS" w:eastAsia="x-none"/>
    </w:rPr>
  </w:style>
  <w:style w:type="paragraph" w:styleId="Title">
    <w:name w:val="Title"/>
    <w:basedOn w:val="Normal"/>
    <w:link w:val="TitleChar"/>
    <w:qFormat/>
    <w:rsid w:val="007104F0"/>
    <w:pPr>
      <w:jc w:val="center"/>
    </w:pPr>
    <w:rPr>
      <w:rFonts w:ascii="Times New Roman" w:hAnsi="Times New Roman"/>
      <w:b/>
      <w:bCs/>
      <w:sz w:val="32"/>
      <w:szCs w:val="24"/>
    </w:rPr>
  </w:style>
  <w:style w:type="character" w:customStyle="1" w:styleId="TitleChar">
    <w:name w:val="Title Char"/>
    <w:basedOn w:val="DefaultParagraphFont"/>
    <w:link w:val="Title"/>
    <w:rsid w:val="007104F0"/>
    <w:rPr>
      <w:rFonts w:ascii="Times New Roman" w:eastAsia="Times New Roman" w:hAnsi="Times New Roman" w:cs="Times New Roman"/>
      <w:b/>
      <w:bCs/>
      <w:sz w:val="32"/>
      <w:szCs w:val="24"/>
      <w:lang w:val="sr-Cyrl-CS"/>
    </w:rPr>
  </w:style>
  <w:style w:type="paragraph" w:customStyle="1" w:styleId="txt">
    <w:name w:val="txt"/>
    <w:basedOn w:val="Normal"/>
    <w:rsid w:val="007104F0"/>
    <w:pPr>
      <w:spacing w:before="100" w:beforeAutospacing="1" w:after="100" w:afterAutospacing="1"/>
      <w:jc w:val="left"/>
    </w:pPr>
    <w:rPr>
      <w:rFonts w:ascii="Verdana" w:hAnsi="Verdana"/>
      <w:color w:val="003366"/>
      <w:szCs w:val="24"/>
      <w:lang w:val="en-US"/>
    </w:rPr>
  </w:style>
  <w:style w:type="paragraph" w:customStyle="1" w:styleId="CharChar2CharCharCharChar">
    <w:name w:val="Char Char2 Char Char Char Char"/>
    <w:basedOn w:val="Normal"/>
    <w:rsid w:val="007104F0"/>
    <w:pPr>
      <w:tabs>
        <w:tab w:val="left" w:pos="709"/>
      </w:tabs>
      <w:jc w:val="left"/>
    </w:pPr>
    <w:rPr>
      <w:rFonts w:ascii="Arial Narrow" w:hAnsi="Arial Narrow"/>
      <w:b/>
      <w:sz w:val="26"/>
      <w:szCs w:val="24"/>
      <w:lang w:val="pl-PL" w:eastAsia="pl-PL"/>
    </w:rPr>
  </w:style>
  <w:style w:type="character" w:styleId="FootnoteReference">
    <w:name w:val="footnote reference"/>
    <w:aliases w:val="BVI fnr"/>
    <w:uiPriority w:val="99"/>
    <w:rsid w:val="007104F0"/>
    <w:rPr>
      <w:vertAlign w:val="superscript"/>
    </w:rPr>
  </w:style>
  <w:style w:type="paragraph" w:customStyle="1" w:styleId="CharCharCharCharChar">
    <w:name w:val="Char Char Char Char Char"/>
    <w:basedOn w:val="Normal"/>
    <w:link w:val="CharCharCharCharCharChar1"/>
    <w:rsid w:val="007104F0"/>
    <w:pPr>
      <w:spacing w:after="160" w:line="240" w:lineRule="exact"/>
      <w:jc w:val="left"/>
    </w:pPr>
    <w:rPr>
      <w:rFonts w:ascii="Verdana" w:hAnsi="Verdana"/>
      <w:sz w:val="20"/>
      <w:lang w:val="en-US"/>
    </w:rPr>
  </w:style>
  <w:style w:type="character" w:customStyle="1" w:styleId="CharCharCharCharCharChar1">
    <w:name w:val="Char Char Char Char Char Char1"/>
    <w:link w:val="CharCharCharCharChar"/>
    <w:rsid w:val="007104F0"/>
    <w:rPr>
      <w:rFonts w:ascii="Verdana" w:eastAsia="Times New Roman" w:hAnsi="Verdana" w:cs="Times New Roman"/>
      <w:sz w:val="20"/>
      <w:szCs w:val="20"/>
    </w:rPr>
  </w:style>
  <w:style w:type="paragraph" w:customStyle="1" w:styleId="Naslov2CharCharChar">
    <w:name w:val="Naslov 2 Char Char Char"/>
    <w:basedOn w:val="Normal"/>
    <w:rsid w:val="007104F0"/>
    <w:pPr>
      <w:tabs>
        <w:tab w:val="left" w:pos="567"/>
      </w:tabs>
      <w:spacing w:before="120" w:after="160" w:line="240" w:lineRule="exact"/>
      <w:ind w:left="1584" w:hanging="504"/>
      <w:jc w:val="left"/>
    </w:pPr>
    <w:rPr>
      <w:rFonts w:ascii="Arial" w:hAnsi="Arial"/>
      <w:b/>
      <w:bCs/>
      <w:color w:val="000000"/>
      <w:szCs w:val="24"/>
      <w:lang w:val="en-US"/>
    </w:rPr>
  </w:style>
  <w:style w:type="paragraph" w:customStyle="1" w:styleId="CharCharCharCharChar3">
    <w:name w:val="Char Char Char Char Char3"/>
    <w:basedOn w:val="Normal"/>
    <w:rsid w:val="007104F0"/>
    <w:pPr>
      <w:spacing w:after="160" w:line="240" w:lineRule="exact"/>
      <w:jc w:val="left"/>
    </w:pPr>
    <w:rPr>
      <w:rFonts w:ascii="Verdana" w:hAnsi="Verdana"/>
      <w:sz w:val="20"/>
      <w:lang w:val="en-US"/>
    </w:rPr>
  </w:style>
  <w:style w:type="paragraph" w:customStyle="1" w:styleId="CharCharCharCharCharCharCharCharCharCharCharCharChar">
    <w:name w:val="Char Char Char Char Char Char Char Char Char Char Char Char Char"/>
    <w:basedOn w:val="Normal"/>
    <w:rsid w:val="007104F0"/>
    <w:pPr>
      <w:spacing w:after="160" w:line="240" w:lineRule="exact"/>
      <w:jc w:val="left"/>
    </w:pPr>
    <w:rPr>
      <w:rFonts w:ascii="Verdana" w:hAnsi="Verdana"/>
      <w:sz w:val="20"/>
      <w:lang w:val="en-US"/>
    </w:rPr>
  </w:style>
  <w:style w:type="character" w:customStyle="1" w:styleId="CharCharChar">
    <w:name w:val="Char Char Char"/>
    <w:rsid w:val="007104F0"/>
    <w:rPr>
      <w:sz w:val="24"/>
      <w:lang w:val="sr-Cyrl-CS" w:eastAsia="en-US" w:bidi="ar-SA"/>
    </w:rPr>
  </w:style>
  <w:style w:type="table" w:styleId="TableGrid">
    <w:name w:val="Table Grid"/>
    <w:basedOn w:val="TableNormal"/>
    <w:uiPriority w:val="39"/>
    <w:rsid w:val="007104F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6">
    <w:name w:val="Char Char Char6"/>
    <w:basedOn w:val="Normal"/>
    <w:rsid w:val="007104F0"/>
    <w:pPr>
      <w:tabs>
        <w:tab w:val="left" w:pos="567"/>
      </w:tabs>
      <w:spacing w:before="120" w:after="160" w:line="240" w:lineRule="exact"/>
      <w:ind w:left="1584" w:hanging="504"/>
      <w:jc w:val="left"/>
    </w:pPr>
    <w:rPr>
      <w:rFonts w:ascii="Arial" w:hAnsi="Arial" w:cs="Arial"/>
      <w:b/>
      <w:bCs/>
      <w:color w:val="000000"/>
      <w:szCs w:val="24"/>
      <w:lang w:val="en-US"/>
    </w:rPr>
  </w:style>
  <w:style w:type="paragraph" w:customStyle="1" w:styleId="CharCharCharChar9">
    <w:name w:val="Char Char Char Char9"/>
    <w:basedOn w:val="Normal"/>
    <w:rsid w:val="007104F0"/>
    <w:pPr>
      <w:spacing w:after="160" w:line="240" w:lineRule="exact"/>
      <w:jc w:val="left"/>
    </w:pPr>
    <w:rPr>
      <w:rFonts w:ascii="Tahoma" w:hAnsi="Tahoma" w:cs="Tahoma"/>
      <w:sz w:val="20"/>
      <w:lang w:val="en-US"/>
    </w:rPr>
  </w:style>
  <w:style w:type="paragraph" w:customStyle="1" w:styleId="CharCharCharChar1">
    <w:name w:val="Char Char Char Char1"/>
    <w:basedOn w:val="Normal"/>
    <w:rsid w:val="007104F0"/>
    <w:pPr>
      <w:spacing w:after="160" w:line="240" w:lineRule="exact"/>
      <w:jc w:val="left"/>
    </w:pPr>
    <w:rPr>
      <w:rFonts w:ascii="Tahoma" w:hAnsi="Tahoma" w:cs="Tahoma"/>
      <w:sz w:val="20"/>
      <w:lang w:val="en-US"/>
    </w:rPr>
  </w:style>
  <w:style w:type="paragraph" w:customStyle="1" w:styleId="CharCharCharChar2">
    <w:name w:val="Char Char Char Char2"/>
    <w:basedOn w:val="Normal"/>
    <w:rsid w:val="007104F0"/>
    <w:pPr>
      <w:spacing w:after="160" w:line="240" w:lineRule="exact"/>
      <w:jc w:val="left"/>
    </w:pPr>
    <w:rPr>
      <w:rFonts w:ascii="Tahoma" w:hAnsi="Tahoma" w:cs="Tahoma"/>
      <w:sz w:val="20"/>
      <w:lang w:val="en-US"/>
    </w:rPr>
  </w:style>
  <w:style w:type="paragraph" w:customStyle="1" w:styleId="CharCharCharChar3">
    <w:name w:val="Char Char Char Char3"/>
    <w:basedOn w:val="Normal"/>
    <w:rsid w:val="007104F0"/>
    <w:pPr>
      <w:spacing w:after="160" w:line="240" w:lineRule="exact"/>
      <w:jc w:val="left"/>
    </w:pPr>
    <w:rPr>
      <w:rFonts w:ascii="Tahoma" w:hAnsi="Tahoma" w:cs="Tahoma"/>
      <w:sz w:val="20"/>
      <w:lang w:val="en-US"/>
    </w:rPr>
  </w:style>
  <w:style w:type="paragraph" w:customStyle="1" w:styleId="CharCharCharChar4">
    <w:name w:val="Char Char Char Char4"/>
    <w:basedOn w:val="Normal"/>
    <w:rsid w:val="007104F0"/>
    <w:pPr>
      <w:spacing w:after="160" w:line="240" w:lineRule="exact"/>
      <w:jc w:val="left"/>
    </w:pPr>
    <w:rPr>
      <w:rFonts w:ascii="Tahoma" w:hAnsi="Tahoma" w:cs="Tahoma"/>
      <w:sz w:val="20"/>
      <w:lang w:val="en-US"/>
    </w:rPr>
  </w:style>
  <w:style w:type="paragraph" w:customStyle="1" w:styleId="Default">
    <w:name w:val="Default"/>
    <w:link w:val="DefaultChar"/>
    <w:rsid w:val="007104F0"/>
    <w:pPr>
      <w:autoSpaceDE w:val="0"/>
      <w:autoSpaceDN w:val="0"/>
      <w:adjustRightInd w:val="0"/>
    </w:pPr>
    <w:rPr>
      <w:rFonts w:ascii="Arial" w:eastAsia="Times New Roman" w:hAnsi="Arial" w:cs="Arial"/>
      <w:color w:val="000000"/>
      <w:sz w:val="24"/>
      <w:szCs w:val="24"/>
    </w:rPr>
  </w:style>
  <w:style w:type="character" w:customStyle="1" w:styleId="DefaultChar">
    <w:name w:val="Default Char"/>
    <w:link w:val="Default"/>
    <w:rsid w:val="007104F0"/>
    <w:rPr>
      <w:rFonts w:ascii="Arial" w:eastAsia="Times New Roman" w:hAnsi="Arial" w:cs="Arial"/>
      <w:color w:val="000000"/>
      <w:sz w:val="24"/>
      <w:szCs w:val="24"/>
    </w:rPr>
  </w:style>
  <w:style w:type="paragraph" w:customStyle="1" w:styleId="4clan">
    <w:name w:val="4clan"/>
    <w:basedOn w:val="Normal"/>
    <w:rsid w:val="007104F0"/>
    <w:pPr>
      <w:spacing w:before="30" w:after="30"/>
      <w:jc w:val="center"/>
    </w:pPr>
    <w:rPr>
      <w:rFonts w:ascii="Arial" w:hAnsi="Arial" w:cs="Arial"/>
      <w:b/>
      <w:bCs/>
      <w:sz w:val="20"/>
      <w:lang w:val="en-US"/>
    </w:rPr>
  </w:style>
  <w:style w:type="character" w:customStyle="1" w:styleId="CharChar3">
    <w:name w:val="Char Char3"/>
    <w:rsid w:val="007104F0"/>
    <w:rPr>
      <w:sz w:val="24"/>
      <w:lang w:val="sr-Cyrl-CS" w:eastAsia="en-US" w:bidi="ar-SA"/>
    </w:rPr>
  </w:style>
  <w:style w:type="paragraph" w:customStyle="1" w:styleId="CharCharCharCharCharCharCharCharCharCharCharCharCharCharCharCharCharCharCharCharCharCharCharCharChar1">
    <w:name w:val="Char Char Char Char Char Char Char Char Char Char Char Char Char Char Char Char Char Char Char Char Char Char Char Char Char1"/>
    <w:basedOn w:val="Normal"/>
    <w:rsid w:val="007104F0"/>
    <w:pPr>
      <w:tabs>
        <w:tab w:val="left" w:pos="709"/>
      </w:tabs>
      <w:jc w:val="left"/>
    </w:pPr>
    <w:rPr>
      <w:rFonts w:ascii="Arial Narrow" w:hAnsi="Arial Narrow"/>
      <w:b/>
      <w:sz w:val="26"/>
      <w:szCs w:val="24"/>
      <w:lang w:val="pl-PL" w:eastAsia="pl-PL"/>
    </w:rPr>
  </w:style>
  <w:style w:type="paragraph" w:customStyle="1" w:styleId="Clan0">
    <w:name w:val="Clan"/>
    <w:basedOn w:val="Normal"/>
    <w:rsid w:val="007104F0"/>
    <w:pPr>
      <w:keepNext/>
      <w:tabs>
        <w:tab w:val="left" w:pos="1080"/>
      </w:tabs>
      <w:spacing w:before="120" w:after="120"/>
      <w:ind w:left="720" w:right="720"/>
      <w:jc w:val="center"/>
    </w:pPr>
    <w:rPr>
      <w:rFonts w:ascii="Arial" w:hAnsi="Arial"/>
      <w:b/>
      <w:sz w:val="22"/>
    </w:rPr>
  </w:style>
  <w:style w:type="paragraph" w:customStyle="1" w:styleId="TableContents">
    <w:name w:val="Table Contents"/>
    <w:basedOn w:val="Normal"/>
    <w:rsid w:val="007104F0"/>
    <w:pPr>
      <w:widowControl w:val="0"/>
      <w:suppressLineNumbers/>
      <w:suppressAutoHyphens/>
      <w:jc w:val="left"/>
    </w:pPr>
    <w:rPr>
      <w:rFonts w:ascii="Times New Roman" w:eastAsia="Lucida Sans Unicode" w:hAnsi="Times New Roman"/>
      <w:kern w:val="1"/>
      <w:szCs w:val="24"/>
      <w:lang w:val="en-US"/>
    </w:rPr>
  </w:style>
  <w:style w:type="paragraph" w:customStyle="1" w:styleId="Style1">
    <w:name w:val="Style1"/>
    <w:basedOn w:val="Normal"/>
    <w:rsid w:val="007104F0"/>
    <w:rPr>
      <w:rFonts w:ascii="Times New Roman" w:hAnsi="Times New Roman"/>
      <w:szCs w:val="24"/>
      <w:lang w:val="en-US"/>
    </w:rPr>
  </w:style>
  <w:style w:type="paragraph" w:customStyle="1" w:styleId="Style2">
    <w:name w:val="Style2"/>
    <w:basedOn w:val="Normal"/>
    <w:rsid w:val="007104F0"/>
    <w:pPr>
      <w:jc w:val="center"/>
    </w:pPr>
    <w:rPr>
      <w:rFonts w:ascii="Times New Roman" w:hAnsi="Times New Roman"/>
      <w:b/>
      <w:sz w:val="28"/>
      <w:szCs w:val="24"/>
      <w:lang w:val="en-US"/>
    </w:rPr>
  </w:style>
  <w:style w:type="character" w:customStyle="1" w:styleId="CharChar2">
    <w:name w:val="Char Char2"/>
    <w:rsid w:val="007104F0"/>
    <w:rPr>
      <w:rFonts w:ascii="Times New Roman" w:eastAsia="Times New Roman" w:hAnsi="Times New Roman" w:cs="Times New Roman"/>
      <w:sz w:val="24"/>
      <w:szCs w:val="20"/>
    </w:rPr>
  </w:style>
  <w:style w:type="paragraph" w:styleId="BalloonText">
    <w:name w:val="Balloon Text"/>
    <w:basedOn w:val="Normal"/>
    <w:link w:val="BalloonTextChar"/>
    <w:uiPriority w:val="99"/>
    <w:rsid w:val="007104F0"/>
    <w:rPr>
      <w:rFonts w:ascii="Tahoma" w:hAnsi="Tahoma"/>
      <w:sz w:val="16"/>
      <w:szCs w:val="16"/>
      <w:lang w:eastAsia="x-none"/>
    </w:rPr>
  </w:style>
  <w:style w:type="character" w:customStyle="1" w:styleId="BalloonTextChar">
    <w:name w:val="Balloon Text Char"/>
    <w:basedOn w:val="DefaultParagraphFont"/>
    <w:link w:val="BalloonText"/>
    <w:uiPriority w:val="99"/>
    <w:rsid w:val="007104F0"/>
    <w:rPr>
      <w:rFonts w:ascii="Tahoma" w:eastAsia="Times New Roman" w:hAnsi="Tahoma" w:cs="Times New Roman"/>
      <w:sz w:val="16"/>
      <w:szCs w:val="16"/>
      <w:lang w:val="sr-Cyrl-CS" w:eastAsia="x-none"/>
    </w:rPr>
  </w:style>
  <w:style w:type="paragraph" w:styleId="FootnoteText">
    <w:name w:val="footnote text"/>
    <w:aliases w:val="fn,Footnote Text Char Char Char,Footnote Text Char Char,Fußnote, Car Car,Footnote Text Char Char1,Footnote Text Char1 Char Char,Footnote Text Char Char1 Char Char,Footnote Text Char Char Char Char Char Char,Car Car"/>
    <w:basedOn w:val="Normal"/>
    <w:link w:val="FootnoteTextChar"/>
    <w:uiPriority w:val="99"/>
    <w:rsid w:val="007104F0"/>
    <w:pPr>
      <w:jc w:val="left"/>
    </w:pPr>
    <w:rPr>
      <w:rFonts w:ascii="Times New Roman" w:hAnsi="Times New Roman"/>
      <w:sz w:val="20"/>
      <w:lang w:val="en-US"/>
    </w:rPr>
  </w:style>
  <w:style w:type="character" w:customStyle="1" w:styleId="FootnoteTextChar">
    <w:name w:val="Footnote Text Char"/>
    <w:aliases w:val="fn Char,Footnote Text Char Char Char Char,Footnote Text Char Char Char1,Fußnote Char, Car Car Char,Footnote Text Char Char1 Char,Footnote Text Char1 Char Char Char,Footnote Text Char Char1 Char Char Char,Car Car Char"/>
    <w:basedOn w:val="DefaultParagraphFont"/>
    <w:link w:val="FootnoteText"/>
    <w:uiPriority w:val="99"/>
    <w:rsid w:val="007104F0"/>
    <w:rPr>
      <w:rFonts w:ascii="Times New Roman" w:eastAsia="Times New Roman" w:hAnsi="Times New Roman" w:cs="Times New Roman"/>
      <w:sz w:val="20"/>
      <w:szCs w:val="20"/>
    </w:rPr>
  </w:style>
  <w:style w:type="character" w:styleId="CommentReference">
    <w:name w:val="annotation reference"/>
    <w:uiPriority w:val="99"/>
    <w:rsid w:val="007104F0"/>
    <w:rPr>
      <w:sz w:val="16"/>
      <w:szCs w:val="16"/>
    </w:rPr>
  </w:style>
  <w:style w:type="paragraph" w:customStyle="1" w:styleId="PIMIPATextCharChar">
    <w:name w:val="PIMIPA Text Char Char"/>
    <w:basedOn w:val="BodyText"/>
    <w:qFormat/>
    <w:rsid w:val="007104F0"/>
    <w:pPr>
      <w:spacing w:before="40" w:after="80"/>
      <w:ind w:left="1134"/>
      <w:jc w:val="both"/>
    </w:pPr>
    <w:rPr>
      <w:rFonts w:ascii="Garamond" w:hAnsi="Garamond"/>
      <w:caps/>
      <w:color w:val="808080"/>
      <w:spacing w:val="-5"/>
      <w:kern w:val="28"/>
      <w:szCs w:val="24"/>
      <w:lang w:val="en-GB"/>
    </w:rPr>
  </w:style>
  <w:style w:type="paragraph" w:customStyle="1" w:styleId="CharCharCharCharCharCharCharCharCharChar">
    <w:name w:val="Char Char Char Char Char Char Char Char Char Char"/>
    <w:basedOn w:val="Normal"/>
    <w:link w:val="CharCharCharCharCharCharCharCharCharCharChar"/>
    <w:rsid w:val="007104F0"/>
    <w:pPr>
      <w:spacing w:after="160" w:line="240" w:lineRule="exact"/>
      <w:jc w:val="left"/>
    </w:pPr>
    <w:rPr>
      <w:rFonts w:ascii="Tahoma" w:hAnsi="Tahoma"/>
      <w:sz w:val="20"/>
      <w:lang w:val="en-US"/>
    </w:rPr>
  </w:style>
  <w:style w:type="character" w:customStyle="1" w:styleId="CharCharCharCharCharCharCharCharCharCharChar">
    <w:name w:val="Char Char Char Char Char Char Char Char Char Char Char"/>
    <w:link w:val="CharCharCharCharCharCharCharCharCharChar"/>
    <w:rsid w:val="007104F0"/>
    <w:rPr>
      <w:rFonts w:ascii="Tahoma" w:eastAsia="Times New Roman" w:hAnsi="Tahoma" w:cs="Times New Roman"/>
      <w:sz w:val="20"/>
      <w:szCs w:val="20"/>
    </w:rPr>
  </w:style>
  <w:style w:type="paragraph" w:customStyle="1" w:styleId="CharCharCharCharCharCharCharChar">
    <w:name w:val="Char Char Char Char Char Char Char Char"/>
    <w:basedOn w:val="Normal"/>
    <w:rsid w:val="007104F0"/>
    <w:pPr>
      <w:spacing w:after="160" w:line="240" w:lineRule="exact"/>
      <w:jc w:val="left"/>
    </w:pPr>
    <w:rPr>
      <w:rFonts w:ascii="Verdana" w:hAnsi="Verdana"/>
      <w:sz w:val="20"/>
      <w:lang w:val="en-US"/>
    </w:rPr>
  </w:style>
  <w:style w:type="paragraph" w:customStyle="1" w:styleId="DecimalAligned">
    <w:name w:val="Decimal Aligned"/>
    <w:basedOn w:val="Normal"/>
    <w:qFormat/>
    <w:rsid w:val="007104F0"/>
    <w:pPr>
      <w:tabs>
        <w:tab w:val="decimal" w:pos="360"/>
      </w:tabs>
      <w:spacing w:after="200" w:line="276" w:lineRule="auto"/>
      <w:jc w:val="left"/>
    </w:pPr>
    <w:rPr>
      <w:rFonts w:ascii="Calibri" w:hAnsi="Calibri"/>
      <w:sz w:val="22"/>
      <w:szCs w:val="22"/>
      <w:lang w:val="en-US"/>
    </w:rPr>
  </w:style>
  <w:style w:type="character" w:styleId="SubtleEmphasis">
    <w:name w:val="Subtle Emphasis"/>
    <w:qFormat/>
    <w:rsid w:val="007104F0"/>
    <w:rPr>
      <w:rFonts w:eastAsia="Times New Roman" w:cs="Times New Roman"/>
      <w:bCs w:val="0"/>
      <w:i/>
      <w:iCs/>
      <w:color w:val="808080"/>
      <w:szCs w:val="22"/>
      <w:lang w:val="en-US"/>
    </w:rPr>
  </w:style>
  <w:style w:type="paragraph" w:styleId="CommentText">
    <w:name w:val="annotation text"/>
    <w:basedOn w:val="Normal"/>
    <w:link w:val="CommentTextChar"/>
    <w:uiPriority w:val="99"/>
    <w:rsid w:val="007104F0"/>
    <w:rPr>
      <w:sz w:val="20"/>
      <w:lang w:eastAsia="x-none"/>
    </w:rPr>
  </w:style>
  <w:style w:type="character" w:customStyle="1" w:styleId="CommentTextChar">
    <w:name w:val="Comment Text Char"/>
    <w:basedOn w:val="DefaultParagraphFont"/>
    <w:link w:val="CommentText"/>
    <w:uiPriority w:val="99"/>
    <w:rsid w:val="007104F0"/>
    <w:rPr>
      <w:rFonts w:ascii="CTimesRoman" w:eastAsia="Times New Roman" w:hAnsi="CTimesRoman" w:cs="Times New Roman"/>
      <w:sz w:val="20"/>
      <w:szCs w:val="20"/>
      <w:lang w:val="sr-Cyrl-CS" w:eastAsia="x-none"/>
    </w:rPr>
  </w:style>
  <w:style w:type="paragraph" w:styleId="CommentSubject">
    <w:name w:val="annotation subject"/>
    <w:basedOn w:val="CommentText"/>
    <w:next w:val="CommentText"/>
    <w:link w:val="CommentSubjectChar"/>
    <w:uiPriority w:val="99"/>
    <w:rsid w:val="007104F0"/>
    <w:rPr>
      <w:b/>
      <w:bCs/>
    </w:rPr>
  </w:style>
  <w:style w:type="character" w:customStyle="1" w:styleId="CommentSubjectChar">
    <w:name w:val="Comment Subject Char"/>
    <w:basedOn w:val="CommentTextChar"/>
    <w:link w:val="CommentSubject"/>
    <w:uiPriority w:val="99"/>
    <w:rsid w:val="007104F0"/>
    <w:rPr>
      <w:rFonts w:ascii="CTimesRoman" w:eastAsia="Times New Roman" w:hAnsi="CTimesRoman" w:cs="Times New Roman"/>
      <w:b/>
      <w:bCs/>
      <w:sz w:val="20"/>
      <w:szCs w:val="20"/>
      <w:lang w:val="sr-Cyrl-CS" w:eastAsia="x-none"/>
    </w:rPr>
  </w:style>
  <w:style w:type="paragraph" w:customStyle="1" w:styleId="CharCharCharCharCharCharCharCharCharChar1">
    <w:name w:val="Char Char Char Char Char Char Char Char Char Char1"/>
    <w:basedOn w:val="Normal"/>
    <w:rsid w:val="007104F0"/>
    <w:pPr>
      <w:spacing w:after="160" w:line="240" w:lineRule="exact"/>
      <w:jc w:val="left"/>
    </w:pPr>
    <w:rPr>
      <w:rFonts w:ascii="Tahoma" w:hAnsi="Tahoma"/>
      <w:sz w:val="20"/>
      <w:lang w:val="en-US"/>
    </w:rPr>
  </w:style>
  <w:style w:type="paragraph" w:customStyle="1" w:styleId="Text1">
    <w:name w:val="Text 1"/>
    <w:basedOn w:val="Normal"/>
    <w:link w:val="Text1Char"/>
    <w:rsid w:val="007104F0"/>
    <w:pPr>
      <w:spacing w:before="120" w:after="120"/>
      <w:ind w:left="850"/>
    </w:pPr>
    <w:rPr>
      <w:rFonts w:ascii="Times New Roman" w:hAnsi="Times New Roman"/>
      <w:szCs w:val="24"/>
      <w:lang w:val="en-GB" w:eastAsia="de-DE"/>
    </w:rPr>
  </w:style>
  <w:style w:type="character" w:customStyle="1" w:styleId="Text1Char">
    <w:name w:val="Text 1 Char"/>
    <w:link w:val="Text1"/>
    <w:rsid w:val="007104F0"/>
    <w:rPr>
      <w:rFonts w:ascii="Times New Roman" w:eastAsia="Times New Roman" w:hAnsi="Times New Roman" w:cs="Times New Roman"/>
      <w:sz w:val="24"/>
      <w:szCs w:val="24"/>
      <w:lang w:val="en-GB" w:eastAsia="de-DE"/>
    </w:rPr>
  </w:style>
  <w:style w:type="paragraph" w:styleId="NoSpacing">
    <w:name w:val="No Spacing"/>
    <w:uiPriority w:val="1"/>
    <w:qFormat/>
    <w:rsid w:val="007104F0"/>
    <w:rPr>
      <w:rFonts w:ascii="Arial" w:eastAsia="Times New Roman" w:hAnsi="Arial" w:cs="Times New Roman"/>
      <w:sz w:val="24"/>
      <w:szCs w:val="24"/>
      <w:lang w:val="en-CA"/>
    </w:rPr>
  </w:style>
  <w:style w:type="character" w:customStyle="1" w:styleId="FontStyle13">
    <w:name w:val="Font Style13"/>
    <w:rsid w:val="007104F0"/>
    <w:rPr>
      <w:rFonts w:ascii="Times New Roman" w:hAnsi="Times New Roman" w:cs="Times New Roman"/>
      <w:sz w:val="22"/>
      <w:szCs w:val="22"/>
    </w:rPr>
  </w:style>
  <w:style w:type="paragraph" w:customStyle="1" w:styleId="ProposalBodyCharCharCharCharCharCharCharCharChar1CharCharCharCharChar">
    <w:name w:val="Proposal Body Char Char Char Char Char Char Char Char Char1 Char Char Char Char Char"/>
    <w:basedOn w:val="Normal"/>
    <w:next w:val="Normal"/>
    <w:rsid w:val="007104F0"/>
    <w:pPr>
      <w:adjustRightInd w:val="0"/>
      <w:snapToGrid w:val="0"/>
      <w:spacing w:before="120" w:after="120"/>
    </w:pPr>
    <w:rPr>
      <w:rFonts w:ascii="Arial" w:hAnsi="Arial" w:cs="Arial"/>
      <w:sz w:val="20"/>
      <w:lang w:val="en-GB"/>
    </w:rPr>
  </w:style>
  <w:style w:type="paragraph" w:customStyle="1" w:styleId="DefaultParagraphFontChar">
    <w:name w:val="Default Paragraph Font Char"/>
    <w:aliases w:val=" Char Char Car Char Car Char Car Char Car Char Car Char Car Char Char,Char Char Car Char Car Char Car Char Car Char Car Char Car Char Char"/>
    <w:basedOn w:val="Normal"/>
    <w:rsid w:val="007104F0"/>
    <w:pPr>
      <w:spacing w:after="160" w:line="240" w:lineRule="exact"/>
      <w:jc w:val="left"/>
    </w:pPr>
    <w:rPr>
      <w:rFonts w:ascii="Arial" w:hAnsi="Arial" w:cs="Arial"/>
      <w:sz w:val="20"/>
      <w:lang w:val="en-US"/>
    </w:rPr>
  </w:style>
  <w:style w:type="character" w:customStyle="1" w:styleId="Text1CharChar">
    <w:name w:val="Text 1 Char Char"/>
    <w:rsid w:val="007104F0"/>
    <w:rPr>
      <w:sz w:val="24"/>
      <w:szCs w:val="24"/>
      <w:lang w:val="en-GB" w:eastAsia="de-DE" w:bidi="ar-SA"/>
    </w:rPr>
  </w:style>
  <w:style w:type="paragraph" w:customStyle="1" w:styleId="CharCharCharCharCharCharChar">
    <w:name w:val="Char Char Char Char Char Char Char"/>
    <w:basedOn w:val="Normal"/>
    <w:rsid w:val="007104F0"/>
    <w:pPr>
      <w:spacing w:after="160" w:line="240" w:lineRule="exact"/>
      <w:jc w:val="left"/>
    </w:pPr>
    <w:rPr>
      <w:rFonts w:ascii="Tahoma" w:hAnsi="Tahoma"/>
      <w:sz w:val="20"/>
      <w:lang w:val="en-US"/>
    </w:rPr>
  </w:style>
  <w:style w:type="paragraph" w:customStyle="1" w:styleId="Text2Char">
    <w:name w:val="Text 2 Char"/>
    <w:basedOn w:val="Normal"/>
    <w:link w:val="Text2CharChar"/>
    <w:semiHidden/>
    <w:rsid w:val="007104F0"/>
    <w:pPr>
      <w:tabs>
        <w:tab w:val="left" w:pos="2161"/>
      </w:tabs>
      <w:spacing w:after="240"/>
      <w:ind w:left="1202"/>
    </w:pPr>
    <w:rPr>
      <w:rFonts w:ascii="Tahoma" w:hAnsi="Tahoma"/>
      <w:color w:val="000000"/>
      <w:szCs w:val="24"/>
      <w:lang w:val="en-GB" w:eastAsia="en-GB"/>
    </w:rPr>
  </w:style>
  <w:style w:type="character" w:customStyle="1" w:styleId="Text2CharChar">
    <w:name w:val="Text 2 Char Char"/>
    <w:link w:val="Text2Char"/>
    <w:rsid w:val="007104F0"/>
    <w:rPr>
      <w:rFonts w:ascii="Tahoma" w:eastAsia="Times New Roman" w:hAnsi="Tahoma" w:cs="Times New Roman"/>
      <w:color w:val="000000"/>
      <w:sz w:val="24"/>
      <w:szCs w:val="24"/>
      <w:lang w:val="en-GB" w:eastAsia="en-GB"/>
    </w:rPr>
  </w:style>
  <w:style w:type="paragraph" w:customStyle="1" w:styleId="CharCharCharCharCharCharCharCharCharCharCharChar">
    <w:name w:val="Char Char Char Char Char Char Char Char Char Char Char Char"/>
    <w:basedOn w:val="Normal"/>
    <w:rsid w:val="007104F0"/>
    <w:pPr>
      <w:spacing w:after="160" w:line="240" w:lineRule="exact"/>
      <w:jc w:val="left"/>
    </w:pPr>
    <w:rPr>
      <w:rFonts w:ascii="Tahoma" w:hAnsi="Tahoma"/>
      <w:sz w:val="20"/>
      <w:lang w:val="en-US"/>
    </w:rPr>
  </w:style>
  <w:style w:type="paragraph" w:customStyle="1" w:styleId="Zakon">
    <w:name w:val="Zakon"/>
    <w:basedOn w:val="Normal"/>
    <w:rsid w:val="007104F0"/>
    <w:pPr>
      <w:keepNext/>
      <w:tabs>
        <w:tab w:val="left" w:pos="1080"/>
      </w:tabs>
      <w:spacing w:after="120"/>
      <w:ind w:left="720" w:right="720"/>
      <w:jc w:val="center"/>
    </w:pPr>
    <w:rPr>
      <w:rFonts w:ascii="Arial" w:eastAsia="Calibri" w:hAnsi="Arial" w:cs="Arial"/>
      <w:b/>
      <w:caps/>
      <w:sz w:val="34"/>
      <w:szCs w:val="22"/>
    </w:rPr>
  </w:style>
  <w:style w:type="paragraph" w:customStyle="1" w:styleId="CharCharCharCharCharCharCharChar3">
    <w:name w:val="Char Char Char Char Char Char Char Char3"/>
    <w:basedOn w:val="Normal"/>
    <w:rsid w:val="007104F0"/>
    <w:pPr>
      <w:spacing w:after="160" w:line="240" w:lineRule="exact"/>
      <w:jc w:val="left"/>
    </w:pPr>
    <w:rPr>
      <w:rFonts w:ascii="Verdana" w:hAnsi="Verdana"/>
      <w:sz w:val="20"/>
      <w:lang w:val="en-US"/>
    </w:rPr>
  </w:style>
  <w:style w:type="paragraph" w:customStyle="1" w:styleId="Normal11">
    <w:name w:val="Normal11"/>
    <w:basedOn w:val="Normal"/>
    <w:rsid w:val="007104F0"/>
    <w:pPr>
      <w:spacing w:before="100" w:beforeAutospacing="1" w:after="100" w:afterAutospacing="1"/>
      <w:jc w:val="left"/>
    </w:pPr>
    <w:rPr>
      <w:rFonts w:ascii="Arial" w:hAnsi="Arial" w:cs="Arial"/>
      <w:sz w:val="22"/>
      <w:szCs w:val="22"/>
      <w:lang w:val="sr-Latn-CS" w:eastAsia="sr-Latn-CS"/>
    </w:rPr>
  </w:style>
  <w:style w:type="character" w:styleId="FollowedHyperlink">
    <w:name w:val="FollowedHyperlink"/>
    <w:rsid w:val="007104F0"/>
    <w:rPr>
      <w:color w:val="800080"/>
      <w:u w:val="single"/>
    </w:rPr>
  </w:style>
  <w:style w:type="paragraph" w:customStyle="1" w:styleId="rvps1">
    <w:name w:val="rvps1"/>
    <w:basedOn w:val="Normal"/>
    <w:rsid w:val="007104F0"/>
    <w:pPr>
      <w:jc w:val="left"/>
    </w:pPr>
    <w:rPr>
      <w:rFonts w:ascii="Times New Roman" w:hAnsi="Times New Roman"/>
      <w:szCs w:val="24"/>
      <w:lang w:val="en-US"/>
    </w:rPr>
  </w:style>
  <w:style w:type="character" w:styleId="Strong">
    <w:name w:val="Strong"/>
    <w:qFormat/>
    <w:rsid w:val="007104F0"/>
    <w:rPr>
      <w:b/>
      <w:bCs/>
    </w:rPr>
  </w:style>
  <w:style w:type="paragraph" w:customStyle="1" w:styleId="IFS2012tekst">
    <w:name w:val="IFS 2012 tekst"/>
    <w:basedOn w:val="Normal"/>
    <w:uiPriority w:val="99"/>
    <w:qFormat/>
    <w:rsid w:val="007104F0"/>
    <w:pPr>
      <w:spacing w:after="120"/>
    </w:pPr>
    <w:rPr>
      <w:rFonts w:ascii="Cambria" w:eastAsia="Calibri" w:hAnsi="Cambria"/>
      <w:sz w:val="21"/>
      <w:szCs w:val="22"/>
    </w:rPr>
  </w:style>
  <w:style w:type="paragraph" w:customStyle="1" w:styleId="CharCharCharCharCharCharCharCharCharChar14">
    <w:name w:val="Char Char Char Char Char Char Char Char Char Char14"/>
    <w:basedOn w:val="Normal"/>
    <w:rsid w:val="007104F0"/>
    <w:pPr>
      <w:spacing w:after="160" w:line="240" w:lineRule="exact"/>
      <w:jc w:val="left"/>
    </w:pPr>
    <w:rPr>
      <w:rFonts w:ascii="Tahoma" w:hAnsi="Tahoma"/>
      <w:sz w:val="20"/>
      <w:lang w:val="en-US"/>
    </w:rPr>
  </w:style>
  <w:style w:type="paragraph" w:customStyle="1" w:styleId="CharCharCharCharCharCharCharCharCharChar5">
    <w:name w:val="Char Char Char Char Char Char Char Char Char Char5"/>
    <w:basedOn w:val="Normal"/>
    <w:rsid w:val="007104F0"/>
    <w:pPr>
      <w:spacing w:after="160" w:line="240" w:lineRule="exact"/>
      <w:jc w:val="left"/>
    </w:pPr>
    <w:rPr>
      <w:rFonts w:ascii="Tahoma" w:hAnsi="Tahoma"/>
      <w:sz w:val="20"/>
      <w:lang w:val="en-US"/>
    </w:rPr>
  </w:style>
  <w:style w:type="paragraph" w:customStyle="1" w:styleId="CharCharCharCharCharCharCharCharCharCharCharCharCharCharCharCharCharCharCharCharCharCharCharCharChar1CharChar">
    <w:name w:val="Char Char Char Char Char Char Char Char Char Char Char Char Char Char Char Char Char Char Char Char Char Char Char Char Char1 Char Char"/>
    <w:basedOn w:val="Normal"/>
    <w:rsid w:val="007104F0"/>
    <w:pPr>
      <w:tabs>
        <w:tab w:val="left" w:pos="709"/>
      </w:tabs>
      <w:jc w:val="left"/>
    </w:pPr>
    <w:rPr>
      <w:rFonts w:ascii="Arial Narrow" w:hAnsi="Arial Narrow"/>
      <w:b/>
      <w:sz w:val="26"/>
      <w:szCs w:val="24"/>
      <w:lang w:val="pl-PL" w:eastAsia="pl-PL"/>
    </w:rPr>
  </w:style>
  <w:style w:type="paragraph" w:customStyle="1" w:styleId="CharTegnTegnChar">
    <w:name w:val="Char Tegn Tegn Char"/>
    <w:basedOn w:val="Normal"/>
    <w:rsid w:val="007104F0"/>
    <w:pPr>
      <w:tabs>
        <w:tab w:val="left" w:pos="567"/>
      </w:tabs>
      <w:spacing w:before="120" w:after="160" w:line="240" w:lineRule="exact"/>
      <w:ind w:left="1584" w:hanging="504"/>
      <w:jc w:val="left"/>
    </w:pPr>
    <w:rPr>
      <w:rFonts w:ascii="Arial" w:hAnsi="Arial"/>
      <w:b/>
      <w:bCs/>
      <w:color w:val="000000"/>
      <w:sz w:val="20"/>
      <w:lang w:val="en-US"/>
    </w:rPr>
  </w:style>
  <w:style w:type="paragraph" w:customStyle="1" w:styleId="CharCharCharCharCharCharCharCharCharCharCharCharCharCharChar">
    <w:name w:val="Char Char Char Char Char Char Char Char Char Char Char Char Char Char Char"/>
    <w:basedOn w:val="Normal"/>
    <w:rsid w:val="007104F0"/>
    <w:pPr>
      <w:spacing w:after="160" w:line="240" w:lineRule="exact"/>
      <w:jc w:val="left"/>
    </w:pPr>
    <w:rPr>
      <w:rFonts w:ascii="Tahoma" w:hAnsi="Tahoma" w:cs="Tahoma"/>
      <w:sz w:val="20"/>
      <w:lang w:val="en-US"/>
    </w:rPr>
  </w:style>
  <w:style w:type="character" w:styleId="Emphasis">
    <w:name w:val="Emphasis"/>
    <w:qFormat/>
    <w:rsid w:val="007104F0"/>
    <w:rPr>
      <w:i/>
      <w:iCs/>
    </w:rPr>
  </w:style>
  <w:style w:type="paragraph" w:styleId="PlainText">
    <w:name w:val="Plain Text"/>
    <w:basedOn w:val="Normal"/>
    <w:link w:val="PlainTextChar"/>
    <w:uiPriority w:val="99"/>
    <w:rsid w:val="007104F0"/>
    <w:pPr>
      <w:spacing w:after="240"/>
    </w:pPr>
    <w:rPr>
      <w:rFonts w:ascii="Courier New" w:hAnsi="Courier New"/>
      <w:sz w:val="20"/>
      <w:lang w:eastAsia="x-none"/>
    </w:rPr>
  </w:style>
  <w:style w:type="character" w:customStyle="1" w:styleId="PlainTextChar">
    <w:name w:val="Plain Text Char"/>
    <w:basedOn w:val="DefaultParagraphFont"/>
    <w:link w:val="PlainText"/>
    <w:uiPriority w:val="99"/>
    <w:rsid w:val="007104F0"/>
    <w:rPr>
      <w:rFonts w:ascii="Courier New" w:eastAsia="Times New Roman" w:hAnsi="Courier New" w:cs="Times New Roman"/>
      <w:sz w:val="20"/>
      <w:szCs w:val="20"/>
      <w:lang w:val="sr-Cyrl-CS" w:eastAsia="x-none"/>
    </w:rPr>
  </w:style>
  <w:style w:type="paragraph" w:customStyle="1" w:styleId="font5">
    <w:name w:val="font5"/>
    <w:basedOn w:val="Normal"/>
    <w:rsid w:val="007104F0"/>
    <w:pPr>
      <w:spacing w:before="100" w:beforeAutospacing="1" w:after="100" w:afterAutospacing="1"/>
      <w:jc w:val="left"/>
    </w:pPr>
    <w:rPr>
      <w:rFonts w:ascii="Tahoma" w:hAnsi="Tahoma" w:cs="Tahoma"/>
      <w:color w:val="000000"/>
      <w:sz w:val="18"/>
      <w:szCs w:val="18"/>
      <w:lang w:val="en-US"/>
    </w:rPr>
  </w:style>
  <w:style w:type="paragraph" w:customStyle="1" w:styleId="font6">
    <w:name w:val="font6"/>
    <w:basedOn w:val="Normal"/>
    <w:rsid w:val="007104F0"/>
    <w:pPr>
      <w:spacing w:before="100" w:beforeAutospacing="1" w:after="100" w:afterAutospacing="1"/>
      <w:jc w:val="left"/>
    </w:pPr>
    <w:rPr>
      <w:rFonts w:ascii="Tahoma" w:hAnsi="Tahoma" w:cs="Tahoma"/>
      <w:b/>
      <w:bCs/>
      <w:color w:val="000000"/>
      <w:sz w:val="18"/>
      <w:szCs w:val="18"/>
      <w:lang w:val="en-US"/>
    </w:rPr>
  </w:style>
  <w:style w:type="paragraph" w:customStyle="1" w:styleId="font7">
    <w:name w:val="font7"/>
    <w:basedOn w:val="Normal"/>
    <w:rsid w:val="007104F0"/>
    <w:pPr>
      <w:spacing w:before="100" w:beforeAutospacing="1" w:after="100" w:afterAutospacing="1"/>
      <w:jc w:val="left"/>
    </w:pPr>
    <w:rPr>
      <w:rFonts w:ascii="Tahoma" w:hAnsi="Tahoma" w:cs="Tahoma"/>
      <w:b/>
      <w:bCs/>
      <w:color w:val="000000"/>
      <w:sz w:val="16"/>
      <w:szCs w:val="16"/>
      <w:lang w:val="en-US"/>
    </w:rPr>
  </w:style>
  <w:style w:type="paragraph" w:customStyle="1" w:styleId="font8">
    <w:name w:val="font8"/>
    <w:basedOn w:val="Normal"/>
    <w:rsid w:val="007104F0"/>
    <w:pPr>
      <w:spacing w:before="100" w:beforeAutospacing="1" w:after="100" w:afterAutospacing="1"/>
      <w:jc w:val="left"/>
    </w:pPr>
    <w:rPr>
      <w:rFonts w:ascii="Tahoma" w:hAnsi="Tahoma" w:cs="Tahoma"/>
      <w:color w:val="000000"/>
      <w:sz w:val="16"/>
      <w:szCs w:val="16"/>
      <w:lang w:val="en-US"/>
    </w:rPr>
  </w:style>
  <w:style w:type="paragraph" w:customStyle="1" w:styleId="xl63">
    <w:name w:val="xl63"/>
    <w:basedOn w:val="Normal"/>
    <w:rsid w:val="007104F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14"/>
      <w:szCs w:val="14"/>
      <w:lang w:val="en-US"/>
    </w:rPr>
  </w:style>
  <w:style w:type="paragraph" w:customStyle="1" w:styleId="xl64">
    <w:name w:val="xl64"/>
    <w:basedOn w:val="Normal"/>
    <w:rsid w:val="007104F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14"/>
      <w:szCs w:val="14"/>
      <w:lang w:val="en-US"/>
    </w:rPr>
  </w:style>
  <w:style w:type="paragraph" w:customStyle="1" w:styleId="xl65">
    <w:name w:val="xl65"/>
    <w:basedOn w:val="Normal"/>
    <w:rsid w:val="007104F0"/>
    <w:pPr>
      <w:spacing w:before="100" w:beforeAutospacing="1" w:after="100" w:afterAutospacing="1"/>
      <w:jc w:val="center"/>
      <w:textAlignment w:val="center"/>
    </w:pPr>
    <w:rPr>
      <w:rFonts w:ascii="Times New Roman" w:hAnsi="Times New Roman"/>
      <w:sz w:val="14"/>
      <w:szCs w:val="14"/>
      <w:lang w:val="en-US"/>
    </w:rPr>
  </w:style>
  <w:style w:type="paragraph" w:customStyle="1" w:styleId="xl66">
    <w:name w:val="xl66"/>
    <w:basedOn w:val="Normal"/>
    <w:rsid w:val="00710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i/>
      <w:iCs/>
      <w:sz w:val="14"/>
      <w:szCs w:val="14"/>
      <w:lang w:val="en-US"/>
    </w:rPr>
  </w:style>
  <w:style w:type="paragraph" w:customStyle="1" w:styleId="xl67">
    <w:name w:val="xl67"/>
    <w:basedOn w:val="Normal"/>
    <w:rsid w:val="007104F0"/>
    <w:pPr>
      <w:spacing w:before="100" w:beforeAutospacing="1" w:after="100" w:afterAutospacing="1"/>
      <w:jc w:val="center"/>
      <w:textAlignment w:val="center"/>
    </w:pPr>
    <w:rPr>
      <w:rFonts w:ascii="Times New Roman" w:hAnsi="Times New Roman"/>
      <w:i/>
      <w:iCs/>
      <w:sz w:val="14"/>
      <w:szCs w:val="14"/>
      <w:lang w:val="en-US"/>
    </w:rPr>
  </w:style>
  <w:style w:type="paragraph" w:customStyle="1" w:styleId="xl68">
    <w:name w:val="xl68"/>
    <w:basedOn w:val="Normal"/>
    <w:rsid w:val="00710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lang w:val="en-US"/>
    </w:rPr>
  </w:style>
  <w:style w:type="paragraph" w:customStyle="1" w:styleId="xl69">
    <w:name w:val="xl69"/>
    <w:basedOn w:val="Normal"/>
    <w:rsid w:val="007104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14"/>
      <w:szCs w:val="14"/>
      <w:lang w:val="en-US"/>
    </w:rPr>
  </w:style>
  <w:style w:type="paragraph" w:customStyle="1" w:styleId="xl70">
    <w:name w:val="xl70"/>
    <w:basedOn w:val="Normal"/>
    <w:rsid w:val="007104F0"/>
    <w:pPr>
      <w:spacing w:before="100" w:beforeAutospacing="1" w:after="100" w:afterAutospacing="1"/>
      <w:jc w:val="left"/>
    </w:pPr>
    <w:rPr>
      <w:rFonts w:ascii="Times New Roman" w:hAnsi="Times New Roman"/>
      <w:sz w:val="14"/>
      <w:szCs w:val="14"/>
      <w:lang w:val="en-US"/>
    </w:rPr>
  </w:style>
  <w:style w:type="paragraph" w:customStyle="1" w:styleId="xl71">
    <w:name w:val="xl71"/>
    <w:basedOn w:val="Normal"/>
    <w:rsid w:val="007104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i/>
      <w:iCs/>
      <w:sz w:val="14"/>
      <w:szCs w:val="14"/>
      <w:lang w:val="en-US"/>
    </w:rPr>
  </w:style>
  <w:style w:type="paragraph" w:customStyle="1" w:styleId="xl72">
    <w:name w:val="xl72"/>
    <w:basedOn w:val="Normal"/>
    <w:rsid w:val="007104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4"/>
      <w:szCs w:val="14"/>
      <w:lang w:val="en-US"/>
    </w:rPr>
  </w:style>
  <w:style w:type="paragraph" w:customStyle="1" w:styleId="xl73">
    <w:name w:val="xl73"/>
    <w:basedOn w:val="Normal"/>
    <w:rsid w:val="007104F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14"/>
      <w:szCs w:val="14"/>
      <w:lang w:val="en-US"/>
    </w:rPr>
  </w:style>
  <w:style w:type="paragraph" w:customStyle="1" w:styleId="xl74">
    <w:name w:val="xl74"/>
    <w:basedOn w:val="Normal"/>
    <w:rsid w:val="007104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i/>
      <w:iCs/>
      <w:sz w:val="14"/>
      <w:szCs w:val="14"/>
      <w:lang w:val="en-US"/>
    </w:rPr>
  </w:style>
  <w:style w:type="paragraph" w:customStyle="1" w:styleId="xl75">
    <w:name w:val="xl75"/>
    <w:basedOn w:val="Normal"/>
    <w:rsid w:val="007104F0"/>
    <w:pPr>
      <w:spacing w:before="100" w:beforeAutospacing="1" w:after="100" w:afterAutospacing="1"/>
      <w:jc w:val="center"/>
    </w:pPr>
    <w:rPr>
      <w:rFonts w:ascii="Times New Roman" w:hAnsi="Times New Roman"/>
      <w:sz w:val="14"/>
      <w:szCs w:val="14"/>
      <w:lang w:val="en-US"/>
    </w:rPr>
  </w:style>
  <w:style w:type="paragraph" w:customStyle="1" w:styleId="xl76">
    <w:name w:val="xl76"/>
    <w:basedOn w:val="Normal"/>
    <w:rsid w:val="007104F0"/>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pPr>
    <w:rPr>
      <w:rFonts w:ascii="Times New Roman" w:hAnsi="Times New Roman"/>
      <w:sz w:val="14"/>
      <w:szCs w:val="14"/>
      <w:lang w:val="en-US"/>
    </w:rPr>
  </w:style>
  <w:style w:type="paragraph" w:customStyle="1" w:styleId="xl77">
    <w:name w:val="xl77"/>
    <w:basedOn w:val="Normal"/>
    <w:rsid w:val="007104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4"/>
      <w:szCs w:val="14"/>
      <w:lang w:val="en-US"/>
    </w:rPr>
  </w:style>
  <w:style w:type="paragraph" w:customStyle="1" w:styleId="xl78">
    <w:name w:val="xl78"/>
    <w:basedOn w:val="Normal"/>
    <w:rsid w:val="007104F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olor w:val="FF0000"/>
      <w:sz w:val="14"/>
      <w:szCs w:val="14"/>
      <w:lang w:val="en-US"/>
    </w:rPr>
  </w:style>
  <w:style w:type="paragraph" w:customStyle="1" w:styleId="xl79">
    <w:name w:val="xl79"/>
    <w:basedOn w:val="Normal"/>
    <w:rsid w:val="007104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hAnsi="Times New Roman"/>
      <w:sz w:val="14"/>
      <w:szCs w:val="14"/>
      <w:lang w:val="en-US"/>
    </w:rPr>
  </w:style>
  <w:style w:type="paragraph" w:customStyle="1" w:styleId="xl80">
    <w:name w:val="xl80"/>
    <w:basedOn w:val="Normal"/>
    <w:rsid w:val="00710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sz w:val="14"/>
      <w:szCs w:val="14"/>
      <w:lang w:val="en-US"/>
    </w:rPr>
  </w:style>
  <w:style w:type="paragraph" w:customStyle="1" w:styleId="xl81">
    <w:name w:val="xl81"/>
    <w:basedOn w:val="Normal"/>
    <w:rsid w:val="007104F0"/>
    <w:pPr>
      <w:spacing w:before="100" w:beforeAutospacing="1" w:after="100" w:afterAutospacing="1"/>
      <w:jc w:val="left"/>
    </w:pPr>
    <w:rPr>
      <w:rFonts w:ascii="Times New Roman" w:hAnsi="Times New Roman"/>
      <w:i/>
      <w:iCs/>
      <w:sz w:val="14"/>
      <w:szCs w:val="14"/>
      <w:lang w:val="en-US"/>
    </w:rPr>
  </w:style>
  <w:style w:type="paragraph" w:customStyle="1" w:styleId="xl82">
    <w:name w:val="xl82"/>
    <w:basedOn w:val="Normal"/>
    <w:rsid w:val="00710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4"/>
      <w:szCs w:val="14"/>
      <w:lang w:val="en-US"/>
    </w:rPr>
  </w:style>
  <w:style w:type="paragraph" w:customStyle="1" w:styleId="xl83">
    <w:name w:val="xl83"/>
    <w:basedOn w:val="Normal"/>
    <w:rsid w:val="007104F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14"/>
      <w:szCs w:val="14"/>
      <w:lang w:val="en-US"/>
    </w:rPr>
  </w:style>
  <w:style w:type="paragraph" w:customStyle="1" w:styleId="xl84">
    <w:name w:val="xl84"/>
    <w:basedOn w:val="Normal"/>
    <w:rsid w:val="007104F0"/>
    <w:pPr>
      <w:shd w:val="clear" w:color="000000" w:fill="FFFFFF"/>
      <w:spacing w:before="100" w:beforeAutospacing="1" w:after="100" w:afterAutospacing="1"/>
      <w:jc w:val="left"/>
    </w:pPr>
    <w:rPr>
      <w:rFonts w:ascii="Times New Roman" w:hAnsi="Times New Roman"/>
      <w:sz w:val="14"/>
      <w:szCs w:val="14"/>
      <w:lang w:val="en-US"/>
    </w:rPr>
  </w:style>
  <w:style w:type="paragraph" w:customStyle="1" w:styleId="xl85">
    <w:name w:val="xl85"/>
    <w:basedOn w:val="Normal"/>
    <w:rsid w:val="00710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4"/>
      <w:szCs w:val="14"/>
      <w:lang w:val="en-US"/>
    </w:rPr>
  </w:style>
  <w:style w:type="paragraph" w:customStyle="1" w:styleId="xl86">
    <w:name w:val="xl86"/>
    <w:basedOn w:val="Normal"/>
    <w:rsid w:val="00710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sz w:val="14"/>
      <w:szCs w:val="14"/>
      <w:lang w:val="en-US"/>
    </w:rPr>
  </w:style>
  <w:style w:type="paragraph" w:customStyle="1" w:styleId="xl87">
    <w:name w:val="xl87"/>
    <w:basedOn w:val="Normal"/>
    <w:rsid w:val="007104F0"/>
    <w:pPr>
      <w:shd w:val="clear" w:color="000000" w:fill="EEECE1"/>
      <w:spacing w:before="100" w:beforeAutospacing="1" w:after="100" w:afterAutospacing="1"/>
      <w:jc w:val="left"/>
    </w:pPr>
    <w:rPr>
      <w:rFonts w:ascii="Times New Roman" w:hAnsi="Times New Roman"/>
      <w:sz w:val="14"/>
      <w:szCs w:val="14"/>
      <w:lang w:val="en-US"/>
    </w:rPr>
  </w:style>
  <w:style w:type="paragraph" w:customStyle="1" w:styleId="xl88">
    <w:name w:val="xl88"/>
    <w:basedOn w:val="Normal"/>
    <w:rsid w:val="007104F0"/>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sz w:val="14"/>
      <w:szCs w:val="14"/>
      <w:lang w:val="en-US"/>
    </w:rPr>
  </w:style>
  <w:style w:type="paragraph" w:customStyle="1" w:styleId="xl89">
    <w:name w:val="xl89"/>
    <w:basedOn w:val="Normal"/>
    <w:rsid w:val="007104F0"/>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i/>
      <w:iCs/>
      <w:sz w:val="14"/>
      <w:szCs w:val="14"/>
      <w:lang w:val="en-US"/>
    </w:rPr>
  </w:style>
  <w:style w:type="paragraph" w:customStyle="1" w:styleId="xl90">
    <w:name w:val="xl90"/>
    <w:basedOn w:val="Normal"/>
    <w:rsid w:val="007104F0"/>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left"/>
    </w:pPr>
    <w:rPr>
      <w:rFonts w:ascii="Times New Roman" w:hAnsi="Times New Roman"/>
      <w:sz w:val="14"/>
      <w:szCs w:val="14"/>
      <w:lang w:val="en-US"/>
    </w:rPr>
  </w:style>
  <w:style w:type="paragraph" w:customStyle="1" w:styleId="xl91">
    <w:name w:val="xl91"/>
    <w:basedOn w:val="Normal"/>
    <w:rsid w:val="007104F0"/>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left"/>
    </w:pPr>
    <w:rPr>
      <w:rFonts w:ascii="Times New Roman" w:hAnsi="Times New Roman"/>
      <w:sz w:val="14"/>
      <w:szCs w:val="14"/>
      <w:lang w:val="en-US"/>
    </w:rPr>
  </w:style>
  <w:style w:type="paragraph" w:customStyle="1" w:styleId="xl92">
    <w:name w:val="xl92"/>
    <w:basedOn w:val="Normal"/>
    <w:rsid w:val="007104F0"/>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left"/>
    </w:pPr>
    <w:rPr>
      <w:rFonts w:ascii="Times New Roman" w:hAnsi="Times New Roman"/>
      <w:color w:val="FF0000"/>
      <w:sz w:val="14"/>
      <w:szCs w:val="14"/>
      <w:lang w:val="en-US"/>
    </w:rPr>
  </w:style>
  <w:style w:type="paragraph" w:customStyle="1" w:styleId="xl93">
    <w:name w:val="xl93"/>
    <w:basedOn w:val="Normal"/>
    <w:rsid w:val="007104F0"/>
    <w:pPr>
      <w:shd w:val="clear" w:color="000000" w:fill="EEECE1"/>
      <w:spacing w:before="100" w:beforeAutospacing="1" w:after="100" w:afterAutospacing="1"/>
      <w:jc w:val="center"/>
      <w:textAlignment w:val="center"/>
    </w:pPr>
    <w:rPr>
      <w:rFonts w:ascii="Times New Roman" w:hAnsi="Times New Roman"/>
      <w:sz w:val="14"/>
      <w:szCs w:val="14"/>
      <w:lang w:val="en-US"/>
    </w:rPr>
  </w:style>
  <w:style w:type="paragraph" w:customStyle="1" w:styleId="xl94">
    <w:name w:val="xl94"/>
    <w:basedOn w:val="Normal"/>
    <w:rsid w:val="007104F0"/>
    <w:pPr>
      <w:shd w:val="clear" w:color="000000" w:fill="EEECE1"/>
      <w:spacing w:before="100" w:beforeAutospacing="1" w:after="100" w:afterAutospacing="1"/>
      <w:jc w:val="center"/>
      <w:textAlignment w:val="center"/>
    </w:pPr>
    <w:rPr>
      <w:rFonts w:ascii="Times New Roman" w:hAnsi="Times New Roman"/>
      <w:i/>
      <w:iCs/>
      <w:sz w:val="14"/>
      <w:szCs w:val="14"/>
      <w:lang w:val="en-US"/>
    </w:rPr>
  </w:style>
  <w:style w:type="paragraph" w:customStyle="1" w:styleId="xl95">
    <w:name w:val="xl95"/>
    <w:basedOn w:val="Normal"/>
    <w:rsid w:val="007104F0"/>
    <w:pPr>
      <w:shd w:val="clear" w:color="000000" w:fill="EEECE1"/>
      <w:spacing w:before="100" w:beforeAutospacing="1" w:after="100" w:afterAutospacing="1"/>
      <w:jc w:val="left"/>
    </w:pPr>
    <w:rPr>
      <w:rFonts w:ascii="Times New Roman" w:hAnsi="Times New Roman"/>
      <w:color w:val="FF0000"/>
      <w:sz w:val="14"/>
      <w:szCs w:val="14"/>
      <w:lang w:val="en-US"/>
    </w:rPr>
  </w:style>
  <w:style w:type="paragraph" w:customStyle="1" w:styleId="xl96">
    <w:name w:val="xl96"/>
    <w:basedOn w:val="Normal"/>
    <w:rsid w:val="007104F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Times New Roman" w:hAnsi="Times New Roman"/>
      <w:i/>
      <w:iCs/>
      <w:sz w:val="14"/>
      <w:szCs w:val="14"/>
      <w:lang w:val="en-US"/>
    </w:rPr>
  </w:style>
  <w:style w:type="paragraph" w:customStyle="1" w:styleId="xl97">
    <w:name w:val="xl97"/>
    <w:basedOn w:val="Normal"/>
    <w:rsid w:val="007104F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pPr>
    <w:rPr>
      <w:rFonts w:ascii="Times New Roman" w:hAnsi="Times New Roman"/>
      <w:b/>
      <w:bCs/>
      <w:i/>
      <w:iCs/>
      <w:sz w:val="14"/>
      <w:szCs w:val="14"/>
      <w:lang w:val="en-US"/>
    </w:rPr>
  </w:style>
  <w:style w:type="paragraph" w:customStyle="1" w:styleId="xl98">
    <w:name w:val="xl98"/>
    <w:basedOn w:val="Normal"/>
    <w:rsid w:val="007104F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left"/>
    </w:pPr>
    <w:rPr>
      <w:rFonts w:ascii="Times New Roman" w:hAnsi="Times New Roman"/>
      <w:b/>
      <w:bCs/>
      <w:i/>
      <w:iCs/>
      <w:sz w:val="14"/>
      <w:szCs w:val="14"/>
      <w:lang w:val="en-US"/>
    </w:rPr>
  </w:style>
  <w:style w:type="paragraph" w:customStyle="1" w:styleId="xl99">
    <w:name w:val="xl99"/>
    <w:basedOn w:val="Normal"/>
    <w:rsid w:val="007104F0"/>
    <w:pPr>
      <w:shd w:val="clear" w:color="000000" w:fill="D8D8D8"/>
      <w:spacing w:before="100" w:beforeAutospacing="1" w:after="100" w:afterAutospacing="1"/>
      <w:jc w:val="left"/>
    </w:pPr>
    <w:rPr>
      <w:rFonts w:ascii="Times New Roman" w:hAnsi="Times New Roman"/>
      <w:i/>
      <w:iCs/>
      <w:sz w:val="14"/>
      <w:szCs w:val="14"/>
      <w:lang w:val="en-US"/>
    </w:rPr>
  </w:style>
  <w:style w:type="paragraph" w:customStyle="1" w:styleId="xl100">
    <w:name w:val="xl100"/>
    <w:basedOn w:val="Normal"/>
    <w:rsid w:val="007104F0"/>
    <w:pPr>
      <w:pBdr>
        <w:top w:val="single" w:sz="4" w:space="0" w:color="auto"/>
        <w:left w:val="single" w:sz="4" w:space="0" w:color="auto"/>
        <w:bottom w:val="single" w:sz="4" w:space="0" w:color="auto"/>
      </w:pBdr>
      <w:shd w:val="clear" w:color="000000" w:fill="D8D8D8"/>
      <w:spacing w:before="100" w:beforeAutospacing="1" w:after="100" w:afterAutospacing="1"/>
      <w:jc w:val="left"/>
    </w:pPr>
    <w:rPr>
      <w:rFonts w:ascii="Times New Roman" w:hAnsi="Times New Roman"/>
      <w:b/>
      <w:bCs/>
      <w:i/>
      <w:iCs/>
      <w:sz w:val="14"/>
      <w:szCs w:val="14"/>
      <w:lang w:val="en-US"/>
    </w:rPr>
  </w:style>
  <w:style w:type="paragraph" w:customStyle="1" w:styleId="xl101">
    <w:name w:val="xl101"/>
    <w:basedOn w:val="Normal"/>
    <w:rsid w:val="007104F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Times New Roman" w:hAnsi="Times New Roman"/>
      <w:sz w:val="14"/>
      <w:szCs w:val="14"/>
      <w:lang w:val="en-US"/>
    </w:rPr>
  </w:style>
  <w:style w:type="paragraph" w:customStyle="1" w:styleId="xl102">
    <w:name w:val="xl102"/>
    <w:basedOn w:val="Normal"/>
    <w:rsid w:val="007104F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Times New Roman" w:hAnsi="Times New Roman"/>
      <w:b/>
      <w:bCs/>
      <w:sz w:val="14"/>
      <w:szCs w:val="14"/>
      <w:lang w:val="en-US"/>
    </w:rPr>
  </w:style>
  <w:style w:type="paragraph" w:customStyle="1" w:styleId="xl103">
    <w:name w:val="xl103"/>
    <w:basedOn w:val="Normal"/>
    <w:rsid w:val="007104F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pPr>
    <w:rPr>
      <w:rFonts w:ascii="Times New Roman" w:hAnsi="Times New Roman"/>
      <w:b/>
      <w:bCs/>
      <w:sz w:val="14"/>
      <w:szCs w:val="14"/>
      <w:lang w:val="en-US"/>
    </w:rPr>
  </w:style>
  <w:style w:type="paragraph" w:customStyle="1" w:styleId="xl104">
    <w:name w:val="xl104"/>
    <w:basedOn w:val="Normal"/>
    <w:rsid w:val="007104F0"/>
    <w:pPr>
      <w:shd w:val="clear" w:color="000000" w:fill="BFBFBF"/>
      <w:spacing w:before="100" w:beforeAutospacing="1" w:after="100" w:afterAutospacing="1"/>
      <w:jc w:val="left"/>
    </w:pPr>
    <w:rPr>
      <w:rFonts w:ascii="Times New Roman" w:hAnsi="Times New Roman"/>
      <w:sz w:val="14"/>
      <w:szCs w:val="14"/>
      <w:lang w:val="en-US"/>
    </w:rPr>
  </w:style>
  <w:style w:type="paragraph" w:customStyle="1" w:styleId="xl105">
    <w:name w:val="xl105"/>
    <w:basedOn w:val="Normal"/>
    <w:rsid w:val="007104F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pPr>
    <w:rPr>
      <w:rFonts w:ascii="Times New Roman" w:hAnsi="Times New Roman"/>
      <w:b/>
      <w:bCs/>
      <w:i/>
      <w:iCs/>
      <w:sz w:val="14"/>
      <w:szCs w:val="14"/>
      <w:lang w:val="en-US"/>
    </w:rPr>
  </w:style>
  <w:style w:type="paragraph" w:customStyle="1" w:styleId="xl106">
    <w:name w:val="xl106"/>
    <w:basedOn w:val="Normal"/>
    <w:rsid w:val="007104F0"/>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Times New Roman" w:hAnsi="Times New Roman"/>
      <w:sz w:val="14"/>
      <w:szCs w:val="14"/>
      <w:lang w:val="en-US"/>
    </w:rPr>
  </w:style>
  <w:style w:type="paragraph" w:customStyle="1" w:styleId="xl107">
    <w:name w:val="xl107"/>
    <w:basedOn w:val="Normal"/>
    <w:rsid w:val="007104F0"/>
    <w:pPr>
      <w:pBdr>
        <w:top w:val="single" w:sz="4" w:space="0" w:color="auto"/>
        <w:left w:val="single" w:sz="4" w:space="0" w:color="auto"/>
        <w:right w:val="single" w:sz="4" w:space="0" w:color="auto"/>
      </w:pBdr>
      <w:shd w:val="clear" w:color="000000" w:fill="BFBFBF"/>
      <w:spacing w:before="100" w:beforeAutospacing="1" w:after="100" w:afterAutospacing="1"/>
      <w:jc w:val="right"/>
    </w:pPr>
    <w:rPr>
      <w:rFonts w:ascii="Times New Roman" w:hAnsi="Times New Roman"/>
      <w:b/>
      <w:bCs/>
      <w:sz w:val="14"/>
      <w:szCs w:val="14"/>
      <w:lang w:val="en-US"/>
    </w:rPr>
  </w:style>
  <w:style w:type="paragraph" w:customStyle="1" w:styleId="xl108">
    <w:name w:val="xl108"/>
    <w:basedOn w:val="Normal"/>
    <w:rsid w:val="007104F0"/>
    <w:pPr>
      <w:pBdr>
        <w:top w:val="single" w:sz="4" w:space="0" w:color="auto"/>
        <w:left w:val="single" w:sz="4" w:space="0" w:color="auto"/>
        <w:right w:val="single" w:sz="4" w:space="0" w:color="auto"/>
      </w:pBdr>
      <w:shd w:val="clear" w:color="000000" w:fill="BFBFBF"/>
      <w:spacing w:before="100" w:beforeAutospacing="1" w:after="100" w:afterAutospacing="1"/>
      <w:jc w:val="left"/>
    </w:pPr>
    <w:rPr>
      <w:rFonts w:ascii="Times New Roman" w:hAnsi="Times New Roman"/>
      <w:b/>
      <w:bCs/>
      <w:sz w:val="14"/>
      <w:szCs w:val="14"/>
      <w:lang w:val="en-US"/>
    </w:rPr>
  </w:style>
  <w:style w:type="paragraph" w:customStyle="1" w:styleId="xl109">
    <w:name w:val="xl109"/>
    <w:basedOn w:val="Normal"/>
    <w:rsid w:val="007104F0"/>
    <w:pPr>
      <w:pBdr>
        <w:top w:val="single" w:sz="4" w:space="0" w:color="auto"/>
        <w:left w:val="single" w:sz="4" w:space="0" w:color="auto"/>
        <w:bottom w:val="single" w:sz="4" w:space="0" w:color="auto"/>
      </w:pBdr>
      <w:shd w:val="clear" w:color="000000" w:fill="CCC0DA"/>
      <w:spacing w:before="100" w:beforeAutospacing="1" w:after="100" w:afterAutospacing="1"/>
      <w:jc w:val="center"/>
    </w:pPr>
    <w:rPr>
      <w:rFonts w:ascii="Times New Roman" w:hAnsi="Times New Roman"/>
      <w:sz w:val="14"/>
      <w:szCs w:val="14"/>
      <w:lang w:val="en-US"/>
    </w:rPr>
  </w:style>
  <w:style w:type="paragraph" w:customStyle="1" w:styleId="xl110">
    <w:name w:val="xl110"/>
    <w:basedOn w:val="Normal"/>
    <w:rsid w:val="007104F0"/>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left"/>
    </w:pPr>
    <w:rPr>
      <w:rFonts w:ascii="Times New Roman" w:hAnsi="Times New Roman"/>
      <w:b/>
      <w:bCs/>
      <w:sz w:val="18"/>
      <w:szCs w:val="18"/>
      <w:lang w:val="en-US"/>
    </w:rPr>
  </w:style>
  <w:style w:type="paragraph" w:customStyle="1" w:styleId="xl111">
    <w:name w:val="xl111"/>
    <w:basedOn w:val="Normal"/>
    <w:rsid w:val="007104F0"/>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left"/>
    </w:pPr>
    <w:rPr>
      <w:rFonts w:ascii="Times New Roman" w:hAnsi="Times New Roman"/>
      <w:sz w:val="14"/>
      <w:szCs w:val="14"/>
      <w:lang w:val="en-US"/>
    </w:rPr>
  </w:style>
  <w:style w:type="paragraph" w:customStyle="1" w:styleId="xl112">
    <w:name w:val="xl112"/>
    <w:basedOn w:val="Normal"/>
    <w:rsid w:val="00710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4"/>
      <w:szCs w:val="14"/>
      <w:lang w:val="en-US"/>
    </w:rPr>
  </w:style>
  <w:style w:type="paragraph" w:customStyle="1" w:styleId="Tekst">
    <w:name w:val="Tekst"/>
    <w:basedOn w:val="Normal"/>
    <w:link w:val="TekstChar"/>
    <w:rsid w:val="007104F0"/>
    <w:pPr>
      <w:spacing w:after="120"/>
    </w:pPr>
    <w:rPr>
      <w:rFonts w:ascii="Tahoma" w:hAnsi="Tahoma"/>
      <w:sz w:val="22"/>
      <w:szCs w:val="22"/>
      <w:lang w:val="sr-Latn-CS" w:eastAsia="x-none"/>
    </w:rPr>
  </w:style>
  <w:style w:type="character" w:customStyle="1" w:styleId="TekstChar">
    <w:name w:val="Tekst Char"/>
    <w:link w:val="Tekst"/>
    <w:rsid w:val="007104F0"/>
    <w:rPr>
      <w:rFonts w:ascii="Tahoma" w:eastAsia="Times New Roman" w:hAnsi="Tahoma" w:cs="Times New Roman"/>
      <w:lang w:val="sr-Latn-CS" w:eastAsia="x-none"/>
    </w:rPr>
  </w:style>
  <w:style w:type="paragraph" w:customStyle="1" w:styleId="1">
    <w:name w:val="Текст 1"/>
    <w:basedOn w:val="Normal"/>
    <w:rsid w:val="007104F0"/>
    <w:pPr>
      <w:tabs>
        <w:tab w:val="left" w:pos="1418"/>
      </w:tabs>
      <w:spacing w:after="120"/>
    </w:pPr>
    <w:rPr>
      <w:rFonts w:ascii="Tahoma" w:hAnsi="Tahoma" w:cs="Tahoma"/>
      <w:sz w:val="22"/>
      <w:szCs w:val="22"/>
      <w:lang w:val="ru-RU"/>
    </w:rPr>
  </w:style>
  <w:style w:type="paragraph" w:customStyle="1" w:styleId="CharCharCharChar8">
    <w:name w:val="Char Char Char Char8"/>
    <w:basedOn w:val="Normal"/>
    <w:rsid w:val="007104F0"/>
    <w:pPr>
      <w:spacing w:after="160" w:line="240" w:lineRule="exact"/>
      <w:jc w:val="left"/>
    </w:pPr>
    <w:rPr>
      <w:rFonts w:ascii="Verdana" w:hAnsi="Verdana"/>
      <w:sz w:val="20"/>
      <w:szCs w:val="24"/>
      <w:lang w:val="en-US"/>
    </w:rPr>
  </w:style>
  <w:style w:type="paragraph" w:customStyle="1" w:styleId="Normal2">
    <w:name w:val="Normal2"/>
    <w:basedOn w:val="Normal"/>
    <w:rsid w:val="007104F0"/>
    <w:pPr>
      <w:spacing w:before="100" w:beforeAutospacing="1" w:after="100" w:afterAutospacing="1"/>
      <w:jc w:val="left"/>
    </w:pPr>
    <w:rPr>
      <w:rFonts w:ascii="Arial" w:hAnsi="Arial" w:cs="Arial"/>
      <w:sz w:val="22"/>
      <w:szCs w:val="22"/>
      <w:lang w:val="sr-Latn-CS" w:eastAsia="sr-Latn-CS"/>
    </w:rPr>
  </w:style>
  <w:style w:type="paragraph" w:customStyle="1" w:styleId="Char1">
    <w:name w:val="Char1"/>
    <w:basedOn w:val="Normal"/>
    <w:rsid w:val="007104F0"/>
    <w:pPr>
      <w:spacing w:after="160" w:line="240" w:lineRule="exact"/>
      <w:jc w:val="left"/>
    </w:pPr>
    <w:rPr>
      <w:rFonts w:ascii="Verdana" w:hAnsi="Verdana"/>
      <w:sz w:val="20"/>
      <w:szCs w:val="24"/>
      <w:lang w:val="en-US"/>
    </w:rPr>
  </w:style>
  <w:style w:type="paragraph" w:customStyle="1" w:styleId="CharChar4">
    <w:name w:val="Char Char4"/>
    <w:basedOn w:val="Normal"/>
    <w:link w:val="CharCharChar12"/>
    <w:rsid w:val="007104F0"/>
    <w:pPr>
      <w:spacing w:after="160" w:line="240" w:lineRule="exact"/>
      <w:jc w:val="left"/>
    </w:pPr>
    <w:rPr>
      <w:rFonts w:ascii="Verdana" w:hAnsi="Verdana"/>
      <w:sz w:val="20"/>
      <w:lang w:val="x-none" w:eastAsia="x-none"/>
    </w:rPr>
  </w:style>
  <w:style w:type="character" w:customStyle="1" w:styleId="CharCharChar12">
    <w:name w:val="Char Char Char12"/>
    <w:link w:val="CharChar4"/>
    <w:rsid w:val="007104F0"/>
    <w:rPr>
      <w:rFonts w:ascii="Verdana" w:eastAsia="Times New Roman" w:hAnsi="Verdana" w:cs="Times New Roman"/>
      <w:sz w:val="20"/>
      <w:szCs w:val="20"/>
      <w:lang w:val="x-none" w:eastAsia="x-none"/>
    </w:rPr>
  </w:style>
  <w:style w:type="paragraph" w:customStyle="1" w:styleId="CharCharCharCharCharCharCharCharCharCharCharCharCharCharCharCharCharCharChar1">
    <w:name w:val="Char Char Char Char Char Char Char Char Char Char Char Char Char Char Char Char Char Char Char1"/>
    <w:basedOn w:val="Normal"/>
    <w:rsid w:val="007104F0"/>
    <w:pPr>
      <w:spacing w:after="160" w:line="240" w:lineRule="exact"/>
      <w:jc w:val="left"/>
    </w:pPr>
    <w:rPr>
      <w:rFonts w:ascii="Verdana" w:hAnsi="Verdana"/>
      <w:sz w:val="20"/>
      <w:szCs w:val="24"/>
      <w:lang w:val="en-US"/>
    </w:rPr>
  </w:style>
  <w:style w:type="paragraph" w:customStyle="1" w:styleId="CharChar2CharCharCharChar1">
    <w:name w:val="Char Char2 Char Char Char Char1"/>
    <w:basedOn w:val="Normal"/>
    <w:rsid w:val="007104F0"/>
    <w:pPr>
      <w:tabs>
        <w:tab w:val="left" w:pos="709"/>
      </w:tabs>
      <w:jc w:val="left"/>
    </w:pPr>
    <w:rPr>
      <w:rFonts w:ascii="Arial Narrow" w:hAnsi="Arial Narrow"/>
      <w:b/>
      <w:sz w:val="26"/>
      <w:szCs w:val="24"/>
      <w:lang w:val="pl-PL" w:eastAsia="pl-PL"/>
    </w:rPr>
  </w:style>
  <w:style w:type="paragraph" w:customStyle="1" w:styleId="CharCharCharCharChar2">
    <w:name w:val="Char Char Char Char Char2"/>
    <w:basedOn w:val="Normal"/>
    <w:link w:val="CharCharCharCharCharChar11"/>
    <w:rsid w:val="007104F0"/>
    <w:pPr>
      <w:spacing w:after="160" w:line="240" w:lineRule="exact"/>
      <w:jc w:val="left"/>
    </w:pPr>
    <w:rPr>
      <w:rFonts w:ascii="Verdana" w:hAnsi="Verdana"/>
      <w:sz w:val="20"/>
      <w:lang w:val="x-none" w:eastAsia="x-none"/>
    </w:rPr>
  </w:style>
  <w:style w:type="character" w:customStyle="1" w:styleId="CharCharCharCharCharChar11">
    <w:name w:val="Char Char Char Char Char Char11"/>
    <w:link w:val="CharCharCharCharChar2"/>
    <w:rsid w:val="007104F0"/>
    <w:rPr>
      <w:rFonts w:ascii="Verdana" w:eastAsia="Times New Roman" w:hAnsi="Verdana" w:cs="Times New Roman"/>
      <w:sz w:val="20"/>
      <w:szCs w:val="20"/>
      <w:lang w:val="x-none" w:eastAsia="x-none"/>
    </w:rPr>
  </w:style>
  <w:style w:type="paragraph" w:customStyle="1" w:styleId="CharCharCharCharCharCharCharCharCharCharCharCharChar1">
    <w:name w:val="Char Char Char Char Char Char Char Char Char Char Char Char Char1"/>
    <w:basedOn w:val="Normal"/>
    <w:rsid w:val="007104F0"/>
    <w:pPr>
      <w:spacing w:after="160" w:line="240" w:lineRule="exact"/>
      <w:jc w:val="left"/>
    </w:pPr>
    <w:rPr>
      <w:rFonts w:ascii="Verdana" w:hAnsi="Verdana"/>
      <w:sz w:val="20"/>
      <w:szCs w:val="24"/>
      <w:lang w:val="en-US"/>
    </w:rPr>
  </w:style>
  <w:style w:type="character" w:customStyle="1" w:styleId="CharCharChar5">
    <w:name w:val="Char Char Char5"/>
    <w:rsid w:val="007104F0"/>
    <w:rPr>
      <w:sz w:val="24"/>
      <w:lang w:val="sr-Cyrl-CS" w:eastAsia="en-US" w:bidi="ar-SA"/>
    </w:rPr>
  </w:style>
  <w:style w:type="character" w:customStyle="1" w:styleId="CharChar31">
    <w:name w:val="Char Char31"/>
    <w:rsid w:val="007104F0"/>
    <w:rPr>
      <w:sz w:val="24"/>
      <w:lang w:val="sr-Cyrl-CS" w:eastAsia="en-US" w:bidi="ar-SA"/>
    </w:rPr>
  </w:style>
  <w:style w:type="paragraph" w:customStyle="1" w:styleId="CharCharCharCharCharCharCharCharCharCharCharCharCharCharCharCharCharCharCharCharCharCharCharCharChar11">
    <w:name w:val="Char Char Char Char Char Char Char Char Char Char Char Char Char Char Char Char Char Char Char Char Char Char Char Char Char11"/>
    <w:basedOn w:val="Normal"/>
    <w:rsid w:val="007104F0"/>
    <w:pPr>
      <w:tabs>
        <w:tab w:val="left" w:pos="709"/>
      </w:tabs>
      <w:jc w:val="left"/>
    </w:pPr>
    <w:rPr>
      <w:rFonts w:ascii="Arial Narrow" w:hAnsi="Arial Narrow"/>
      <w:b/>
      <w:sz w:val="26"/>
      <w:szCs w:val="24"/>
      <w:lang w:val="pl-PL" w:eastAsia="pl-PL"/>
    </w:rPr>
  </w:style>
  <w:style w:type="character" w:customStyle="1" w:styleId="CharChar21">
    <w:name w:val="Char Char21"/>
    <w:rsid w:val="007104F0"/>
    <w:rPr>
      <w:rFonts w:ascii="Times New Roman" w:eastAsia="Times New Roman" w:hAnsi="Times New Roman" w:cs="Times New Roman"/>
      <w:sz w:val="24"/>
      <w:szCs w:val="20"/>
    </w:rPr>
  </w:style>
  <w:style w:type="paragraph" w:customStyle="1" w:styleId="CharCharCharCharCharCharCharCharCharChar4">
    <w:name w:val="Char Char Char Char Char Char Char Char Char Char4"/>
    <w:basedOn w:val="Normal"/>
    <w:link w:val="CharCharCharCharCharCharCharCharCharCharChar1"/>
    <w:rsid w:val="007104F0"/>
    <w:pPr>
      <w:spacing w:after="160" w:line="240" w:lineRule="exact"/>
      <w:jc w:val="left"/>
    </w:pPr>
    <w:rPr>
      <w:rFonts w:ascii="Tahoma" w:hAnsi="Tahoma"/>
      <w:sz w:val="20"/>
      <w:lang w:val="x-none" w:eastAsia="x-none"/>
    </w:rPr>
  </w:style>
  <w:style w:type="character" w:customStyle="1" w:styleId="CharCharCharCharCharCharCharCharCharCharChar1">
    <w:name w:val="Char Char Char Char Char Char Char Char Char Char Char1"/>
    <w:link w:val="CharCharCharCharCharCharCharCharCharChar4"/>
    <w:rsid w:val="007104F0"/>
    <w:rPr>
      <w:rFonts w:ascii="Tahoma" w:eastAsia="Times New Roman" w:hAnsi="Tahoma" w:cs="Times New Roman"/>
      <w:sz w:val="20"/>
      <w:szCs w:val="20"/>
      <w:lang w:val="x-none" w:eastAsia="x-none"/>
    </w:rPr>
  </w:style>
  <w:style w:type="paragraph" w:customStyle="1" w:styleId="CharCharCharCharCharCharCharChar2">
    <w:name w:val="Char Char Char Char Char Char Char Char2"/>
    <w:basedOn w:val="Normal"/>
    <w:rsid w:val="007104F0"/>
    <w:pPr>
      <w:spacing w:after="160" w:line="240" w:lineRule="exact"/>
      <w:jc w:val="left"/>
    </w:pPr>
    <w:rPr>
      <w:rFonts w:ascii="Verdana" w:hAnsi="Verdana"/>
      <w:sz w:val="20"/>
      <w:szCs w:val="24"/>
      <w:lang w:val="en-US"/>
    </w:rPr>
  </w:style>
  <w:style w:type="paragraph" w:customStyle="1" w:styleId="CharCharCharCharCharCharCharCharCharChar13">
    <w:name w:val="Char Char Char Char Char Char Char Char Char Char13"/>
    <w:basedOn w:val="Normal"/>
    <w:rsid w:val="007104F0"/>
    <w:pPr>
      <w:spacing w:after="160" w:line="240" w:lineRule="exact"/>
      <w:jc w:val="left"/>
    </w:pPr>
    <w:rPr>
      <w:rFonts w:ascii="Tahoma" w:hAnsi="Tahoma"/>
      <w:sz w:val="20"/>
      <w:szCs w:val="24"/>
      <w:lang w:val="en-US"/>
    </w:rPr>
  </w:style>
  <w:style w:type="paragraph" w:customStyle="1" w:styleId="CharCharCharCharCharCharChar2">
    <w:name w:val="Char Char Char Char Char Char Char2"/>
    <w:basedOn w:val="Normal"/>
    <w:rsid w:val="007104F0"/>
    <w:pPr>
      <w:spacing w:after="160" w:line="240" w:lineRule="exact"/>
      <w:jc w:val="left"/>
    </w:pPr>
    <w:rPr>
      <w:rFonts w:ascii="Tahoma" w:hAnsi="Tahoma"/>
      <w:sz w:val="20"/>
      <w:szCs w:val="24"/>
      <w:lang w:val="en-US"/>
    </w:rPr>
  </w:style>
  <w:style w:type="paragraph" w:customStyle="1" w:styleId="CharCharCharCharCharCharCharCharCharCharCharChar2">
    <w:name w:val="Char Char Char Char Char Char Char Char Char Char Char Char2"/>
    <w:basedOn w:val="Normal"/>
    <w:rsid w:val="007104F0"/>
    <w:pPr>
      <w:spacing w:after="160" w:line="240" w:lineRule="exact"/>
      <w:jc w:val="left"/>
    </w:pPr>
    <w:rPr>
      <w:rFonts w:ascii="Tahoma" w:hAnsi="Tahoma"/>
      <w:sz w:val="20"/>
      <w:szCs w:val="24"/>
      <w:lang w:val="en-US"/>
    </w:rPr>
  </w:style>
  <w:style w:type="paragraph" w:customStyle="1" w:styleId="CharCharCharCharCharCharCharCharCharCharCharCharCharCharChar1">
    <w:name w:val="Char Char Char Char Char Char Char Char Char Char Char Char Char Char Char1"/>
    <w:basedOn w:val="Normal"/>
    <w:rsid w:val="007104F0"/>
    <w:pPr>
      <w:spacing w:after="160" w:line="240" w:lineRule="exact"/>
      <w:jc w:val="left"/>
    </w:pPr>
    <w:rPr>
      <w:rFonts w:ascii="Tahoma" w:hAnsi="Tahoma" w:cs="Tahoma"/>
      <w:sz w:val="20"/>
      <w:szCs w:val="24"/>
      <w:lang w:val="en-US"/>
    </w:rPr>
  </w:style>
  <w:style w:type="numbering" w:customStyle="1" w:styleId="NoList1">
    <w:name w:val="No List1"/>
    <w:next w:val="NoList"/>
    <w:uiPriority w:val="99"/>
    <w:semiHidden/>
    <w:unhideWhenUsed/>
    <w:rsid w:val="007104F0"/>
  </w:style>
  <w:style w:type="numbering" w:customStyle="1" w:styleId="NoList2">
    <w:name w:val="No List2"/>
    <w:next w:val="NoList"/>
    <w:uiPriority w:val="99"/>
    <w:semiHidden/>
    <w:unhideWhenUsed/>
    <w:rsid w:val="007104F0"/>
  </w:style>
  <w:style w:type="paragraph" w:customStyle="1" w:styleId="SM">
    <w:name w:val="SM"/>
    <w:basedOn w:val="Normal"/>
    <w:rsid w:val="007104F0"/>
    <w:pPr>
      <w:tabs>
        <w:tab w:val="left" w:pos="1418"/>
      </w:tabs>
    </w:pPr>
    <w:rPr>
      <w:rFonts w:cs="CTimesRoman"/>
      <w:szCs w:val="24"/>
    </w:rPr>
  </w:style>
  <w:style w:type="paragraph" w:customStyle="1" w:styleId="CharCharCharCharChar1">
    <w:name w:val="Char Char Char Char Char1"/>
    <w:basedOn w:val="Normal"/>
    <w:rsid w:val="007104F0"/>
    <w:pPr>
      <w:spacing w:after="160" w:line="240" w:lineRule="exact"/>
      <w:jc w:val="left"/>
    </w:pPr>
    <w:rPr>
      <w:rFonts w:ascii="Verdana" w:hAnsi="Verdana" w:cs="Verdana"/>
      <w:sz w:val="20"/>
      <w:lang w:val="en-US"/>
    </w:rPr>
  </w:style>
  <w:style w:type="paragraph" w:customStyle="1" w:styleId="CharCharChar3">
    <w:name w:val="Char Char Char3"/>
    <w:basedOn w:val="Normal"/>
    <w:rsid w:val="007104F0"/>
    <w:pPr>
      <w:tabs>
        <w:tab w:val="left" w:pos="567"/>
      </w:tabs>
      <w:spacing w:before="120" w:after="160" w:line="240" w:lineRule="exact"/>
      <w:ind w:left="1584" w:hanging="504"/>
      <w:jc w:val="left"/>
    </w:pPr>
    <w:rPr>
      <w:rFonts w:ascii="Arial" w:hAnsi="Arial" w:cs="Arial"/>
      <w:b/>
      <w:bCs/>
      <w:color w:val="000000"/>
      <w:szCs w:val="24"/>
      <w:lang w:val="en-US"/>
    </w:rPr>
  </w:style>
  <w:style w:type="paragraph" w:customStyle="1" w:styleId="CharCharCharChar6">
    <w:name w:val="Char Char Char Char6"/>
    <w:basedOn w:val="Normal"/>
    <w:rsid w:val="007104F0"/>
    <w:pPr>
      <w:spacing w:after="160" w:line="240" w:lineRule="exact"/>
      <w:jc w:val="left"/>
    </w:pPr>
    <w:rPr>
      <w:rFonts w:ascii="Tahoma" w:hAnsi="Tahoma" w:cs="Tahoma"/>
      <w:sz w:val="20"/>
      <w:lang w:val="en-US"/>
    </w:rPr>
  </w:style>
  <w:style w:type="paragraph" w:customStyle="1" w:styleId="CharCharCharCharCharCharCharChar1">
    <w:name w:val="Char Char Char Char Char Char Char Char1"/>
    <w:basedOn w:val="Normal"/>
    <w:rsid w:val="007104F0"/>
    <w:pPr>
      <w:spacing w:after="160" w:line="240" w:lineRule="exact"/>
      <w:jc w:val="left"/>
    </w:pPr>
    <w:rPr>
      <w:rFonts w:ascii="Verdana" w:hAnsi="Verdana" w:cs="Verdana"/>
      <w:sz w:val="20"/>
      <w:lang w:val="en-US"/>
    </w:rPr>
  </w:style>
  <w:style w:type="paragraph" w:customStyle="1" w:styleId="CharCharCharCharCharCharCharCharCharChar11">
    <w:name w:val="Char Char Char Char Char Char Char Char Char Char11"/>
    <w:basedOn w:val="Normal"/>
    <w:rsid w:val="007104F0"/>
    <w:pPr>
      <w:spacing w:after="160" w:line="240" w:lineRule="exact"/>
      <w:jc w:val="left"/>
    </w:pPr>
    <w:rPr>
      <w:rFonts w:ascii="Tahoma" w:hAnsi="Tahoma" w:cs="Tahoma"/>
      <w:sz w:val="20"/>
      <w:lang w:val="en-US"/>
    </w:rPr>
  </w:style>
  <w:style w:type="paragraph" w:customStyle="1" w:styleId="CharCharCharCharCharCharCharCharCharChar2">
    <w:name w:val="Char Char Char Char Char Char Char Char Char Char2"/>
    <w:basedOn w:val="Normal"/>
    <w:rsid w:val="007104F0"/>
    <w:pPr>
      <w:spacing w:after="160" w:line="240" w:lineRule="exact"/>
      <w:jc w:val="left"/>
    </w:pPr>
    <w:rPr>
      <w:rFonts w:ascii="Tahoma" w:hAnsi="Tahoma" w:cs="Tahoma"/>
      <w:sz w:val="20"/>
      <w:lang w:val="en-US"/>
    </w:rPr>
  </w:style>
  <w:style w:type="character" w:customStyle="1" w:styleId="rvts3">
    <w:name w:val="rvts3"/>
    <w:rsid w:val="007104F0"/>
    <w:rPr>
      <w:color w:val="000000"/>
      <w:sz w:val="20"/>
      <w:szCs w:val="20"/>
    </w:rPr>
  </w:style>
  <w:style w:type="paragraph" w:customStyle="1" w:styleId="CharCharCharChar5">
    <w:name w:val="Char Char Char Char5"/>
    <w:basedOn w:val="Normal"/>
    <w:rsid w:val="007104F0"/>
    <w:pPr>
      <w:spacing w:after="160" w:line="240" w:lineRule="exact"/>
      <w:jc w:val="left"/>
    </w:pPr>
    <w:rPr>
      <w:rFonts w:ascii="Verdana" w:hAnsi="Verdana" w:cs="Verdana"/>
      <w:sz w:val="20"/>
      <w:lang w:val="en-US"/>
    </w:rPr>
  </w:style>
  <w:style w:type="character" w:customStyle="1" w:styleId="CharCharChar2">
    <w:name w:val="Char Char Char2"/>
    <w:rsid w:val="007104F0"/>
    <w:rPr>
      <w:sz w:val="24"/>
      <w:szCs w:val="24"/>
      <w:lang w:val="sr-Cyrl-CS" w:eastAsia="en-US"/>
    </w:rPr>
  </w:style>
  <w:style w:type="paragraph" w:customStyle="1" w:styleId="CharCharCharChar7">
    <w:name w:val="Char Char Char Char7"/>
    <w:basedOn w:val="Normal"/>
    <w:uiPriority w:val="99"/>
    <w:rsid w:val="007104F0"/>
    <w:pPr>
      <w:spacing w:after="160" w:line="240" w:lineRule="exact"/>
      <w:jc w:val="left"/>
    </w:pPr>
    <w:rPr>
      <w:rFonts w:ascii="Tahoma" w:hAnsi="Tahoma" w:cs="Tahoma"/>
      <w:sz w:val="20"/>
      <w:lang w:val="en-US"/>
    </w:rPr>
  </w:style>
  <w:style w:type="paragraph" w:customStyle="1" w:styleId="CharCharCharCharCharCharCharCharCharChar3">
    <w:name w:val="Char Char Char Char Char Char Char Char Char Char3"/>
    <w:basedOn w:val="Normal"/>
    <w:uiPriority w:val="99"/>
    <w:rsid w:val="007104F0"/>
    <w:pPr>
      <w:spacing w:after="160" w:line="240" w:lineRule="exact"/>
      <w:jc w:val="left"/>
    </w:pPr>
    <w:rPr>
      <w:rFonts w:ascii="Tahoma" w:hAnsi="Tahoma" w:cs="Tahoma"/>
      <w:sz w:val="20"/>
      <w:lang w:val="en-US"/>
    </w:rPr>
  </w:style>
  <w:style w:type="paragraph" w:customStyle="1" w:styleId="CharCharCharCharCharCharCharCharCharChar12">
    <w:name w:val="Char Char Char Char Char Char Char Char Char Char12"/>
    <w:basedOn w:val="Normal"/>
    <w:uiPriority w:val="99"/>
    <w:rsid w:val="007104F0"/>
    <w:pPr>
      <w:spacing w:after="160" w:line="240" w:lineRule="exact"/>
      <w:jc w:val="left"/>
    </w:pPr>
    <w:rPr>
      <w:rFonts w:ascii="Tahoma" w:hAnsi="Tahoma" w:cs="Tahoma"/>
      <w:sz w:val="20"/>
      <w:lang w:val="en-US"/>
    </w:rPr>
  </w:style>
  <w:style w:type="character" w:customStyle="1" w:styleId="FootnoteTextCharCharCharCharCharCharCharCharChar">
    <w:name w:val="Footnote Text Char Char Char Char Char Char Char Char Char"/>
    <w:semiHidden/>
    <w:rsid w:val="007104F0"/>
    <w:rPr>
      <w:lang w:val="de-DE"/>
    </w:rPr>
  </w:style>
  <w:style w:type="paragraph" w:customStyle="1" w:styleId="CharCharCharCharCharCharChar1">
    <w:name w:val="Char Char Char Char Char Char Char1"/>
    <w:basedOn w:val="Normal"/>
    <w:uiPriority w:val="99"/>
    <w:rsid w:val="007104F0"/>
    <w:pPr>
      <w:spacing w:after="160" w:line="240" w:lineRule="exact"/>
      <w:jc w:val="left"/>
    </w:pPr>
    <w:rPr>
      <w:rFonts w:ascii="Tahoma" w:hAnsi="Tahoma" w:cs="Tahoma"/>
      <w:sz w:val="20"/>
      <w:lang w:val="en-US"/>
    </w:rPr>
  </w:style>
  <w:style w:type="paragraph" w:customStyle="1" w:styleId="CharCharChar11">
    <w:name w:val="Char Char Char11"/>
    <w:basedOn w:val="Normal"/>
    <w:uiPriority w:val="99"/>
    <w:rsid w:val="007104F0"/>
    <w:pPr>
      <w:spacing w:after="160" w:line="240" w:lineRule="exact"/>
      <w:jc w:val="left"/>
    </w:pPr>
    <w:rPr>
      <w:rFonts w:ascii="Tahoma" w:hAnsi="Tahoma" w:cs="Tahoma"/>
      <w:sz w:val="20"/>
      <w:lang w:val="en-US"/>
    </w:rPr>
  </w:style>
  <w:style w:type="paragraph" w:customStyle="1" w:styleId="CharChar1">
    <w:name w:val="Char Char1"/>
    <w:basedOn w:val="Normal"/>
    <w:uiPriority w:val="99"/>
    <w:rsid w:val="007104F0"/>
    <w:pPr>
      <w:spacing w:after="160" w:line="240" w:lineRule="exact"/>
      <w:jc w:val="left"/>
    </w:pPr>
    <w:rPr>
      <w:rFonts w:ascii="Tahoma" w:hAnsi="Tahoma" w:cs="Tahoma"/>
      <w:sz w:val="20"/>
      <w:lang w:val="en-US"/>
    </w:rPr>
  </w:style>
  <w:style w:type="paragraph" w:customStyle="1" w:styleId="Text2">
    <w:name w:val="Text 2"/>
    <w:basedOn w:val="Normal"/>
    <w:semiHidden/>
    <w:rsid w:val="007104F0"/>
    <w:pPr>
      <w:tabs>
        <w:tab w:val="left" w:pos="2161"/>
      </w:tabs>
      <w:spacing w:after="240"/>
      <w:ind w:left="1202"/>
    </w:pPr>
    <w:rPr>
      <w:rFonts w:ascii="Tahoma" w:hAnsi="Tahoma" w:cs="Tahoma"/>
      <w:color w:val="000000"/>
      <w:szCs w:val="24"/>
      <w:lang w:val="en-GB" w:eastAsia="en-GB"/>
    </w:rPr>
  </w:style>
  <w:style w:type="paragraph" w:customStyle="1" w:styleId="CharCharCharCharCharCharCharCharCharCharCharChar1">
    <w:name w:val="Char Char Char Char Char Char Char Char Char Char Char Char1"/>
    <w:basedOn w:val="Normal"/>
    <w:uiPriority w:val="99"/>
    <w:rsid w:val="007104F0"/>
    <w:pPr>
      <w:spacing w:after="160" w:line="240" w:lineRule="exact"/>
      <w:jc w:val="left"/>
    </w:pPr>
    <w:rPr>
      <w:rFonts w:ascii="Tahoma" w:hAnsi="Tahoma" w:cs="Tahoma"/>
      <w:sz w:val="20"/>
      <w:lang w:val="en-US"/>
    </w:rPr>
  </w:style>
  <w:style w:type="character" w:customStyle="1" w:styleId="ListParagraphChar">
    <w:name w:val="List Paragraph Char"/>
    <w:link w:val="ListParagraph"/>
    <w:uiPriority w:val="99"/>
    <w:locked/>
    <w:rsid w:val="007104F0"/>
    <w:rPr>
      <w:rFonts w:ascii="Calibri" w:eastAsia="Times New Roman" w:hAnsi="Calibri" w:cs="Times New Roman"/>
      <w:lang w:val="x-none" w:eastAsia="x-none"/>
    </w:rPr>
  </w:style>
  <w:style w:type="character" w:customStyle="1" w:styleId="CharCharChar4">
    <w:name w:val="Char Char Char4"/>
    <w:uiPriority w:val="99"/>
    <w:rsid w:val="007104F0"/>
    <w:rPr>
      <w:sz w:val="24"/>
      <w:szCs w:val="24"/>
      <w:lang w:val="sr-Cyrl-CS" w:eastAsia="en-US"/>
    </w:rPr>
  </w:style>
  <w:style w:type="paragraph" w:customStyle="1" w:styleId="font9">
    <w:name w:val="font9"/>
    <w:basedOn w:val="Normal"/>
    <w:rsid w:val="007104F0"/>
    <w:pPr>
      <w:spacing w:before="100" w:beforeAutospacing="1" w:after="100" w:afterAutospacing="1"/>
      <w:jc w:val="left"/>
    </w:pPr>
    <w:rPr>
      <w:rFonts w:ascii="Tahoma" w:hAnsi="Tahoma" w:cs="Tahoma"/>
      <w:color w:val="000000"/>
      <w:sz w:val="18"/>
      <w:szCs w:val="18"/>
      <w:lang w:val="en-US"/>
    </w:rPr>
  </w:style>
  <w:style w:type="paragraph" w:customStyle="1" w:styleId="font10">
    <w:name w:val="font10"/>
    <w:basedOn w:val="Normal"/>
    <w:rsid w:val="007104F0"/>
    <w:pPr>
      <w:spacing w:before="100" w:beforeAutospacing="1" w:after="100" w:afterAutospacing="1"/>
      <w:jc w:val="left"/>
    </w:pPr>
    <w:rPr>
      <w:rFonts w:ascii="Tahoma" w:hAnsi="Tahoma" w:cs="Tahoma"/>
      <w:b/>
      <w:bCs/>
      <w:color w:val="000000"/>
      <w:sz w:val="18"/>
      <w:szCs w:val="18"/>
      <w:lang w:val="en-US"/>
    </w:rPr>
  </w:style>
  <w:style w:type="paragraph" w:customStyle="1" w:styleId="xl113">
    <w:name w:val="xl113"/>
    <w:basedOn w:val="Normal"/>
    <w:rsid w:val="007104F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4"/>
      <w:szCs w:val="14"/>
      <w:lang w:val="en-US"/>
    </w:rPr>
  </w:style>
  <w:style w:type="paragraph" w:customStyle="1" w:styleId="xl114">
    <w:name w:val="xl114"/>
    <w:basedOn w:val="Normal"/>
    <w:rsid w:val="00710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val="en-US"/>
    </w:rPr>
  </w:style>
  <w:style w:type="paragraph" w:customStyle="1" w:styleId="xl115">
    <w:name w:val="xl115"/>
    <w:basedOn w:val="Normal"/>
    <w:uiPriority w:val="99"/>
    <w:rsid w:val="007104F0"/>
    <w:pPr>
      <w:shd w:val="clear" w:color="000000" w:fill="FFFFFF"/>
      <w:spacing w:before="100" w:beforeAutospacing="1" w:after="100" w:afterAutospacing="1"/>
      <w:jc w:val="left"/>
    </w:pPr>
    <w:rPr>
      <w:sz w:val="14"/>
      <w:szCs w:val="14"/>
      <w:lang w:val="en-US"/>
    </w:rPr>
  </w:style>
  <w:style w:type="numbering" w:styleId="111111">
    <w:name w:val="Outline List 2"/>
    <w:basedOn w:val="NoList"/>
    <w:rsid w:val="007104F0"/>
    <w:pPr>
      <w:numPr>
        <w:numId w:val="1"/>
      </w:numPr>
    </w:pPr>
  </w:style>
  <w:style w:type="paragraph" w:customStyle="1" w:styleId="CharCharChar1Char">
    <w:name w:val="Char Char Char1 Char"/>
    <w:basedOn w:val="Normal"/>
    <w:rsid w:val="007104F0"/>
    <w:pPr>
      <w:tabs>
        <w:tab w:val="left" w:pos="567"/>
      </w:tabs>
      <w:spacing w:before="120" w:after="160" w:line="240" w:lineRule="exact"/>
      <w:ind w:left="1584" w:hanging="504"/>
      <w:jc w:val="left"/>
    </w:pPr>
    <w:rPr>
      <w:rFonts w:ascii="Arial" w:hAnsi="Arial"/>
      <w:b/>
      <w:bCs/>
      <w:color w:val="000080"/>
      <w:sz w:val="20"/>
      <w:lang w:val="en-US"/>
    </w:rPr>
  </w:style>
  <w:style w:type="character" w:customStyle="1" w:styleId="hps">
    <w:name w:val="hps"/>
    <w:rsid w:val="007104F0"/>
  </w:style>
  <w:style w:type="character" w:customStyle="1" w:styleId="shorttext">
    <w:name w:val="short_text"/>
    <w:rsid w:val="007104F0"/>
  </w:style>
  <w:style w:type="paragraph" w:customStyle="1" w:styleId="Normal3">
    <w:name w:val="Normal3"/>
    <w:basedOn w:val="Normal"/>
    <w:rsid w:val="007104F0"/>
    <w:pPr>
      <w:spacing w:before="100" w:beforeAutospacing="1" w:after="100" w:afterAutospacing="1"/>
      <w:jc w:val="left"/>
    </w:pPr>
    <w:rPr>
      <w:rFonts w:ascii="Arial" w:hAnsi="Arial" w:cs="Arial"/>
      <w:sz w:val="22"/>
      <w:szCs w:val="22"/>
      <w:lang w:val="sr-Latn-CS" w:eastAsia="sr-Latn-CS"/>
    </w:rPr>
  </w:style>
  <w:style w:type="table" w:customStyle="1" w:styleId="PlainTable51">
    <w:name w:val="Plain Table 51"/>
    <w:basedOn w:val="TableNormal"/>
    <w:uiPriority w:val="45"/>
    <w:rsid w:val="007104F0"/>
    <w:rPr>
      <w:rFonts w:ascii="Calibri" w:eastAsia="Calibri" w:hAnsi="Calibri" w:cs="Times New Roman"/>
    </w:rPr>
    <w:tblPr>
      <w:tblStyleRowBandSize w:val="1"/>
      <w:tblStyleColBandSize w:val="1"/>
    </w:tblPr>
    <w:tblStylePr w:type="firstRow">
      <w:rPr>
        <w:rFonts w:ascii="Bahnschrift Light SemiCondensed" w:eastAsia="Times New Roman" w:hAnsi="Bahnschrift Light SemiCondensed" w:cs="Times New Roman"/>
        <w:i/>
        <w:iCs/>
        <w:sz w:val="26"/>
      </w:rPr>
      <w:tblPr/>
      <w:tcPr>
        <w:tcBorders>
          <w:bottom w:val="single" w:sz="4" w:space="0" w:color="7F7F7F"/>
        </w:tcBorders>
        <w:shd w:val="clear" w:color="auto" w:fill="FFFFFF"/>
      </w:tcPr>
    </w:tblStylePr>
    <w:tblStylePr w:type="lastRow">
      <w:rPr>
        <w:rFonts w:ascii="Bahnschrift Light SemiCondensed" w:eastAsia="Times New Roman" w:hAnsi="Bahnschrift Light SemiCondensed" w:cs="Times New Roman"/>
        <w:i/>
        <w:iCs/>
        <w:sz w:val="26"/>
      </w:rPr>
      <w:tblPr/>
      <w:tcPr>
        <w:tcBorders>
          <w:top w:val="single" w:sz="4" w:space="0" w:color="7F7F7F"/>
        </w:tcBorders>
        <w:shd w:val="clear" w:color="auto" w:fill="FFFFFF"/>
      </w:tcPr>
    </w:tblStylePr>
    <w:tblStylePr w:type="firstCol">
      <w:pPr>
        <w:jc w:val="right"/>
      </w:pPr>
      <w:rPr>
        <w:rFonts w:ascii="Bahnschrift Light SemiCondensed" w:eastAsia="Times New Roman" w:hAnsi="Bahnschrift Light SemiCondensed" w:cs="Times New Roman"/>
        <w:i/>
        <w:iCs/>
        <w:sz w:val="26"/>
      </w:rPr>
      <w:tblPr/>
      <w:tcPr>
        <w:tcBorders>
          <w:right w:val="single" w:sz="4" w:space="0" w:color="7F7F7F"/>
        </w:tcBorders>
        <w:shd w:val="clear" w:color="auto" w:fill="FFFFFF"/>
      </w:tcPr>
    </w:tblStylePr>
    <w:tblStylePr w:type="lastCol">
      <w:rPr>
        <w:rFonts w:ascii="Bahnschrift Light SemiCondensed" w:eastAsia="Times New Roman" w:hAnsi="Bahnschrift Light SemiCondensed"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osnovnisud">
    <w:name w:val="osnovni_sud"/>
    <w:basedOn w:val="DefaultParagraphFont"/>
    <w:rsid w:val="007104F0"/>
  </w:style>
  <w:style w:type="table" w:customStyle="1" w:styleId="GridTable4-Accent11">
    <w:name w:val="Grid Table 4 - Accent 11"/>
    <w:basedOn w:val="TableNormal"/>
    <w:uiPriority w:val="49"/>
    <w:rsid w:val="007104F0"/>
    <w:rPr>
      <w:rFonts w:ascii="Calibri" w:eastAsia="Calibri" w:hAnsi="Calibri" w:cs="Times New Roman"/>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11">
    <w:name w:val="Grid Table 6 Colorful - Accent 11"/>
    <w:basedOn w:val="TableNormal"/>
    <w:uiPriority w:val="51"/>
    <w:rsid w:val="007104F0"/>
    <w:rPr>
      <w:rFonts w:ascii="Calibri" w:eastAsia="Calibri" w:hAnsi="Calibri" w:cs="Times New Roman"/>
      <w:color w:val="2E74B5"/>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1Light-Accent11">
    <w:name w:val="List Table 1 Light - Accent 11"/>
    <w:basedOn w:val="TableNormal"/>
    <w:uiPriority w:val="46"/>
    <w:rsid w:val="007104F0"/>
    <w:rPr>
      <w:rFonts w:ascii="Calibri" w:eastAsia="Calibri" w:hAnsi="Calibri" w:cs="Times New Roman"/>
      <w:sz w:val="20"/>
      <w:szCs w:val="20"/>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2-Accent11">
    <w:name w:val="List Table 2 - Accent 11"/>
    <w:basedOn w:val="TableNormal"/>
    <w:uiPriority w:val="47"/>
    <w:rsid w:val="007104F0"/>
    <w:rPr>
      <w:rFonts w:ascii="Calibri" w:eastAsia="Calibri" w:hAnsi="Calibri" w:cs="Times New Roman"/>
      <w:sz w:val="20"/>
      <w:szCs w:val="20"/>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3-Accent11">
    <w:name w:val="List Table 3 - Accent 11"/>
    <w:basedOn w:val="TableNormal"/>
    <w:uiPriority w:val="48"/>
    <w:rsid w:val="007104F0"/>
    <w:rPr>
      <w:rFonts w:ascii="Calibri" w:eastAsia="Calibri" w:hAnsi="Calibri" w:cs="Times New Roman"/>
      <w:sz w:val="20"/>
      <w:szCs w:val="20"/>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ListTable6Colorful-Accent11">
    <w:name w:val="List Table 6 Colorful - Accent 11"/>
    <w:basedOn w:val="TableNormal"/>
    <w:uiPriority w:val="51"/>
    <w:rsid w:val="007104F0"/>
    <w:rPr>
      <w:rFonts w:ascii="Calibri" w:eastAsia="Calibri" w:hAnsi="Calibri" w:cs="Times New Roman"/>
      <w:color w:val="2E74B5"/>
      <w:sz w:val="20"/>
      <w:szCs w:val="20"/>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3-Accent51">
    <w:name w:val="List Table 3 - Accent 51"/>
    <w:basedOn w:val="TableNormal"/>
    <w:uiPriority w:val="48"/>
    <w:rsid w:val="007104F0"/>
    <w:rPr>
      <w:rFonts w:ascii="Calibri" w:eastAsia="Calibri" w:hAnsi="Calibri" w:cs="Times New Roman"/>
      <w:sz w:val="20"/>
      <w:szCs w:val="20"/>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GridTable7Colorful-Accent11">
    <w:name w:val="Grid Table 7 Colorful - Accent 11"/>
    <w:basedOn w:val="TableNormal"/>
    <w:uiPriority w:val="52"/>
    <w:rsid w:val="007104F0"/>
    <w:rPr>
      <w:rFonts w:ascii="Calibri" w:eastAsia="Calibri" w:hAnsi="Calibri" w:cs="Times New Roman"/>
      <w:color w:val="2E74B5"/>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1Light-Accent51">
    <w:name w:val="Grid Table 1 Light - Accent 51"/>
    <w:basedOn w:val="TableNormal"/>
    <w:uiPriority w:val="46"/>
    <w:rsid w:val="007104F0"/>
    <w:rPr>
      <w:rFonts w:ascii="Calibri" w:eastAsia="Calibri" w:hAnsi="Calibri" w:cs="Times New Roman"/>
      <w:sz w:val="20"/>
      <w:szCs w:val="2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7104F0"/>
    <w:rPr>
      <w:rFonts w:ascii="Calibri" w:eastAsia="Calibri" w:hAnsi="Calibri" w:cs="Times New Roman"/>
      <w:sz w:val="20"/>
      <w:szCs w:val="20"/>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7104F0"/>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31">
    <w:name w:val="Plain Table 31"/>
    <w:basedOn w:val="TableNormal"/>
    <w:uiPriority w:val="43"/>
    <w:rsid w:val="007104F0"/>
    <w:rPr>
      <w:rFonts w:ascii="Calibri" w:eastAsia="Calibri"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99"/>
    <w:semiHidden/>
    <w:rsid w:val="007104F0"/>
    <w:rPr>
      <w:rFonts w:ascii="Calibri" w:eastAsia="Calibri" w:hAnsi="Calibri" w:cs="Arial"/>
      <w:lang w:val="sr-Latn-RS"/>
    </w:rPr>
  </w:style>
  <w:style w:type="paragraph" w:customStyle="1" w:styleId="stil1tekst">
    <w:name w:val="stil_1tekst"/>
    <w:basedOn w:val="Normal"/>
    <w:rsid w:val="007104F0"/>
    <w:pPr>
      <w:ind w:left="525" w:right="525" w:firstLine="240"/>
    </w:pPr>
    <w:rPr>
      <w:rFonts w:ascii="Times New Roman" w:hAnsi="Times New Roman"/>
      <w:szCs w:val="24"/>
      <w:lang w:val="en-US"/>
    </w:rPr>
  </w:style>
  <w:style w:type="table" w:customStyle="1" w:styleId="TableGrid1">
    <w:name w:val="Table Grid1"/>
    <w:basedOn w:val="TableNormal"/>
    <w:next w:val="TableNormal"/>
    <w:uiPriority w:val="59"/>
    <w:rsid w:val="007104F0"/>
    <w:rPr>
      <w:rFonts w:ascii="Constantia" w:eastAsia="Constantia" w:hAnsi="Constantia" w:cs="Times New Roman"/>
      <w:lang w:val="sr-Cyrl-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11">
    <w:name w:val="Plain Table 11"/>
    <w:basedOn w:val="TableNormal"/>
    <w:uiPriority w:val="41"/>
    <w:rsid w:val="007104F0"/>
    <w:rPr>
      <w:rFonts w:ascii="Times New Roman" w:eastAsia="Times New Roman" w:hAnsi="Times New Roman"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4-Accent51">
    <w:name w:val="Grid Table 4 - Accent 51"/>
    <w:basedOn w:val="TableNormal"/>
    <w:uiPriority w:val="49"/>
    <w:rsid w:val="007104F0"/>
    <w:rPr>
      <w:rFonts w:ascii="Times New Roman" w:eastAsia="Times New Roman" w:hAnsi="Times New Roman" w:cs="Times New Roman"/>
      <w:sz w:val="20"/>
      <w:szCs w:val="20"/>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
    <w:name w:val="Grid Table 6 Colorful - Accent 51"/>
    <w:basedOn w:val="TableNormal"/>
    <w:uiPriority w:val="51"/>
    <w:rsid w:val="007104F0"/>
    <w:rPr>
      <w:rFonts w:ascii="Times New Roman" w:eastAsia="Times New Roman" w:hAnsi="Times New Roman" w:cs="Times New Roman"/>
      <w:color w:val="31849B"/>
      <w:sz w:val="20"/>
      <w:szCs w:val="20"/>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7Colorful-Accent41">
    <w:name w:val="Grid Table 7 Colorful - Accent 41"/>
    <w:basedOn w:val="TableNormal"/>
    <w:uiPriority w:val="52"/>
    <w:rsid w:val="007104F0"/>
    <w:rPr>
      <w:rFonts w:ascii="Times New Roman" w:eastAsia="Times New Roman" w:hAnsi="Times New Roman" w:cs="Times New Roman"/>
      <w:color w:val="5F497A"/>
      <w:sz w:val="20"/>
      <w:szCs w:val="20"/>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2-Accent11">
    <w:name w:val="Grid Table 2 - Accent 11"/>
    <w:basedOn w:val="TableNormal"/>
    <w:uiPriority w:val="47"/>
    <w:rsid w:val="007104F0"/>
    <w:rPr>
      <w:rFonts w:ascii="Times New Roman" w:eastAsia="Times New Roman" w:hAnsi="Times New Roman" w:cs="Times New Roman"/>
      <w:sz w:val="20"/>
      <w:szCs w:val="20"/>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EndnoteText">
    <w:name w:val="endnote text"/>
    <w:basedOn w:val="Normal"/>
    <w:link w:val="EndnoteTextChar"/>
    <w:rsid w:val="007104F0"/>
    <w:rPr>
      <w:sz w:val="20"/>
    </w:rPr>
  </w:style>
  <w:style w:type="character" w:customStyle="1" w:styleId="EndnoteTextChar">
    <w:name w:val="Endnote Text Char"/>
    <w:basedOn w:val="DefaultParagraphFont"/>
    <w:link w:val="EndnoteText"/>
    <w:rsid w:val="007104F0"/>
    <w:rPr>
      <w:rFonts w:ascii="CTimesRoman" w:eastAsia="Times New Roman" w:hAnsi="CTimesRoman" w:cs="Times New Roman"/>
      <w:sz w:val="20"/>
      <w:szCs w:val="20"/>
      <w:lang w:val="sr-Cyrl-CS"/>
    </w:rPr>
  </w:style>
  <w:style w:type="character" w:styleId="EndnoteReference">
    <w:name w:val="endnote reference"/>
    <w:rsid w:val="007104F0"/>
    <w:rPr>
      <w:vertAlign w:val="superscript"/>
    </w:rPr>
  </w:style>
  <w:style w:type="character" w:customStyle="1" w:styleId="FootnoteTextChar1">
    <w:name w:val="Footnote Text Char1"/>
    <w:aliases w:val="fn Char1,Footnote Text Char Char Char Char1,Footnote Text Char Char Char2,Fußnote Char1,Car Car Char1,Footnote Text Char Char1 Char1,Footnote Text Char1 Char Char Char1,Footnote Text Char Char1 Char Char Char1"/>
    <w:uiPriority w:val="99"/>
    <w:semiHidden/>
    <w:rsid w:val="007104F0"/>
    <w:rPr>
      <w:rFonts w:ascii="CTimesRoman" w:eastAsia="Times New Roman" w:hAnsi="CTimesRoman" w:cs="Times New Roman"/>
      <w:sz w:val="20"/>
      <w:szCs w:val="20"/>
      <w:lang w:val="sr-Cyrl-CS"/>
    </w:rPr>
  </w:style>
  <w:style w:type="table" w:customStyle="1" w:styleId="TableGrid2">
    <w:name w:val="Table Grid2"/>
    <w:basedOn w:val="TableNormal"/>
    <w:next w:val="TableGrid"/>
    <w:uiPriority w:val="39"/>
    <w:rsid w:val="007104F0"/>
    <w:rPr>
      <w:lang w:val="sr-Latn-R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7104F0"/>
    <w:rPr>
      <w:lang w:val="sr-Latn-R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59"/>
    <w:rsid w:val="007104F0"/>
    <w:rPr>
      <w:lang w:val="sr-Latn-R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7104F0"/>
    <w:rPr>
      <w:lang w:val="sr-Latn-R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TableNormal"/>
    <w:next w:val="TableGrid"/>
    <w:uiPriority w:val="59"/>
    <w:rsid w:val="007104F0"/>
    <w:rPr>
      <w:lang w:val="sr-Latn-R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3">
    <w:name w:val="No List3"/>
    <w:next w:val="NoList"/>
    <w:uiPriority w:val="99"/>
    <w:semiHidden/>
    <w:unhideWhenUsed/>
    <w:rsid w:val="007104F0"/>
  </w:style>
  <w:style w:type="table" w:customStyle="1" w:styleId="TableGrid7">
    <w:name w:val="Table Grid7"/>
    <w:basedOn w:val="TableNormal"/>
    <w:next w:val="TableGrid"/>
    <w:uiPriority w:val="59"/>
    <w:rsid w:val="007104F0"/>
    <w:rPr>
      <w:lang w:val="sr-Latn-R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7104F0"/>
  </w:style>
  <w:style w:type="table" w:customStyle="1" w:styleId="TableGrid8">
    <w:name w:val="Table Grid8"/>
    <w:basedOn w:val="TableNormal"/>
    <w:next w:val="TableGrid"/>
    <w:uiPriority w:val="59"/>
    <w:rsid w:val="007104F0"/>
    <w:rPr>
      <w:lang w:val="sr-Latn-R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
    <w:name w:val="Table Grid9"/>
    <w:basedOn w:val="TableNormal"/>
    <w:next w:val="TableGrid"/>
    <w:uiPriority w:val="59"/>
    <w:rsid w:val="007104F0"/>
    <w:rPr>
      <w:lang w:val="sr-Latn-R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5">
    <w:name w:val="No List5"/>
    <w:next w:val="NoList"/>
    <w:uiPriority w:val="99"/>
    <w:semiHidden/>
    <w:unhideWhenUsed/>
    <w:rsid w:val="007104F0"/>
  </w:style>
  <w:style w:type="table" w:customStyle="1" w:styleId="TableGrid10">
    <w:name w:val="Table Grid10"/>
    <w:basedOn w:val="TableNormal"/>
    <w:next w:val="TableGrid"/>
    <w:uiPriority w:val="59"/>
    <w:rsid w:val="007104F0"/>
    <w:rPr>
      <w:lang w:val="sr-Latn-R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6">
    <w:name w:val="No List6"/>
    <w:next w:val="NoList"/>
    <w:uiPriority w:val="99"/>
    <w:semiHidden/>
    <w:unhideWhenUsed/>
    <w:rsid w:val="007104F0"/>
  </w:style>
  <w:style w:type="table" w:customStyle="1" w:styleId="TableGrid11">
    <w:name w:val="Table Grid11"/>
    <w:basedOn w:val="TableNormal"/>
    <w:next w:val="TableGrid"/>
    <w:uiPriority w:val="59"/>
    <w:rsid w:val="007104F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59"/>
    <w:rsid w:val="007104F0"/>
    <w:rPr>
      <w:lang w:val="sr-Latn-R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3">
    <w:name w:val="Table Grid13"/>
    <w:basedOn w:val="TableNormal"/>
    <w:next w:val="TableGrid"/>
    <w:uiPriority w:val="59"/>
    <w:rsid w:val="007104F0"/>
    <w:rPr>
      <w:lang w:val="sr-Latn-R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7">
    <w:name w:val="No List7"/>
    <w:next w:val="NoList"/>
    <w:uiPriority w:val="99"/>
    <w:semiHidden/>
    <w:unhideWhenUsed/>
    <w:rsid w:val="007104F0"/>
  </w:style>
  <w:style w:type="table" w:customStyle="1" w:styleId="TableGrid14">
    <w:name w:val="Table Grid14"/>
    <w:basedOn w:val="TableNormal"/>
    <w:next w:val="TableGrid"/>
    <w:uiPriority w:val="59"/>
    <w:rsid w:val="007104F0"/>
    <w:rPr>
      <w:lang w:val="sr-Latn-R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5">
    <w:name w:val="Table Grid15"/>
    <w:basedOn w:val="TableNormal"/>
    <w:next w:val="TableGrid"/>
    <w:uiPriority w:val="59"/>
    <w:rsid w:val="007104F0"/>
    <w:rPr>
      <w:lang w:val="sr-Latn-R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6">
    <w:name w:val="Table Grid16"/>
    <w:basedOn w:val="TableNormal"/>
    <w:next w:val="TableGrid"/>
    <w:uiPriority w:val="59"/>
    <w:rsid w:val="007104F0"/>
    <w:rPr>
      <w:lang w:val="sr-Latn-R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7">
    <w:name w:val="Table Grid17"/>
    <w:basedOn w:val="TableNormal"/>
    <w:next w:val="TableGrid"/>
    <w:uiPriority w:val="59"/>
    <w:rsid w:val="007104F0"/>
    <w:rPr>
      <w:lang w:val="sr-Latn-R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8">
    <w:name w:val="Table Grid18"/>
    <w:basedOn w:val="TableNormal"/>
    <w:next w:val="TableGrid"/>
    <w:uiPriority w:val="59"/>
    <w:rsid w:val="007104F0"/>
    <w:rPr>
      <w:lang w:val="sr-Latn-R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9">
    <w:name w:val="Table Grid19"/>
    <w:basedOn w:val="TableNormal"/>
    <w:next w:val="TableGrid"/>
    <w:uiPriority w:val="59"/>
    <w:rsid w:val="007104F0"/>
    <w:rPr>
      <w:lang w:val="sr-Latn-R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59"/>
    <w:rsid w:val="007104F0"/>
    <w:rPr>
      <w:lang w:val="sr-Latn-R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leNormal"/>
    <w:next w:val="TableGrid"/>
    <w:uiPriority w:val="59"/>
    <w:rsid w:val="007104F0"/>
    <w:rPr>
      <w:lang w:val="sr-Latn-R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2">
    <w:name w:val="Table Grid22"/>
    <w:basedOn w:val="TableNormal"/>
    <w:next w:val="TableGrid"/>
    <w:uiPriority w:val="59"/>
    <w:rsid w:val="007104F0"/>
    <w:rPr>
      <w:lang w:val="sr-Latn-R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8">
    <w:name w:val="No List8"/>
    <w:next w:val="NoList"/>
    <w:uiPriority w:val="99"/>
    <w:semiHidden/>
    <w:unhideWhenUsed/>
    <w:rsid w:val="007104F0"/>
  </w:style>
  <w:style w:type="table" w:customStyle="1" w:styleId="TableGrid23">
    <w:name w:val="Table Grid23"/>
    <w:basedOn w:val="TableNormal"/>
    <w:next w:val="TableGrid"/>
    <w:uiPriority w:val="59"/>
    <w:rsid w:val="007104F0"/>
    <w:rPr>
      <w:lang w:val="sr-Latn-R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9">
    <w:name w:val="No List9"/>
    <w:next w:val="NoList"/>
    <w:uiPriority w:val="99"/>
    <w:semiHidden/>
    <w:unhideWhenUsed/>
    <w:rsid w:val="007104F0"/>
  </w:style>
  <w:style w:type="table" w:customStyle="1" w:styleId="TableGrid24">
    <w:name w:val="Table Grid24"/>
    <w:basedOn w:val="TableNormal"/>
    <w:next w:val="TableGrid"/>
    <w:uiPriority w:val="59"/>
    <w:rsid w:val="007104F0"/>
    <w:rPr>
      <w:lang w:val="sr-Latn-R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PlainTable52">
    <w:name w:val="Plain Table 52"/>
    <w:basedOn w:val="TableNormal"/>
    <w:uiPriority w:val="45"/>
    <w:rsid w:val="007104F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10">
    <w:name w:val="No List10"/>
    <w:next w:val="NoList"/>
    <w:uiPriority w:val="99"/>
    <w:semiHidden/>
    <w:unhideWhenUsed/>
    <w:rsid w:val="007104F0"/>
  </w:style>
  <w:style w:type="table" w:customStyle="1" w:styleId="TableGrid25">
    <w:name w:val="Table Grid25"/>
    <w:basedOn w:val="TableNormal"/>
    <w:next w:val="TableGrid"/>
    <w:uiPriority w:val="59"/>
    <w:rsid w:val="007104F0"/>
    <w:rPr>
      <w:lang w:val="sr-Latn-R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6">
    <w:name w:val="Table Grid26"/>
    <w:basedOn w:val="TableNormal"/>
    <w:next w:val="TableGrid"/>
    <w:uiPriority w:val="59"/>
    <w:rsid w:val="007104F0"/>
    <w:rPr>
      <w:lang w:val="sr-Latn-R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7">
    <w:name w:val="Table Grid27"/>
    <w:basedOn w:val="TableNormal"/>
    <w:next w:val="TableGrid"/>
    <w:uiPriority w:val="59"/>
    <w:rsid w:val="007104F0"/>
    <w:rPr>
      <w:lang w:val="sr-Latn-R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8">
    <w:name w:val="Table Grid28"/>
    <w:basedOn w:val="TableNormal"/>
    <w:next w:val="TableGrid"/>
    <w:uiPriority w:val="59"/>
    <w:rsid w:val="007104F0"/>
    <w:rPr>
      <w:lang w:val="sr-Latn-R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9">
    <w:name w:val="Table Grid29"/>
    <w:basedOn w:val="TableNormal"/>
    <w:next w:val="TableGrid"/>
    <w:uiPriority w:val="59"/>
    <w:rsid w:val="007104F0"/>
    <w:rPr>
      <w:lang w:val="sr-Latn-R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0">
    <w:name w:val="Table Grid30"/>
    <w:basedOn w:val="TableNormal"/>
    <w:next w:val="TableGrid"/>
    <w:uiPriority w:val="59"/>
    <w:rsid w:val="007104F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1">
    <w:name w:val="Table Grid31"/>
    <w:basedOn w:val="TableNormal"/>
    <w:next w:val="TableGrid"/>
    <w:uiPriority w:val="59"/>
    <w:rsid w:val="007104F0"/>
    <w:rPr>
      <w:lang w:val="sr-Latn-R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2">
    <w:name w:val="Table Grid32"/>
    <w:basedOn w:val="TableNormal"/>
    <w:next w:val="TableGrid"/>
    <w:uiPriority w:val="59"/>
    <w:rsid w:val="007104F0"/>
    <w:rPr>
      <w:lang w:val="sr-Latn-R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3">
    <w:name w:val="Table Grid33"/>
    <w:basedOn w:val="TableNormal"/>
    <w:next w:val="TableGrid"/>
    <w:uiPriority w:val="59"/>
    <w:rsid w:val="007104F0"/>
    <w:rPr>
      <w:lang w:val="sr-Latn-R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4">
    <w:name w:val="Table Grid34"/>
    <w:basedOn w:val="TableNormal"/>
    <w:next w:val="TableGrid"/>
    <w:uiPriority w:val="59"/>
    <w:rsid w:val="007104F0"/>
    <w:rPr>
      <w:lang w:val="sr-Latn-R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5">
    <w:name w:val="Table Grid35"/>
    <w:basedOn w:val="TableNormal"/>
    <w:next w:val="TableGrid"/>
    <w:uiPriority w:val="59"/>
    <w:rsid w:val="007104F0"/>
    <w:rPr>
      <w:lang w:val="sr-Latn-R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1">
    <w:name w:val="No List11"/>
    <w:next w:val="NoList"/>
    <w:uiPriority w:val="99"/>
    <w:semiHidden/>
    <w:unhideWhenUsed/>
    <w:rsid w:val="007104F0"/>
  </w:style>
  <w:style w:type="table" w:customStyle="1" w:styleId="TableGrid36">
    <w:name w:val="Table Grid36"/>
    <w:basedOn w:val="TableNormal"/>
    <w:next w:val="TableGrid"/>
    <w:uiPriority w:val="59"/>
    <w:rsid w:val="007104F0"/>
    <w:rPr>
      <w:lang w:val="sr-Latn-R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7">
    <w:name w:val="Table Grid37"/>
    <w:basedOn w:val="TableNormal"/>
    <w:next w:val="TableGrid"/>
    <w:uiPriority w:val="59"/>
    <w:rsid w:val="007104F0"/>
    <w:rPr>
      <w:lang w:val="sr-Latn-R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8">
    <w:name w:val="Table Grid38"/>
    <w:basedOn w:val="TableNormal"/>
    <w:next w:val="TableGrid"/>
    <w:uiPriority w:val="59"/>
    <w:rsid w:val="007104F0"/>
    <w:rPr>
      <w:lang w:val="sr-Latn-R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9">
    <w:name w:val="Table Grid39"/>
    <w:basedOn w:val="TableNormal"/>
    <w:next w:val="TableGrid"/>
    <w:uiPriority w:val="59"/>
    <w:rsid w:val="007104F0"/>
    <w:rPr>
      <w:lang w:val="sr-Latn-R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0">
    <w:name w:val="Table Grid40"/>
    <w:basedOn w:val="TableNormal"/>
    <w:next w:val="TableGrid"/>
    <w:uiPriority w:val="59"/>
    <w:rsid w:val="007104F0"/>
    <w:rPr>
      <w:lang w:val="sr-Latn-R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2">
    <w:name w:val="No List12"/>
    <w:next w:val="NoList"/>
    <w:uiPriority w:val="99"/>
    <w:semiHidden/>
    <w:unhideWhenUsed/>
    <w:rsid w:val="007104F0"/>
  </w:style>
  <w:style w:type="table" w:customStyle="1" w:styleId="TableGrid41">
    <w:name w:val="Table Grid41"/>
    <w:basedOn w:val="TableNormal"/>
    <w:next w:val="TableGrid"/>
    <w:uiPriority w:val="59"/>
    <w:rsid w:val="007104F0"/>
    <w:rPr>
      <w:lang w:val="sr-Latn-R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3">
    <w:name w:val="No List13"/>
    <w:next w:val="NoList"/>
    <w:uiPriority w:val="99"/>
    <w:semiHidden/>
    <w:unhideWhenUsed/>
    <w:rsid w:val="007104F0"/>
  </w:style>
  <w:style w:type="table" w:customStyle="1" w:styleId="TableGrid42">
    <w:name w:val="Table Grid42"/>
    <w:basedOn w:val="TableNormal"/>
    <w:next w:val="TableGrid"/>
    <w:uiPriority w:val="59"/>
    <w:rsid w:val="007104F0"/>
    <w:rPr>
      <w:lang w:val="sr-Latn-R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3">
    <w:name w:val="Table Grid43"/>
    <w:basedOn w:val="TableNormal"/>
    <w:next w:val="TableGrid"/>
    <w:uiPriority w:val="59"/>
    <w:rsid w:val="007104F0"/>
    <w:rPr>
      <w:lang w:val="sr-Latn-R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4">
    <w:name w:val="Table Grid44"/>
    <w:basedOn w:val="TableNormal"/>
    <w:next w:val="TableGrid"/>
    <w:uiPriority w:val="59"/>
    <w:rsid w:val="007104F0"/>
    <w:rPr>
      <w:lang w:val="sr-Latn-R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5">
    <w:name w:val="Table Grid45"/>
    <w:basedOn w:val="TableNormal"/>
    <w:next w:val="TableGrid"/>
    <w:uiPriority w:val="59"/>
    <w:rsid w:val="007104F0"/>
    <w:rPr>
      <w:lang w:val="sr-Latn-R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4">
    <w:name w:val="No List14"/>
    <w:next w:val="NoList"/>
    <w:uiPriority w:val="99"/>
    <w:semiHidden/>
    <w:unhideWhenUsed/>
    <w:rsid w:val="007104F0"/>
  </w:style>
  <w:style w:type="table" w:customStyle="1" w:styleId="TableGrid46">
    <w:name w:val="Table Grid46"/>
    <w:basedOn w:val="TableNormal"/>
    <w:next w:val="TableGrid"/>
    <w:uiPriority w:val="59"/>
    <w:rsid w:val="007104F0"/>
    <w:rPr>
      <w:lang w:val="sr-Latn-R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7">
    <w:name w:val="Table Grid47"/>
    <w:basedOn w:val="TableNormal"/>
    <w:next w:val="TableGrid"/>
    <w:uiPriority w:val="59"/>
    <w:rsid w:val="007104F0"/>
    <w:rPr>
      <w:lang w:val="sr-Latn-R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8">
    <w:name w:val="Table Grid48"/>
    <w:basedOn w:val="TableNormal"/>
    <w:next w:val="TableGrid"/>
    <w:uiPriority w:val="59"/>
    <w:rsid w:val="007104F0"/>
    <w:rPr>
      <w:lang w:val="sr-Latn-R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9">
    <w:name w:val="Table Grid49"/>
    <w:basedOn w:val="TableNormal"/>
    <w:next w:val="TableGrid"/>
    <w:uiPriority w:val="59"/>
    <w:rsid w:val="007104F0"/>
    <w:rPr>
      <w:lang w:val="sr-Latn-R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5">
    <w:name w:val="No List15"/>
    <w:next w:val="NoList"/>
    <w:uiPriority w:val="99"/>
    <w:semiHidden/>
    <w:unhideWhenUsed/>
    <w:rsid w:val="007104F0"/>
  </w:style>
  <w:style w:type="table" w:customStyle="1" w:styleId="TableGrid50">
    <w:name w:val="Table Grid50"/>
    <w:basedOn w:val="TableNormal"/>
    <w:next w:val="TableGrid"/>
    <w:uiPriority w:val="59"/>
    <w:rsid w:val="007104F0"/>
    <w:rPr>
      <w:lang w:val="sr-Latn-R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6">
    <w:name w:val="No List16"/>
    <w:next w:val="NoList"/>
    <w:uiPriority w:val="99"/>
    <w:semiHidden/>
    <w:unhideWhenUsed/>
    <w:rsid w:val="007104F0"/>
  </w:style>
  <w:style w:type="table" w:customStyle="1" w:styleId="TableGrid51">
    <w:name w:val="Table Grid51"/>
    <w:basedOn w:val="TableNormal"/>
    <w:next w:val="TableGrid"/>
    <w:uiPriority w:val="59"/>
    <w:rsid w:val="007104F0"/>
    <w:rPr>
      <w:lang w:val="sr-Latn-R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7">
    <w:name w:val="No List17"/>
    <w:next w:val="NoList"/>
    <w:uiPriority w:val="99"/>
    <w:semiHidden/>
    <w:unhideWhenUsed/>
    <w:rsid w:val="007104F0"/>
  </w:style>
  <w:style w:type="table" w:customStyle="1" w:styleId="TableGrid52">
    <w:name w:val="Table Grid52"/>
    <w:basedOn w:val="TableNormal"/>
    <w:next w:val="TableGrid"/>
    <w:uiPriority w:val="59"/>
    <w:rsid w:val="007104F0"/>
    <w:rPr>
      <w:lang w:val="sr-Latn-R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8">
    <w:name w:val="No List18"/>
    <w:next w:val="NoList"/>
    <w:uiPriority w:val="99"/>
    <w:semiHidden/>
    <w:unhideWhenUsed/>
    <w:rsid w:val="007104F0"/>
  </w:style>
  <w:style w:type="table" w:customStyle="1" w:styleId="TableGrid53">
    <w:name w:val="Table Grid53"/>
    <w:basedOn w:val="TableNormal"/>
    <w:next w:val="TableGrid"/>
    <w:uiPriority w:val="59"/>
    <w:rsid w:val="007104F0"/>
    <w:rPr>
      <w:lang w:val="sr-Latn-R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body">
    <w:name w:val="Text body"/>
    <w:basedOn w:val="Normal"/>
    <w:rsid w:val="007104F0"/>
    <w:pPr>
      <w:widowControl w:val="0"/>
      <w:suppressAutoHyphens/>
      <w:autoSpaceDN w:val="0"/>
      <w:spacing w:after="120"/>
      <w:jc w:val="left"/>
      <w:textAlignment w:val="baseline"/>
    </w:pPr>
    <w:rPr>
      <w:rFonts w:ascii="Times New Roman" w:eastAsia="SimSun" w:hAnsi="Times New Roman" w:cs="Mangal"/>
      <w:kern w:val="3"/>
      <w:szCs w:val="24"/>
      <w:lang w:val="en-US" w:eastAsia="zh-CN" w:bidi="hi-IN"/>
    </w:rPr>
  </w:style>
  <w:style w:type="table" w:customStyle="1" w:styleId="PlainTable511">
    <w:name w:val="Plain Table 511"/>
    <w:basedOn w:val="TableNormal"/>
    <w:uiPriority w:val="45"/>
    <w:rsid w:val="007104F0"/>
    <w:rPr>
      <w:rFonts w:ascii="Calibri" w:eastAsia="Calibri" w:hAnsi="Calibri" w:cs="Times New Roman"/>
      <w:lang w:val="sr-Cyrl-CS"/>
    </w:rPr>
    <w:tblPr>
      <w:tblStyleRowBandSize w:val="1"/>
      <w:tblStyleColBandSize w:val="1"/>
    </w:tblPr>
    <w:tblStylePr w:type="firstRow">
      <w:rPr>
        <w:rFonts w:ascii="CTimesRoman" w:eastAsia="Times New Roman" w:hAnsi="CTimesRoman" w:cs="Times New Roman"/>
        <w:i/>
        <w:iCs/>
        <w:sz w:val="26"/>
      </w:rPr>
      <w:tblPr/>
      <w:tcPr>
        <w:tcBorders>
          <w:bottom w:val="single" w:sz="4" w:space="0" w:color="7F7F7F"/>
        </w:tcBorders>
        <w:shd w:val="clear" w:color="auto" w:fill="FFFFFF"/>
      </w:tcPr>
    </w:tblStylePr>
    <w:tblStylePr w:type="lastRow">
      <w:rPr>
        <w:rFonts w:ascii="CTimesRoman" w:eastAsia="Times New Roman" w:hAnsi="CTimesRoman" w:cs="Times New Roman"/>
        <w:i/>
        <w:iCs/>
        <w:sz w:val="26"/>
      </w:rPr>
      <w:tblPr/>
      <w:tcPr>
        <w:tcBorders>
          <w:top w:val="single" w:sz="4" w:space="0" w:color="7F7F7F"/>
        </w:tcBorders>
        <w:shd w:val="clear" w:color="auto" w:fill="FFFFFF"/>
      </w:tcPr>
    </w:tblStylePr>
    <w:tblStylePr w:type="firstCol">
      <w:pPr>
        <w:jc w:val="right"/>
      </w:pPr>
      <w:rPr>
        <w:rFonts w:ascii="CTimesRoman" w:eastAsia="Times New Roman" w:hAnsi="CTimesRoman" w:cs="Times New Roman"/>
        <w:i/>
        <w:iCs/>
        <w:sz w:val="26"/>
      </w:rPr>
      <w:tblPr/>
      <w:tcPr>
        <w:tcBorders>
          <w:right w:val="single" w:sz="4" w:space="0" w:color="7F7F7F"/>
        </w:tcBorders>
        <w:shd w:val="clear" w:color="auto" w:fill="FFFFFF"/>
      </w:tcPr>
    </w:tblStylePr>
    <w:tblStylePr w:type="lastCol">
      <w:rPr>
        <w:rFonts w:ascii="CTimesRoman" w:eastAsia="Times New Roman" w:hAnsi="CTimesRom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111">
    <w:name w:val="No List111"/>
    <w:next w:val="NoList"/>
    <w:uiPriority w:val="99"/>
    <w:semiHidden/>
    <w:unhideWhenUsed/>
    <w:rsid w:val="007104F0"/>
  </w:style>
  <w:style w:type="table" w:customStyle="1" w:styleId="TableGrid131">
    <w:name w:val="Table Grid131"/>
    <w:basedOn w:val="TableNormal"/>
    <w:next w:val="TableGrid"/>
    <w:uiPriority w:val="59"/>
    <w:rsid w:val="007104F0"/>
    <w:rPr>
      <w:lang w:val="sr-Latn-R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PlainTable53">
    <w:name w:val="Plain Table 53"/>
    <w:basedOn w:val="TableNormal"/>
    <w:uiPriority w:val="45"/>
    <w:rsid w:val="007104F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54">
    <w:name w:val="Plain Table 54"/>
    <w:basedOn w:val="TableNormal"/>
    <w:uiPriority w:val="45"/>
    <w:rsid w:val="007104F0"/>
    <w:rPr>
      <w:rFonts w:ascii="Times New Roman" w:eastAsia="Times New Roman" w:hAnsi="Times New Roman" w:cs="Times New Roman"/>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55">
    <w:name w:val="Plain Table 55"/>
    <w:basedOn w:val="TableNormal"/>
    <w:uiPriority w:val="45"/>
    <w:rsid w:val="00640E74"/>
    <w:rPr>
      <w:rFonts w:ascii="Times New Roman" w:eastAsia="Times New Roman" w:hAnsi="Times New Roman" w:cs="Times New Roman"/>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513">
    <w:name w:val="Plain Table 513"/>
    <w:basedOn w:val="TableNormal"/>
    <w:uiPriority w:val="45"/>
    <w:rsid w:val="007B7E49"/>
    <w:rPr>
      <w:lang w:val="sr-Cyrl-CS"/>
    </w:rPr>
    <w:tblPr>
      <w:tblStyleRowBandSize w:val="1"/>
      <w:tblStyleColBandSize w:val="1"/>
    </w:tblPr>
    <w:tblStylePr w:type="firstRow">
      <w:rPr>
        <w:rFonts w:ascii="Bahnschrift SemiLight SemiConde" w:eastAsia="Times New Roman" w:hAnsi="Bahnschrift SemiLight SemiConde" w:cs="Times New Roman"/>
        <w:i/>
        <w:iCs/>
        <w:sz w:val="26"/>
      </w:rPr>
      <w:tblPr/>
      <w:tcPr>
        <w:tcBorders>
          <w:bottom w:val="single" w:sz="4" w:space="0" w:color="7F7F7F"/>
        </w:tcBorders>
        <w:shd w:val="clear" w:color="auto" w:fill="FFFFFF"/>
      </w:tcPr>
    </w:tblStylePr>
    <w:tblStylePr w:type="lastRow">
      <w:rPr>
        <w:rFonts w:ascii="Bahnschrift SemiLight SemiConde" w:eastAsia="Times New Roman" w:hAnsi="Bahnschrift SemiLight SemiConde" w:cs="Times New Roman"/>
        <w:i/>
        <w:iCs/>
        <w:sz w:val="26"/>
      </w:rPr>
      <w:tblPr/>
      <w:tcPr>
        <w:tcBorders>
          <w:top w:val="single" w:sz="4" w:space="0" w:color="7F7F7F"/>
        </w:tcBorders>
        <w:shd w:val="clear" w:color="auto" w:fill="FFFFFF"/>
      </w:tcPr>
    </w:tblStylePr>
    <w:tblStylePr w:type="firstCol">
      <w:pPr>
        <w:jc w:val="right"/>
      </w:pPr>
      <w:rPr>
        <w:rFonts w:ascii="Bahnschrift SemiLight SemiConde" w:eastAsia="Times New Roman" w:hAnsi="Bahnschrift SemiLight SemiConde" w:cs="Times New Roman"/>
        <w:i/>
        <w:iCs/>
        <w:sz w:val="26"/>
      </w:rPr>
      <w:tblPr/>
      <w:tcPr>
        <w:tcBorders>
          <w:right w:val="single" w:sz="4" w:space="0" w:color="7F7F7F"/>
        </w:tcBorders>
        <w:shd w:val="clear" w:color="auto" w:fill="FFFFFF"/>
      </w:tcPr>
    </w:tblStylePr>
    <w:tblStylePr w:type="lastCol">
      <w:rPr>
        <w:rFonts w:ascii="Bahnschrift SemiLight SemiConde" w:eastAsia="Times New Roman" w:hAnsi="Bahnschrift SemiLight SemiCond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9101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6639">
      <w:bodyDiv w:val="1"/>
      <w:marLeft w:val="0"/>
      <w:marRight w:val="0"/>
      <w:marTop w:val="0"/>
      <w:marBottom w:val="0"/>
      <w:divBdr>
        <w:top w:val="none" w:sz="0" w:space="0" w:color="auto"/>
        <w:left w:val="none" w:sz="0" w:space="0" w:color="auto"/>
        <w:bottom w:val="none" w:sz="0" w:space="0" w:color="auto"/>
        <w:right w:val="none" w:sz="0" w:space="0" w:color="auto"/>
      </w:divBdr>
    </w:div>
    <w:div w:id="31346694">
      <w:bodyDiv w:val="1"/>
      <w:marLeft w:val="0"/>
      <w:marRight w:val="0"/>
      <w:marTop w:val="0"/>
      <w:marBottom w:val="0"/>
      <w:divBdr>
        <w:top w:val="none" w:sz="0" w:space="0" w:color="auto"/>
        <w:left w:val="none" w:sz="0" w:space="0" w:color="auto"/>
        <w:bottom w:val="none" w:sz="0" w:space="0" w:color="auto"/>
        <w:right w:val="none" w:sz="0" w:space="0" w:color="auto"/>
      </w:divBdr>
    </w:div>
    <w:div w:id="44259476">
      <w:bodyDiv w:val="1"/>
      <w:marLeft w:val="0"/>
      <w:marRight w:val="0"/>
      <w:marTop w:val="0"/>
      <w:marBottom w:val="0"/>
      <w:divBdr>
        <w:top w:val="none" w:sz="0" w:space="0" w:color="auto"/>
        <w:left w:val="none" w:sz="0" w:space="0" w:color="auto"/>
        <w:bottom w:val="none" w:sz="0" w:space="0" w:color="auto"/>
        <w:right w:val="none" w:sz="0" w:space="0" w:color="auto"/>
      </w:divBdr>
    </w:div>
    <w:div w:id="53630057">
      <w:bodyDiv w:val="1"/>
      <w:marLeft w:val="0"/>
      <w:marRight w:val="0"/>
      <w:marTop w:val="0"/>
      <w:marBottom w:val="0"/>
      <w:divBdr>
        <w:top w:val="none" w:sz="0" w:space="0" w:color="auto"/>
        <w:left w:val="none" w:sz="0" w:space="0" w:color="auto"/>
        <w:bottom w:val="none" w:sz="0" w:space="0" w:color="auto"/>
        <w:right w:val="none" w:sz="0" w:space="0" w:color="auto"/>
      </w:divBdr>
    </w:div>
    <w:div w:id="81878730">
      <w:bodyDiv w:val="1"/>
      <w:marLeft w:val="0"/>
      <w:marRight w:val="0"/>
      <w:marTop w:val="0"/>
      <w:marBottom w:val="0"/>
      <w:divBdr>
        <w:top w:val="none" w:sz="0" w:space="0" w:color="auto"/>
        <w:left w:val="none" w:sz="0" w:space="0" w:color="auto"/>
        <w:bottom w:val="none" w:sz="0" w:space="0" w:color="auto"/>
        <w:right w:val="none" w:sz="0" w:space="0" w:color="auto"/>
      </w:divBdr>
    </w:div>
    <w:div w:id="109934330">
      <w:bodyDiv w:val="1"/>
      <w:marLeft w:val="0"/>
      <w:marRight w:val="0"/>
      <w:marTop w:val="0"/>
      <w:marBottom w:val="0"/>
      <w:divBdr>
        <w:top w:val="none" w:sz="0" w:space="0" w:color="auto"/>
        <w:left w:val="none" w:sz="0" w:space="0" w:color="auto"/>
        <w:bottom w:val="none" w:sz="0" w:space="0" w:color="auto"/>
        <w:right w:val="none" w:sz="0" w:space="0" w:color="auto"/>
      </w:divBdr>
    </w:div>
    <w:div w:id="131562585">
      <w:bodyDiv w:val="1"/>
      <w:marLeft w:val="0"/>
      <w:marRight w:val="0"/>
      <w:marTop w:val="0"/>
      <w:marBottom w:val="0"/>
      <w:divBdr>
        <w:top w:val="none" w:sz="0" w:space="0" w:color="auto"/>
        <w:left w:val="none" w:sz="0" w:space="0" w:color="auto"/>
        <w:bottom w:val="none" w:sz="0" w:space="0" w:color="auto"/>
        <w:right w:val="none" w:sz="0" w:space="0" w:color="auto"/>
      </w:divBdr>
    </w:div>
    <w:div w:id="133451564">
      <w:bodyDiv w:val="1"/>
      <w:marLeft w:val="0"/>
      <w:marRight w:val="0"/>
      <w:marTop w:val="0"/>
      <w:marBottom w:val="0"/>
      <w:divBdr>
        <w:top w:val="none" w:sz="0" w:space="0" w:color="auto"/>
        <w:left w:val="none" w:sz="0" w:space="0" w:color="auto"/>
        <w:bottom w:val="none" w:sz="0" w:space="0" w:color="auto"/>
        <w:right w:val="none" w:sz="0" w:space="0" w:color="auto"/>
      </w:divBdr>
    </w:div>
    <w:div w:id="159345536">
      <w:bodyDiv w:val="1"/>
      <w:marLeft w:val="0"/>
      <w:marRight w:val="0"/>
      <w:marTop w:val="0"/>
      <w:marBottom w:val="0"/>
      <w:divBdr>
        <w:top w:val="none" w:sz="0" w:space="0" w:color="auto"/>
        <w:left w:val="none" w:sz="0" w:space="0" w:color="auto"/>
        <w:bottom w:val="none" w:sz="0" w:space="0" w:color="auto"/>
        <w:right w:val="none" w:sz="0" w:space="0" w:color="auto"/>
      </w:divBdr>
    </w:div>
    <w:div w:id="205876789">
      <w:bodyDiv w:val="1"/>
      <w:marLeft w:val="0"/>
      <w:marRight w:val="0"/>
      <w:marTop w:val="0"/>
      <w:marBottom w:val="0"/>
      <w:divBdr>
        <w:top w:val="none" w:sz="0" w:space="0" w:color="auto"/>
        <w:left w:val="none" w:sz="0" w:space="0" w:color="auto"/>
        <w:bottom w:val="none" w:sz="0" w:space="0" w:color="auto"/>
        <w:right w:val="none" w:sz="0" w:space="0" w:color="auto"/>
      </w:divBdr>
    </w:div>
    <w:div w:id="229079089">
      <w:bodyDiv w:val="1"/>
      <w:marLeft w:val="0"/>
      <w:marRight w:val="0"/>
      <w:marTop w:val="0"/>
      <w:marBottom w:val="0"/>
      <w:divBdr>
        <w:top w:val="none" w:sz="0" w:space="0" w:color="auto"/>
        <w:left w:val="none" w:sz="0" w:space="0" w:color="auto"/>
        <w:bottom w:val="none" w:sz="0" w:space="0" w:color="auto"/>
        <w:right w:val="none" w:sz="0" w:space="0" w:color="auto"/>
      </w:divBdr>
    </w:div>
    <w:div w:id="237834965">
      <w:bodyDiv w:val="1"/>
      <w:marLeft w:val="0"/>
      <w:marRight w:val="0"/>
      <w:marTop w:val="0"/>
      <w:marBottom w:val="0"/>
      <w:divBdr>
        <w:top w:val="none" w:sz="0" w:space="0" w:color="auto"/>
        <w:left w:val="none" w:sz="0" w:space="0" w:color="auto"/>
        <w:bottom w:val="none" w:sz="0" w:space="0" w:color="auto"/>
        <w:right w:val="none" w:sz="0" w:space="0" w:color="auto"/>
      </w:divBdr>
    </w:div>
    <w:div w:id="243800174">
      <w:bodyDiv w:val="1"/>
      <w:marLeft w:val="0"/>
      <w:marRight w:val="0"/>
      <w:marTop w:val="0"/>
      <w:marBottom w:val="0"/>
      <w:divBdr>
        <w:top w:val="none" w:sz="0" w:space="0" w:color="auto"/>
        <w:left w:val="none" w:sz="0" w:space="0" w:color="auto"/>
        <w:bottom w:val="none" w:sz="0" w:space="0" w:color="auto"/>
        <w:right w:val="none" w:sz="0" w:space="0" w:color="auto"/>
      </w:divBdr>
    </w:div>
    <w:div w:id="291447368">
      <w:bodyDiv w:val="1"/>
      <w:marLeft w:val="0"/>
      <w:marRight w:val="0"/>
      <w:marTop w:val="0"/>
      <w:marBottom w:val="0"/>
      <w:divBdr>
        <w:top w:val="none" w:sz="0" w:space="0" w:color="auto"/>
        <w:left w:val="none" w:sz="0" w:space="0" w:color="auto"/>
        <w:bottom w:val="none" w:sz="0" w:space="0" w:color="auto"/>
        <w:right w:val="none" w:sz="0" w:space="0" w:color="auto"/>
      </w:divBdr>
    </w:div>
    <w:div w:id="316541277">
      <w:bodyDiv w:val="1"/>
      <w:marLeft w:val="0"/>
      <w:marRight w:val="0"/>
      <w:marTop w:val="0"/>
      <w:marBottom w:val="0"/>
      <w:divBdr>
        <w:top w:val="none" w:sz="0" w:space="0" w:color="auto"/>
        <w:left w:val="none" w:sz="0" w:space="0" w:color="auto"/>
        <w:bottom w:val="none" w:sz="0" w:space="0" w:color="auto"/>
        <w:right w:val="none" w:sz="0" w:space="0" w:color="auto"/>
      </w:divBdr>
    </w:div>
    <w:div w:id="326859532">
      <w:bodyDiv w:val="1"/>
      <w:marLeft w:val="0"/>
      <w:marRight w:val="0"/>
      <w:marTop w:val="0"/>
      <w:marBottom w:val="0"/>
      <w:divBdr>
        <w:top w:val="none" w:sz="0" w:space="0" w:color="auto"/>
        <w:left w:val="none" w:sz="0" w:space="0" w:color="auto"/>
        <w:bottom w:val="none" w:sz="0" w:space="0" w:color="auto"/>
        <w:right w:val="none" w:sz="0" w:space="0" w:color="auto"/>
      </w:divBdr>
    </w:div>
    <w:div w:id="352387156">
      <w:bodyDiv w:val="1"/>
      <w:marLeft w:val="0"/>
      <w:marRight w:val="0"/>
      <w:marTop w:val="0"/>
      <w:marBottom w:val="0"/>
      <w:divBdr>
        <w:top w:val="none" w:sz="0" w:space="0" w:color="auto"/>
        <w:left w:val="none" w:sz="0" w:space="0" w:color="auto"/>
        <w:bottom w:val="none" w:sz="0" w:space="0" w:color="auto"/>
        <w:right w:val="none" w:sz="0" w:space="0" w:color="auto"/>
      </w:divBdr>
    </w:div>
    <w:div w:id="364792878">
      <w:bodyDiv w:val="1"/>
      <w:marLeft w:val="0"/>
      <w:marRight w:val="0"/>
      <w:marTop w:val="0"/>
      <w:marBottom w:val="0"/>
      <w:divBdr>
        <w:top w:val="none" w:sz="0" w:space="0" w:color="auto"/>
        <w:left w:val="none" w:sz="0" w:space="0" w:color="auto"/>
        <w:bottom w:val="none" w:sz="0" w:space="0" w:color="auto"/>
        <w:right w:val="none" w:sz="0" w:space="0" w:color="auto"/>
      </w:divBdr>
    </w:div>
    <w:div w:id="427386237">
      <w:bodyDiv w:val="1"/>
      <w:marLeft w:val="0"/>
      <w:marRight w:val="0"/>
      <w:marTop w:val="0"/>
      <w:marBottom w:val="0"/>
      <w:divBdr>
        <w:top w:val="none" w:sz="0" w:space="0" w:color="auto"/>
        <w:left w:val="none" w:sz="0" w:space="0" w:color="auto"/>
        <w:bottom w:val="none" w:sz="0" w:space="0" w:color="auto"/>
        <w:right w:val="none" w:sz="0" w:space="0" w:color="auto"/>
      </w:divBdr>
    </w:div>
    <w:div w:id="437985655">
      <w:bodyDiv w:val="1"/>
      <w:marLeft w:val="0"/>
      <w:marRight w:val="0"/>
      <w:marTop w:val="0"/>
      <w:marBottom w:val="0"/>
      <w:divBdr>
        <w:top w:val="none" w:sz="0" w:space="0" w:color="auto"/>
        <w:left w:val="none" w:sz="0" w:space="0" w:color="auto"/>
        <w:bottom w:val="none" w:sz="0" w:space="0" w:color="auto"/>
        <w:right w:val="none" w:sz="0" w:space="0" w:color="auto"/>
      </w:divBdr>
    </w:div>
    <w:div w:id="442262314">
      <w:bodyDiv w:val="1"/>
      <w:marLeft w:val="0"/>
      <w:marRight w:val="0"/>
      <w:marTop w:val="0"/>
      <w:marBottom w:val="0"/>
      <w:divBdr>
        <w:top w:val="none" w:sz="0" w:space="0" w:color="auto"/>
        <w:left w:val="none" w:sz="0" w:space="0" w:color="auto"/>
        <w:bottom w:val="none" w:sz="0" w:space="0" w:color="auto"/>
        <w:right w:val="none" w:sz="0" w:space="0" w:color="auto"/>
      </w:divBdr>
    </w:div>
    <w:div w:id="470899927">
      <w:bodyDiv w:val="1"/>
      <w:marLeft w:val="0"/>
      <w:marRight w:val="0"/>
      <w:marTop w:val="0"/>
      <w:marBottom w:val="0"/>
      <w:divBdr>
        <w:top w:val="none" w:sz="0" w:space="0" w:color="auto"/>
        <w:left w:val="none" w:sz="0" w:space="0" w:color="auto"/>
        <w:bottom w:val="none" w:sz="0" w:space="0" w:color="auto"/>
        <w:right w:val="none" w:sz="0" w:space="0" w:color="auto"/>
      </w:divBdr>
    </w:div>
    <w:div w:id="488446711">
      <w:bodyDiv w:val="1"/>
      <w:marLeft w:val="0"/>
      <w:marRight w:val="0"/>
      <w:marTop w:val="0"/>
      <w:marBottom w:val="0"/>
      <w:divBdr>
        <w:top w:val="none" w:sz="0" w:space="0" w:color="auto"/>
        <w:left w:val="none" w:sz="0" w:space="0" w:color="auto"/>
        <w:bottom w:val="none" w:sz="0" w:space="0" w:color="auto"/>
        <w:right w:val="none" w:sz="0" w:space="0" w:color="auto"/>
      </w:divBdr>
    </w:div>
    <w:div w:id="502207438">
      <w:bodyDiv w:val="1"/>
      <w:marLeft w:val="0"/>
      <w:marRight w:val="0"/>
      <w:marTop w:val="0"/>
      <w:marBottom w:val="0"/>
      <w:divBdr>
        <w:top w:val="none" w:sz="0" w:space="0" w:color="auto"/>
        <w:left w:val="none" w:sz="0" w:space="0" w:color="auto"/>
        <w:bottom w:val="none" w:sz="0" w:space="0" w:color="auto"/>
        <w:right w:val="none" w:sz="0" w:space="0" w:color="auto"/>
      </w:divBdr>
    </w:div>
    <w:div w:id="505748525">
      <w:bodyDiv w:val="1"/>
      <w:marLeft w:val="0"/>
      <w:marRight w:val="0"/>
      <w:marTop w:val="0"/>
      <w:marBottom w:val="0"/>
      <w:divBdr>
        <w:top w:val="none" w:sz="0" w:space="0" w:color="auto"/>
        <w:left w:val="none" w:sz="0" w:space="0" w:color="auto"/>
        <w:bottom w:val="none" w:sz="0" w:space="0" w:color="auto"/>
        <w:right w:val="none" w:sz="0" w:space="0" w:color="auto"/>
      </w:divBdr>
    </w:div>
    <w:div w:id="561990545">
      <w:bodyDiv w:val="1"/>
      <w:marLeft w:val="0"/>
      <w:marRight w:val="0"/>
      <w:marTop w:val="0"/>
      <w:marBottom w:val="0"/>
      <w:divBdr>
        <w:top w:val="none" w:sz="0" w:space="0" w:color="auto"/>
        <w:left w:val="none" w:sz="0" w:space="0" w:color="auto"/>
        <w:bottom w:val="none" w:sz="0" w:space="0" w:color="auto"/>
        <w:right w:val="none" w:sz="0" w:space="0" w:color="auto"/>
      </w:divBdr>
    </w:div>
    <w:div w:id="665982718">
      <w:bodyDiv w:val="1"/>
      <w:marLeft w:val="0"/>
      <w:marRight w:val="0"/>
      <w:marTop w:val="0"/>
      <w:marBottom w:val="0"/>
      <w:divBdr>
        <w:top w:val="none" w:sz="0" w:space="0" w:color="auto"/>
        <w:left w:val="none" w:sz="0" w:space="0" w:color="auto"/>
        <w:bottom w:val="none" w:sz="0" w:space="0" w:color="auto"/>
        <w:right w:val="none" w:sz="0" w:space="0" w:color="auto"/>
      </w:divBdr>
    </w:div>
    <w:div w:id="694310579">
      <w:bodyDiv w:val="1"/>
      <w:marLeft w:val="0"/>
      <w:marRight w:val="0"/>
      <w:marTop w:val="0"/>
      <w:marBottom w:val="0"/>
      <w:divBdr>
        <w:top w:val="none" w:sz="0" w:space="0" w:color="auto"/>
        <w:left w:val="none" w:sz="0" w:space="0" w:color="auto"/>
        <w:bottom w:val="none" w:sz="0" w:space="0" w:color="auto"/>
        <w:right w:val="none" w:sz="0" w:space="0" w:color="auto"/>
      </w:divBdr>
    </w:div>
    <w:div w:id="715276311">
      <w:bodyDiv w:val="1"/>
      <w:marLeft w:val="0"/>
      <w:marRight w:val="0"/>
      <w:marTop w:val="0"/>
      <w:marBottom w:val="0"/>
      <w:divBdr>
        <w:top w:val="none" w:sz="0" w:space="0" w:color="auto"/>
        <w:left w:val="none" w:sz="0" w:space="0" w:color="auto"/>
        <w:bottom w:val="none" w:sz="0" w:space="0" w:color="auto"/>
        <w:right w:val="none" w:sz="0" w:space="0" w:color="auto"/>
      </w:divBdr>
    </w:div>
    <w:div w:id="736394255">
      <w:bodyDiv w:val="1"/>
      <w:marLeft w:val="0"/>
      <w:marRight w:val="0"/>
      <w:marTop w:val="0"/>
      <w:marBottom w:val="0"/>
      <w:divBdr>
        <w:top w:val="none" w:sz="0" w:space="0" w:color="auto"/>
        <w:left w:val="none" w:sz="0" w:space="0" w:color="auto"/>
        <w:bottom w:val="none" w:sz="0" w:space="0" w:color="auto"/>
        <w:right w:val="none" w:sz="0" w:space="0" w:color="auto"/>
      </w:divBdr>
    </w:div>
    <w:div w:id="743986906">
      <w:bodyDiv w:val="1"/>
      <w:marLeft w:val="0"/>
      <w:marRight w:val="0"/>
      <w:marTop w:val="0"/>
      <w:marBottom w:val="0"/>
      <w:divBdr>
        <w:top w:val="none" w:sz="0" w:space="0" w:color="auto"/>
        <w:left w:val="none" w:sz="0" w:space="0" w:color="auto"/>
        <w:bottom w:val="none" w:sz="0" w:space="0" w:color="auto"/>
        <w:right w:val="none" w:sz="0" w:space="0" w:color="auto"/>
      </w:divBdr>
    </w:div>
    <w:div w:id="755899532">
      <w:bodyDiv w:val="1"/>
      <w:marLeft w:val="0"/>
      <w:marRight w:val="0"/>
      <w:marTop w:val="0"/>
      <w:marBottom w:val="0"/>
      <w:divBdr>
        <w:top w:val="none" w:sz="0" w:space="0" w:color="auto"/>
        <w:left w:val="none" w:sz="0" w:space="0" w:color="auto"/>
        <w:bottom w:val="none" w:sz="0" w:space="0" w:color="auto"/>
        <w:right w:val="none" w:sz="0" w:space="0" w:color="auto"/>
      </w:divBdr>
    </w:div>
    <w:div w:id="774010889">
      <w:bodyDiv w:val="1"/>
      <w:marLeft w:val="0"/>
      <w:marRight w:val="0"/>
      <w:marTop w:val="0"/>
      <w:marBottom w:val="0"/>
      <w:divBdr>
        <w:top w:val="none" w:sz="0" w:space="0" w:color="auto"/>
        <w:left w:val="none" w:sz="0" w:space="0" w:color="auto"/>
        <w:bottom w:val="none" w:sz="0" w:space="0" w:color="auto"/>
        <w:right w:val="none" w:sz="0" w:space="0" w:color="auto"/>
      </w:divBdr>
    </w:div>
    <w:div w:id="818694109">
      <w:bodyDiv w:val="1"/>
      <w:marLeft w:val="0"/>
      <w:marRight w:val="0"/>
      <w:marTop w:val="0"/>
      <w:marBottom w:val="0"/>
      <w:divBdr>
        <w:top w:val="none" w:sz="0" w:space="0" w:color="auto"/>
        <w:left w:val="none" w:sz="0" w:space="0" w:color="auto"/>
        <w:bottom w:val="none" w:sz="0" w:space="0" w:color="auto"/>
        <w:right w:val="none" w:sz="0" w:space="0" w:color="auto"/>
      </w:divBdr>
    </w:div>
    <w:div w:id="834953504">
      <w:bodyDiv w:val="1"/>
      <w:marLeft w:val="0"/>
      <w:marRight w:val="0"/>
      <w:marTop w:val="0"/>
      <w:marBottom w:val="0"/>
      <w:divBdr>
        <w:top w:val="none" w:sz="0" w:space="0" w:color="auto"/>
        <w:left w:val="none" w:sz="0" w:space="0" w:color="auto"/>
        <w:bottom w:val="none" w:sz="0" w:space="0" w:color="auto"/>
        <w:right w:val="none" w:sz="0" w:space="0" w:color="auto"/>
      </w:divBdr>
    </w:div>
    <w:div w:id="901328287">
      <w:bodyDiv w:val="1"/>
      <w:marLeft w:val="0"/>
      <w:marRight w:val="0"/>
      <w:marTop w:val="0"/>
      <w:marBottom w:val="0"/>
      <w:divBdr>
        <w:top w:val="none" w:sz="0" w:space="0" w:color="auto"/>
        <w:left w:val="none" w:sz="0" w:space="0" w:color="auto"/>
        <w:bottom w:val="none" w:sz="0" w:space="0" w:color="auto"/>
        <w:right w:val="none" w:sz="0" w:space="0" w:color="auto"/>
      </w:divBdr>
    </w:div>
    <w:div w:id="910625182">
      <w:bodyDiv w:val="1"/>
      <w:marLeft w:val="0"/>
      <w:marRight w:val="0"/>
      <w:marTop w:val="0"/>
      <w:marBottom w:val="0"/>
      <w:divBdr>
        <w:top w:val="none" w:sz="0" w:space="0" w:color="auto"/>
        <w:left w:val="none" w:sz="0" w:space="0" w:color="auto"/>
        <w:bottom w:val="none" w:sz="0" w:space="0" w:color="auto"/>
        <w:right w:val="none" w:sz="0" w:space="0" w:color="auto"/>
      </w:divBdr>
    </w:div>
    <w:div w:id="910702456">
      <w:bodyDiv w:val="1"/>
      <w:marLeft w:val="0"/>
      <w:marRight w:val="0"/>
      <w:marTop w:val="0"/>
      <w:marBottom w:val="0"/>
      <w:divBdr>
        <w:top w:val="none" w:sz="0" w:space="0" w:color="auto"/>
        <w:left w:val="none" w:sz="0" w:space="0" w:color="auto"/>
        <w:bottom w:val="none" w:sz="0" w:space="0" w:color="auto"/>
        <w:right w:val="none" w:sz="0" w:space="0" w:color="auto"/>
      </w:divBdr>
    </w:div>
    <w:div w:id="914822749">
      <w:bodyDiv w:val="1"/>
      <w:marLeft w:val="0"/>
      <w:marRight w:val="0"/>
      <w:marTop w:val="0"/>
      <w:marBottom w:val="0"/>
      <w:divBdr>
        <w:top w:val="none" w:sz="0" w:space="0" w:color="auto"/>
        <w:left w:val="none" w:sz="0" w:space="0" w:color="auto"/>
        <w:bottom w:val="none" w:sz="0" w:space="0" w:color="auto"/>
        <w:right w:val="none" w:sz="0" w:space="0" w:color="auto"/>
      </w:divBdr>
    </w:div>
    <w:div w:id="959267706">
      <w:bodyDiv w:val="1"/>
      <w:marLeft w:val="0"/>
      <w:marRight w:val="0"/>
      <w:marTop w:val="0"/>
      <w:marBottom w:val="0"/>
      <w:divBdr>
        <w:top w:val="none" w:sz="0" w:space="0" w:color="auto"/>
        <w:left w:val="none" w:sz="0" w:space="0" w:color="auto"/>
        <w:bottom w:val="none" w:sz="0" w:space="0" w:color="auto"/>
        <w:right w:val="none" w:sz="0" w:space="0" w:color="auto"/>
      </w:divBdr>
    </w:div>
    <w:div w:id="967473513">
      <w:bodyDiv w:val="1"/>
      <w:marLeft w:val="0"/>
      <w:marRight w:val="0"/>
      <w:marTop w:val="0"/>
      <w:marBottom w:val="0"/>
      <w:divBdr>
        <w:top w:val="none" w:sz="0" w:space="0" w:color="auto"/>
        <w:left w:val="none" w:sz="0" w:space="0" w:color="auto"/>
        <w:bottom w:val="none" w:sz="0" w:space="0" w:color="auto"/>
        <w:right w:val="none" w:sz="0" w:space="0" w:color="auto"/>
      </w:divBdr>
    </w:div>
    <w:div w:id="969093958">
      <w:bodyDiv w:val="1"/>
      <w:marLeft w:val="0"/>
      <w:marRight w:val="0"/>
      <w:marTop w:val="0"/>
      <w:marBottom w:val="0"/>
      <w:divBdr>
        <w:top w:val="none" w:sz="0" w:space="0" w:color="auto"/>
        <w:left w:val="none" w:sz="0" w:space="0" w:color="auto"/>
        <w:bottom w:val="none" w:sz="0" w:space="0" w:color="auto"/>
        <w:right w:val="none" w:sz="0" w:space="0" w:color="auto"/>
      </w:divBdr>
    </w:div>
    <w:div w:id="1006711784">
      <w:bodyDiv w:val="1"/>
      <w:marLeft w:val="0"/>
      <w:marRight w:val="0"/>
      <w:marTop w:val="0"/>
      <w:marBottom w:val="0"/>
      <w:divBdr>
        <w:top w:val="none" w:sz="0" w:space="0" w:color="auto"/>
        <w:left w:val="none" w:sz="0" w:space="0" w:color="auto"/>
        <w:bottom w:val="none" w:sz="0" w:space="0" w:color="auto"/>
        <w:right w:val="none" w:sz="0" w:space="0" w:color="auto"/>
      </w:divBdr>
    </w:div>
    <w:div w:id="1039017170">
      <w:bodyDiv w:val="1"/>
      <w:marLeft w:val="0"/>
      <w:marRight w:val="0"/>
      <w:marTop w:val="0"/>
      <w:marBottom w:val="0"/>
      <w:divBdr>
        <w:top w:val="none" w:sz="0" w:space="0" w:color="auto"/>
        <w:left w:val="none" w:sz="0" w:space="0" w:color="auto"/>
        <w:bottom w:val="none" w:sz="0" w:space="0" w:color="auto"/>
        <w:right w:val="none" w:sz="0" w:space="0" w:color="auto"/>
      </w:divBdr>
    </w:div>
    <w:div w:id="1047069787">
      <w:bodyDiv w:val="1"/>
      <w:marLeft w:val="0"/>
      <w:marRight w:val="0"/>
      <w:marTop w:val="0"/>
      <w:marBottom w:val="0"/>
      <w:divBdr>
        <w:top w:val="none" w:sz="0" w:space="0" w:color="auto"/>
        <w:left w:val="none" w:sz="0" w:space="0" w:color="auto"/>
        <w:bottom w:val="none" w:sz="0" w:space="0" w:color="auto"/>
        <w:right w:val="none" w:sz="0" w:space="0" w:color="auto"/>
      </w:divBdr>
    </w:div>
    <w:div w:id="1103527017">
      <w:bodyDiv w:val="1"/>
      <w:marLeft w:val="0"/>
      <w:marRight w:val="0"/>
      <w:marTop w:val="0"/>
      <w:marBottom w:val="0"/>
      <w:divBdr>
        <w:top w:val="none" w:sz="0" w:space="0" w:color="auto"/>
        <w:left w:val="none" w:sz="0" w:space="0" w:color="auto"/>
        <w:bottom w:val="none" w:sz="0" w:space="0" w:color="auto"/>
        <w:right w:val="none" w:sz="0" w:space="0" w:color="auto"/>
      </w:divBdr>
    </w:div>
    <w:div w:id="1137457946">
      <w:bodyDiv w:val="1"/>
      <w:marLeft w:val="0"/>
      <w:marRight w:val="0"/>
      <w:marTop w:val="0"/>
      <w:marBottom w:val="0"/>
      <w:divBdr>
        <w:top w:val="none" w:sz="0" w:space="0" w:color="auto"/>
        <w:left w:val="none" w:sz="0" w:space="0" w:color="auto"/>
        <w:bottom w:val="none" w:sz="0" w:space="0" w:color="auto"/>
        <w:right w:val="none" w:sz="0" w:space="0" w:color="auto"/>
      </w:divBdr>
    </w:div>
    <w:div w:id="1140877343">
      <w:bodyDiv w:val="1"/>
      <w:marLeft w:val="0"/>
      <w:marRight w:val="0"/>
      <w:marTop w:val="0"/>
      <w:marBottom w:val="0"/>
      <w:divBdr>
        <w:top w:val="none" w:sz="0" w:space="0" w:color="auto"/>
        <w:left w:val="none" w:sz="0" w:space="0" w:color="auto"/>
        <w:bottom w:val="none" w:sz="0" w:space="0" w:color="auto"/>
        <w:right w:val="none" w:sz="0" w:space="0" w:color="auto"/>
      </w:divBdr>
    </w:div>
    <w:div w:id="1170607736">
      <w:bodyDiv w:val="1"/>
      <w:marLeft w:val="0"/>
      <w:marRight w:val="0"/>
      <w:marTop w:val="0"/>
      <w:marBottom w:val="0"/>
      <w:divBdr>
        <w:top w:val="none" w:sz="0" w:space="0" w:color="auto"/>
        <w:left w:val="none" w:sz="0" w:space="0" w:color="auto"/>
        <w:bottom w:val="none" w:sz="0" w:space="0" w:color="auto"/>
        <w:right w:val="none" w:sz="0" w:space="0" w:color="auto"/>
      </w:divBdr>
    </w:div>
    <w:div w:id="1171529592">
      <w:bodyDiv w:val="1"/>
      <w:marLeft w:val="0"/>
      <w:marRight w:val="0"/>
      <w:marTop w:val="0"/>
      <w:marBottom w:val="0"/>
      <w:divBdr>
        <w:top w:val="none" w:sz="0" w:space="0" w:color="auto"/>
        <w:left w:val="none" w:sz="0" w:space="0" w:color="auto"/>
        <w:bottom w:val="none" w:sz="0" w:space="0" w:color="auto"/>
        <w:right w:val="none" w:sz="0" w:space="0" w:color="auto"/>
      </w:divBdr>
    </w:div>
    <w:div w:id="1186360506">
      <w:bodyDiv w:val="1"/>
      <w:marLeft w:val="0"/>
      <w:marRight w:val="0"/>
      <w:marTop w:val="0"/>
      <w:marBottom w:val="0"/>
      <w:divBdr>
        <w:top w:val="none" w:sz="0" w:space="0" w:color="auto"/>
        <w:left w:val="none" w:sz="0" w:space="0" w:color="auto"/>
        <w:bottom w:val="none" w:sz="0" w:space="0" w:color="auto"/>
        <w:right w:val="none" w:sz="0" w:space="0" w:color="auto"/>
      </w:divBdr>
    </w:div>
    <w:div w:id="1211191539">
      <w:bodyDiv w:val="1"/>
      <w:marLeft w:val="0"/>
      <w:marRight w:val="0"/>
      <w:marTop w:val="0"/>
      <w:marBottom w:val="0"/>
      <w:divBdr>
        <w:top w:val="none" w:sz="0" w:space="0" w:color="auto"/>
        <w:left w:val="none" w:sz="0" w:space="0" w:color="auto"/>
        <w:bottom w:val="none" w:sz="0" w:space="0" w:color="auto"/>
        <w:right w:val="none" w:sz="0" w:space="0" w:color="auto"/>
      </w:divBdr>
    </w:div>
    <w:div w:id="1218513071">
      <w:bodyDiv w:val="1"/>
      <w:marLeft w:val="0"/>
      <w:marRight w:val="0"/>
      <w:marTop w:val="0"/>
      <w:marBottom w:val="0"/>
      <w:divBdr>
        <w:top w:val="none" w:sz="0" w:space="0" w:color="auto"/>
        <w:left w:val="none" w:sz="0" w:space="0" w:color="auto"/>
        <w:bottom w:val="none" w:sz="0" w:space="0" w:color="auto"/>
        <w:right w:val="none" w:sz="0" w:space="0" w:color="auto"/>
      </w:divBdr>
    </w:div>
    <w:div w:id="1236282577">
      <w:bodyDiv w:val="1"/>
      <w:marLeft w:val="0"/>
      <w:marRight w:val="0"/>
      <w:marTop w:val="0"/>
      <w:marBottom w:val="0"/>
      <w:divBdr>
        <w:top w:val="none" w:sz="0" w:space="0" w:color="auto"/>
        <w:left w:val="none" w:sz="0" w:space="0" w:color="auto"/>
        <w:bottom w:val="none" w:sz="0" w:space="0" w:color="auto"/>
        <w:right w:val="none" w:sz="0" w:space="0" w:color="auto"/>
      </w:divBdr>
    </w:div>
    <w:div w:id="1275139764">
      <w:bodyDiv w:val="1"/>
      <w:marLeft w:val="0"/>
      <w:marRight w:val="0"/>
      <w:marTop w:val="0"/>
      <w:marBottom w:val="0"/>
      <w:divBdr>
        <w:top w:val="none" w:sz="0" w:space="0" w:color="auto"/>
        <w:left w:val="none" w:sz="0" w:space="0" w:color="auto"/>
        <w:bottom w:val="none" w:sz="0" w:space="0" w:color="auto"/>
        <w:right w:val="none" w:sz="0" w:space="0" w:color="auto"/>
      </w:divBdr>
    </w:div>
    <w:div w:id="1281499276">
      <w:bodyDiv w:val="1"/>
      <w:marLeft w:val="0"/>
      <w:marRight w:val="0"/>
      <w:marTop w:val="0"/>
      <w:marBottom w:val="0"/>
      <w:divBdr>
        <w:top w:val="none" w:sz="0" w:space="0" w:color="auto"/>
        <w:left w:val="none" w:sz="0" w:space="0" w:color="auto"/>
        <w:bottom w:val="none" w:sz="0" w:space="0" w:color="auto"/>
        <w:right w:val="none" w:sz="0" w:space="0" w:color="auto"/>
      </w:divBdr>
    </w:div>
    <w:div w:id="1320620604">
      <w:bodyDiv w:val="1"/>
      <w:marLeft w:val="0"/>
      <w:marRight w:val="0"/>
      <w:marTop w:val="0"/>
      <w:marBottom w:val="0"/>
      <w:divBdr>
        <w:top w:val="none" w:sz="0" w:space="0" w:color="auto"/>
        <w:left w:val="none" w:sz="0" w:space="0" w:color="auto"/>
        <w:bottom w:val="none" w:sz="0" w:space="0" w:color="auto"/>
        <w:right w:val="none" w:sz="0" w:space="0" w:color="auto"/>
      </w:divBdr>
    </w:div>
    <w:div w:id="1352149538">
      <w:bodyDiv w:val="1"/>
      <w:marLeft w:val="0"/>
      <w:marRight w:val="0"/>
      <w:marTop w:val="0"/>
      <w:marBottom w:val="0"/>
      <w:divBdr>
        <w:top w:val="none" w:sz="0" w:space="0" w:color="auto"/>
        <w:left w:val="none" w:sz="0" w:space="0" w:color="auto"/>
        <w:bottom w:val="none" w:sz="0" w:space="0" w:color="auto"/>
        <w:right w:val="none" w:sz="0" w:space="0" w:color="auto"/>
      </w:divBdr>
    </w:div>
    <w:div w:id="1362392348">
      <w:bodyDiv w:val="1"/>
      <w:marLeft w:val="0"/>
      <w:marRight w:val="0"/>
      <w:marTop w:val="0"/>
      <w:marBottom w:val="0"/>
      <w:divBdr>
        <w:top w:val="none" w:sz="0" w:space="0" w:color="auto"/>
        <w:left w:val="none" w:sz="0" w:space="0" w:color="auto"/>
        <w:bottom w:val="none" w:sz="0" w:space="0" w:color="auto"/>
        <w:right w:val="none" w:sz="0" w:space="0" w:color="auto"/>
      </w:divBdr>
    </w:div>
    <w:div w:id="1385566546">
      <w:bodyDiv w:val="1"/>
      <w:marLeft w:val="0"/>
      <w:marRight w:val="0"/>
      <w:marTop w:val="0"/>
      <w:marBottom w:val="0"/>
      <w:divBdr>
        <w:top w:val="none" w:sz="0" w:space="0" w:color="auto"/>
        <w:left w:val="none" w:sz="0" w:space="0" w:color="auto"/>
        <w:bottom w:val="none" w:sz="0" w:space="0" w:color="auto"/>
        <w:right w:val="none" w:sz="0" w:space="0" w:color="auto"/>
      </w:divBdr>
    </w:div>
    <w:div w:id="1391004796">
      <w:bodyDiv w:val="1"/>
      <w:marLeft w:val="0"/>
      <w:marRight w:val="0"/>
      <w:marTop w:val="0"/>
      <w:marBottom w:val="0"/>
      <w:divBdr>
        <w:top w:val="none" w:sz="0" w:space="0" w:color="auto"/>
        <w:left w:val="none" w:sz="0" w:space="0" w:color="auto"/>
        <w:bottom w:val="none" w:sz="0" w:space="0" w:color="auto"/>
        <w:right w:val="none" w:sz="0" w:space="0" w:color="auto"/>
      </w:divBdr>
    </w:div>
    <w:div w:id="1474252449">
      <w:bodyDiv w:val="1"/>
      <w:marLeft w:val="0"/>
      <w:marRight w:val="0"/>
      <w:marTop w:val="0"/>
      <w:marBottom w:val="0"/>
      <w:divBdr>
        <w:top w:val="none" w:sz="0" w:space="0" w:color="auto"/>
        <w:left w:val="none" w:sz="0" w:space="0" w:color="auto"/>
        <w:bottom w:val="none" w:sz="0" w:space="0" w:color="auto"/>
        <w:right w:val="none" w:sz="0" w:space="0" w:color="auto"/>
      </w:divBdr>
    </w:div>
    <w:div w:id="1506750172">
      <w:bodyDiv w:val="1"/>
      <w:marLeft w:val="0"/>
      <w:marRight w:val="0"/>
      <w:marTop w:val="0"/>
      <w:marBottom w:val="0"/>
      <w:divBdr>
        <w:top w:val="none" w:sz="0" w:space="0" w:color="auto"/>
        <w:left w:val="none" w:sz="0" w:space="0" w:color="auto"/>
        <w:bottom w:val="none" w:sz="0" w:space="0" w:color="auto"/>
        <w:right w:val="none" w:sz="0" w:space="0" w:color="auto"/>
      </w:divBdr>
    </w:div>
    <w:div w:id="1513300331">
      <w:bodyDiv w:val="1"/>
      <w:marLeft w:val="0"/>
      <w:marRight w:val="0"/>
      <w:marTop w:val="0"/>
      <w:marBottom w:val="0"/>
      <w:divBdr>
        <w:top w:val="none" w:sz="0" w:space="0" w:color="auto"/>
        <w:left w:val="none" w:sz="0" w:space="0" w:color="auto"/>
        <w:bottom w:val="none" w:sz="0" w:space="0" w:color="auto"/>
        <w:right w:val="none" w:sz="0" w:space="0" w:color="auto"/>
      </w:divBdr>
    </w:div>
    <w:div w:id="1519929423">
      <w:bodyDiv w:val="1"/>
      <w:marLeft w:val="0"/>
      <w:marRight w:val="0"/>
      <w:marTop w:val="0"/>
      <w:marBottom w:val="0"/>
      <w:divBdr>
        <w:top w:val="none" w:sz="0" w:space="0" w:color="auto"/>
        <w:left w:val="none" w:sz="0" w:space="0" w:color="auto"/>
        <w:bottom w:val="none" w:sz="0" w:space="0" w:color="auto"/>
        <w:right w:val="none" w:sz="0" w:space="0" w:color="auto"/>
      </w:divBdr>
    </w:div>
    <w:div w:id="1542791315">
      <w:bodyDiv w:val="1"/>
      <w:marLeft w:val="0"/>
      <w:marRight w:val="0"/>
      <w:marTop w:val="0"/>
      <w:marBottom w:val="0"/>
      <w:divBdr>
        <w:top w:val="none" w:sz="0" w:space="0" w:color="auto"/>
        <w:left w:val="none" w:sz="0" w:space="0" w:color="auto"/>
        <w:bottom w:val="none" w:sz="0" w:space="0" w:color="auto"/>
        <w:right w:val="none" w:sz="0" w:space="0" w:color="auto"/>
      </w:divBdr>
    </w:div>
    <w:div w:id="1553079291">
      <w:bodyDiv w:val="1"/>
      <w:marLeft w:val="0"/>
      <w:marRight w:val="0"/>
      <w:marTop w:val="0"/>
      <w:marBottom w:val="0"/>
      <w:divBdr>
        <w:top w:val="none" w:sz="0" w:space="0" w:color="auto"/>
        <w:left w:val="none" w:sz="0" w:space="0" w:color="auto"/>
        <w:bottom w:val="none" w:sz="0" w:space="0" w:color="auto"/>
        <w:right w:val="none" w:sz="0" w:space="0" w:color="auto"/>
      </w:divBdr>
    </w:div>
    <w:div w:id="1559632724">
      <w:bodyDiv w:val="1"/>
      <w:marLeft w:val="0"/>
      <w:marRight w:val="0"/>
      <w:marTop w:val="0"/>
      <w:marBottom w:val="0"/>
      <w:divBdr>
        <w:top w:val="none" w:sz="0" w:space="0" w:color="auto"/>
        <w:left w:val="none" w:sz="0" w:space="0" w:color="auto"/>
        <w:bottom w:val="none" w:sz="0" w:space="0" w:color="auto"/>
        <w:right w:val="none" w:sz="0" w:space="0" w:color="auto"/>
      </w:divBdr>
    </w:div>
    <w:div w:id="1568609571">
      <w:bodyDiv w:val="1"/>
      <w:marLeft w:val="0"/>
      <w:marRight w:val="0"/>
      <w:marTop w:val="0"/>
      <w:marBottom w:val="0"/>
      <w:divBdr>
        <w:top w:val="none" w:sz="0" w:space="0" w:color="auto"/>
        <w:left w:val="none" w:sz="0" w:space="0" w:color="auto"/>
        <w:bottom w:val="none" w:sz="0" w:space="0" w:color="auto"/>
        <w:right w:val="none" w:sz="0" w:space="0" w:color="auto"/>
      </w:divBdr>
    </w:div>
    <w:div w:id="1569458275">
      <w:bodyDiv w:val="1"/>
      <w:marLeft w:val="0"/>
      <w:marRight w:val="0"/>
      <w:marTop w:val="0"/>
      <w:marBottom w:val="0"/>
      <w:divBdr>
        <w:top w:val="none" w:sz="0" w:space="0" w:color="auto"/>
        <w:left w:val="none" w:sz="0" w:space="0" w:color="auto"/>
        <w:bottom w:val="none" w:sz="0" w:space="0" w:color="auto"/>
        <w:right w:val="none" w:sz="0" w:space="0" w:color="auto"/>
      </w:divBdr>
    </w:div>
    <w:div w:id="1571697054">
      <w:bodyDiv w:val="1"/>
      <w:marLeft w:val="0"/>
      <w:marRight w:val="0"/>
      <w:marTop w:val="0"/>
      <w:marBottom w:val="0"/>
      <w:divBdr>
        <w:top w:val="none" w:sz="0" w:space="0" w:color="auto"/>
        <w:left w:val="none" w:sz="0" w:space="0" w:color="auto"/>
        <w:bottom w:val="none" w:sz="0" w:space="0" w:color="auto"/>
        <w:right w:val="none" w:sz="0" w:space="0" w:color="auto"/>
      </w:divBdr>
    </w:div>
    <w:div w:id="1585258595">
      <w:bodyDiv w:val="1"/>
      <w:marLeft w:val="0"/>
      <w:marRight w:val="0"/>
      <w:marTop w:val="0"/>
      <w:marBottom w:val="0"/>
      <w:divBdr>
        <w:top w:val="none" w:sz="0" w:space="0" w:color="auto"/>
        <w:left w:val="none" w:sz="0" w:space="0" w:color="auto"/>
        <w:bottom w:val="none" w:sz="0" w:space="0" w:color="auto"/>
        <w:right w:val="none" w:sz="0" w:space="0" w:color="auto"/>
      </w:divBdr>
    </w:div>
    <w:div w:id="1595238197">
      <w:bodyDiv w:val="1"/>
      <w:marLeft w:val="0"/>
      <w:marRight w:val="0"/>
      <w:marTop w:val="0"/>
      <w:marBottom w:val="0"/>
      <w:divBdr>
        <w:top w:val="none" w:sz="0" w:space="0" w:color="auto"/>
        <w:left w:val="none" w:sz="0" w:space="0" w:color="auto"/>
        <w:bottom w:val="none" w:sz="0" w:space="0" w:color="auto"/>
        <w:right w:val="none" w:sz="0" w:space="0" w:color="auto"/>
      </w:divBdr>
    </w:div>
    <w:div w:id="1619683705">
      <w:bodyDiv w:val="1"/>
      <w:marLeft w:val="0"/>
      <w:marRight w:val="0"/>
      <w:marTop w:val="0"/>
      <w:marBottom w:val="0"/>
      <w:divBdr>
        <w:top w:val="none" w:sz="0" w:space="0" w:color="auto"/>
        <w:left w:val="none" w:sz="0" w:space="0" w:color="auto"/>
        <w:bottom w:val="none" w:sz="0" w:space="0" w:color="auto"/>
        <w:right w:val="none" w:sz="0" w:space="0" w:color="auto"/>
      </w:divBdr>
    </w:div>
    <w:div w:id="1679312212">
      <w:bodyDiv w:val="1"/>
      <w:marLeft w:val="0"/>
      <w:marRight w:val="0"/>
      <w:marTop w:val="0"/>
      <w:marBottom w:val="0"/>
      <w:divBdr>
        <w:top w:val="none" w:sz="0" w:space="0" w:color="auto"/>
        <w:left w:val="none" w:sz="0" w:space="0" w:color="auto"/>
        <w:bottom w:val="none" w:sz="0" w:space="0" w:color="auto"/>
        <w:right w:val="none" w:sz="0" w:space="0" w:color="auto"/>
      </w:divBdr>
    </w:div>
    <w:div w:id="1686205736">
      <w:bodyDiv w:val="1"/>
      <w:marLeft w:val="0"/>
      <w:marRight w:val="0"/>
      <w:marTop w:val="0"/>
      <w:marBottom w:val="0"/>
      <w:divBdr>
        <w:top w:val="none" w:sz="0" w:space="0" w:color="auto"/>
        <w:left w:val="none" w:sz="0" w:space="0" w:color="auto"/>
        <w:bottom w:val="none" w:sz="0" w:space="0" w:color="auto"/>
        <w:right w:val="none" w:sz="0" w:space="0" w:color="auto"/>
      </w:divBdr>
    </w:div>
    <w:div w:id="1745642825">
      <w:bodyDiv w:val="1"/>
      <w:marLeft w:val="0"/>
      <w:marRight w:val="0"/>
      <w:marTop w:val="0"/>
      <w:marBottom w:val="0"/>
      <w:divBdr>
        <w:top w:val="none" w:sz="0" w:space="0" w:color="auto"/>
        <w:left w:val="none" w:sz="0" w:space="0" w:color="auto"/>
        <w:bottom w:val="none" w:sz="0" w:space="0" w:color="auto"/>
        <w:right w:val="none" w:sz="0" w:space="0" w:color="auto"/>
      </w:divBdr>
    </w:div>
    <w:div w:id="1765422788">
      <w:bodyDiv w:val="1"/>
      <w:marLeft w:val="0"/>
      <w:marRight w:val="0"/>
      <w:marTop w:val="0"/>
      <w:marBottom w:val="0"/>
      <w:divBdr>
        <w:top w:val="none" w:sz="0" w:space="0" w:color="auto"/>
        <w:left w:val="none" w:sz="0" w:space="0" w:color="auto"/>
        <w:bottom w:val="none" w:sz="0" w:space="0" w:color="auto"/>
        <w:right w:val="none" w:sz="0" w:space="0" w:color="auto"/>
      </w:divBdr>
    </w:div>
    <w:div w:id="1766152124">
      <w:bodyDiv w:val="1"/>
      <w:marLeft w:val="0"/>
      <w:marRight w:val="0"/>
      <w:marTop w:val="0"/>
      <w:marBottom w:val="0"/>
      <w:divBdr>
        <w:top w:val="none" w:sz="0" w:space="0" w:color="auto"/>
        <w:left w:val="none" w:sz="0" w:space="0" w:color="auto"/>
        <w:bottom w:val="none" w:sz="0" w:space="0" w:color="auto"/>
        <w:right w:val="none" w:sz="0" w:space="0" w:color="auto"/>
      </w:divBdr>
    </w:div>
    <w:div w:id="1924601595">
      <w:bodyDiv w:val="1"/>
      <w:marLeft w:val="0"/>
      <w:marRight w:val="0"/>
      <w:marTop w:val="0"/>
      <w:marBottom w:val="0"/>
      <w:divBdr>
        <w:top w:val="none" w:sz="0" w:space="0" w:color="auto"/>
        <w:left w:val="none" w:sz="0" w:space="0" w:color="auto"/>
        <w:bottom w:val="none" w:sz="0" w:space="0" w:color="auto"/>
        <w:right w:val="none" w:sz="0" w:space="0" w:color="auto"/>
      </w:divBdr>
    </w:div>
    <w:div w:id="1945649079">
      <w:bodyDiv w:val="1"/>
      <w:marLeft w:val="0"/>
      <w:marRight w:val="0"/>
      <w:marTop w:val="0"/>
      <w:marBottom w:val="0"/>
      <w:divBdr>
        <w:top w:val="none" w:sz="0" w:space="0" w:color="auto"/>
        <w:left w:val="none" w:sz="0" w:space="0" w:color="auto"/>
        <w:bottom w:val="none" w:sz="0" w:space="0" w:color="auto"/>
        <w:right w:val="none" w:sz="0" w:space="0" w:color="auto"/>
      </w:divBdr>
    </w:div>
    <w:div w:id="1970089044">
      <w:bodyDiv w:val="1"/>
      <w:marLeft w:val="0"/>
      <w:marRight w:val="0"/>
      <w:marTop w:val="0"/>
      <w:marBottom w:val="0"/>
      <w:divBdr>
        <w:top w:val="none" w:sz="0" w:space="0" w:color="auto"/>
        <w:left w:val="none" w:sz="0" w:space="0" w:color="auto"/>
        <w:bottom w:val="none" w:sz="0" w:space="0" w:color="auto"/>
        <w:right w:val="none" w:sz="0" w:space="0" w:color="auto"/>
      </w:divBdr>
    </w:div>
    <w:div w:id="1981113560">
      <w:bodyDiv w:val="1"/>
      <w:marLeft w:val="0"/>
      <w:marRight w:val="0"/>
      <w:marTop w:val="0"/>
      <w:marBottom w:val="0"/>
      <w:divBdr>
        <w:top w:val="none" w:sz="0" w:space="0" w:color="auto"/>
        <w:left w:val="none" w:sz="0" w:space="0" w:color="auto"/>
        <w:bottom w:val="none" w:sz="0" w:space="0" w:color="auto"/>
        <w:right w:val="none" w:sz="0" w:space="0" w:color="auto"/>
      </w:divBdr>
    </w:div>
    <w:div w:id="2015187296">
      <w:bodyDiv w:val="1"/>
      <w:marLeft w:val="0"/>
      <w:marRight w:val="0"/>
      <w:marTop w:val="0"/>
      <w:marBottom w:val="0"/>
      <w:divBdr>
        <w:top w:val="none" w:sz="0" w:space="0" w:color="auto"/>
        <w:left w:val="none" w:sz="0" w:space="0" w:color="auto"/>
        <w:bottom w:val="none" w:sz="0" w:space="0" w:color="auto"/>
        <w:right w:val="none" w:sz="0" w:space="0" w:color="auto"/>
      </w:divBdr>
    </w:div>
    <w:div w:id="2046445747">
      <w:bodyDiv w:val="1"/>
      <w:marLeft w:val="0"/>
      <w:marRight w:val="0"/>
      <w:marTop w:val="0"/>
      <w:marBottom w:val="0"/>
      <w:divBdr>
        <w:top w:val="none" w:sz="0" w:space="0" w:color="auto"/>
        <w:left w:val="none" w:sz="0" w:space="0" w:color="auto"/>
        <w:bottom w:val="none" w:sz="0" w:space="0" w:color="auto"/>
        <w:right w:val="none" w:sz="0" w:space="0" w:color="auto"/>
      </w:divBdr>
    </w:div>
    <w:div w:id="2074809947">
      <w:bodyDiv w:val="1"/>
      <w:marLeft w:val="0"/>
      <w:marRight w:val="0"/>
      <w:marTop w:val="0"/>
      <w:marBottom w:val="0"/>
      <w:divBdr>
        <w:top w:val="none" w:sz="0" w:space="0" w:color="auto"/>
        <w:left w:val="none" w:sz="0" w:space="0" w:color="auto"/>
        <w:bottom w:val="none" w:sz="0" w:space="0" w:color="auto"/>
        <w:right w:val="none" w:sz="0" w:space="0" w:color="auto"/>
      </w:divBdr>
    </w:div>
    <w:div w:id="2133396079">
      <w:bodyDiv w:val="1"/>
      <w:marLeft w:val="0"/>
      <w:marRight w:val="0"/>
      <w:marTop w:val="0"/>
      <w:marBottom w:val="0"/>
      <w:divBdr>
        <w:top w:val="none" w:sz="0" w:space="0" w:color="auto"/>
        <w:left w:val="none" w:sz="0" w:space="0" w:color="auto"/>
        <w:bottom w:val="none" w:sz="0" w:space="0" w:color="auto"/>
        <w:right w:val="none" w:sz="0" w:space="0" w:color="auto"/>
      </w:divBdr>
    </w:div>
    <w:div w:id="213629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3.png"/><Relationship Id="rId18" Type="http://schemas.openxmlformats.org/officeDocument/2006/relationships/image" Target="media/image8.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4.png"/><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oleObject" Target="file:///C:\Users\sara.radulovic\Desktop\GRAFIKONI_MAKRO_okt25%20&#1079;&#1072;%20&#1073;&#1091;&#1119;&#1077;&#1090;.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2.xml"/><Relationship Id="rId4" Type="http://schemas.openxmlformats.org/officeDocument/2006/relationships/oleObject" Target="file:///C:\Users\sara.radulovic\Desktop\GRAFIKONI_MAKRO_okt25%20&#1079;&#1072;%20&#1073;&#1091;&#1119;&#1077;&#1090;.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C:\Users\vladimir.malbasic\Dropbox\Makro%20sektor\2.%20F%20%20I%20%20S%20%20K%20%20A%20%20L\Budzeti%20obrazlozenja%20i%20excel%20fajlovi\4.%20bud&#382;et%202026\budzet%202026%20prihodi%20tabele.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vladimir.malbasic\Dropbox\Makro%20sektor\2.%20F%20%20I%20%20S%20%20K%20%20A%20%20L\Budzeti%20obrazlozenja%20i%20excel%20fajlovi\4.%20bud&#382;et%202026\budzet%202026%20prihodi%20tabele.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0253935185185188E-2"/>
          <c:y val="7.0236607987885669E-2"/>
          <c:w val="0.90740810185185183"/>
          <c:h val="0.61519397284641741"/>
        </c:manualLayout>
      </c:layout>
      <c:barChart>
        <c:barDir val="col"/>
        <c:grouping val="stacked"/>
        <c:varyColors val="0"/>
        <c:ser>
          <c:idx val="0"/>
          <c:order val="0"/>
          <c:tx>
            <c:strRef>
              <c:f>BDP_doprinosi!$R$34</c:f>
              <c:strCache>
                <c:ptCount val="1"/>
                <c:pt idx="0">
                  <c:v>Пољопривреда</c:v>
                </c:pt>
              </c:strCache>
            </c:strRef>
          </c:tx>
          <c:spPr>
            <a:solidFill>
              <a:srgbClr val="10103C"/>
            </a:solidFill>
            <a:ln>
              <a:noFill/>
            </a:ln>
            <a:effectLst/>
          </c:spPr>
          <c:invertIfNegative val="0"/>
          <c:cat>
            <c:strRef>
              <c:f>BDP_doprinosi!$AF$33:$AM$33</c:f>
              <c:strCache>
                <c:ptCount val="4"/>
                <c:pt idx="0">
                  <c:v>2022</c:v>
                </c:pt>
                <c:pt idx="1">
                  <c:v>2023</c:v>
                </c:pt>
                <c:pt idx="2">
                  <c:v>2024</c:v>
                </c:pt>
                <c:pt idx="3">
                  <c:v>П1 2025</c:v>
                </c:pt>
              </c:strCache>
              <c:extLst/>
            </c:strRef>
          </c:cat>
          <c:val>
            <c:numRef>
              <c:f>BDP_doprinosi!$AF$34:$AM$34</c:f>
              <c:numCache>
                <c:formatCode>0.0</c:formatCode>
                <c:ptCount val="4"/>
                <c:pt idx="0">
                  <c:v>-0.38323156971446615</c:v>
                </c:pt>
                <c:pt idx="1">
                  <c:v>0.39680897090011247</c:v>
                </c:pt>
                <c:pt idx="2">
                  <c:v>-0.26559926313592375</c:v>
                </c:pt>
                <c:pt idx="3">
                  <c:v>9.8153547254532986E-2</c:v>
                </c:pt>
              </c:numCache>
              <c:extLst/>
            </c:numRef>
          </c:val>
          <c:extLst>
            <c:ext xmlns:c16="http://schemas.microsoft.com/office/drawing/2014/chart" uri="{C3380CC4-5D6E-409C-BE32-E72D297353CC}">
              <c16:uniqueId val="{00000000-642A-453F-BFFB-CCCD4DCC415D}"/>
            </c:ext>
          </c:extLst>
        </c:ser>
        <c:ser>
          <c:idx val="1"/>
          <c:order val="1"/>
          <c:tx>
            <c:strRef>
              <c:f>BDP_doprinosi!$R$35</c:f>
              <c:strCache>
                <c:ptCount val="1"/>
                <c:pt idx="0">
                  <c:v>Индустрија</c:v>
                </c:pt>
              </c:strCache>
            </c:strRef>
          </c:tx>
          <c:spPr>
            <a:solidFill>
              <a:srgbClr val="29489A"/>
            </a:solidFill>
            <a:ln>
              <a:noFill/>
            </a:ln>
            <a:effectLst/>
          </c:spPr>
          <c:invertIfNegative val="0"/>
          <c:cat>
            <c:strRef>
              <c:f>BDP_doprinosi!$AF$33:$AM$33</c:f>
              <c:strCache>
                <c:ptCount val="4"/>
                <c:pt idx="0">
                  <c:v>2022</c:v>
                </c:pt>
                <c:pt idx="1">
                  <c:v>2023</c:v>
                </c:pt>
                <c:pt idx="2">
                  <c:v>2024</c:v>
                </c:pt>
                <c:pt idx="3">
                  <c:v>П1 2025</c:v>
                </c:pt>
              </c:strCache>
              <c:extLst/>
            </c:strRef>
          </c:cat>
          <c:val>
            <c:numRef>
              <c:f>BDP_doprinosi!$AF$35:$AM$35</c:f>
              <c:numCache>
                <c:formatCode>0.0</c:formatCode>
                <c:ptCount val="4"/>
                <c:pt idx="0">
                  <c:v>0.79837299863869049</c:v>
                </c:pt>
                <c:pt idx="1">
                  <c:v>0.37894201110574322</c:v>
                </c:pt>
                <c:pt idx="2">
                  <c:v>0.77833082527449671</c:v>
                </c:pt>
                <c:pt idx="3">
                  <c:v>0.45516038432213751</c:v>
                </c:pt>
              </c:numCache>
              <c:extLst/>
            </c:numRef>
          </c:val>
          <c:extLst>
            <c:ext xmlns:c16="http://schemas.microsoft.com/office/drawing/2014/chart" uri="{C3380CC4-5D6E-409C-BE32-E72D297353CC}">
              <c16:uniqueId val="{00000001-642A-453F-BFFB-CCCD4DCC415D}"/>
            </c:ext>
          </c:extLst>
        </c:ser>
        <c:ser>
          <c:idx val="2"/>
          <c:order val="2"/>
          <c:tx>
            <c:strRef>
              <c:f>BDP_doprinosi!$R$36</c:f>
              <c:strCache>
                <c:ptCount val="1"/>
                <c:pt idx="0">
                  <c:v>Грађевинарство</c:v>
                </c:pt>
              </c:strCache>
            </c:strRef>
          </c:tx>
          <c:spPr>
            <a:solidFill>
              <a:srgbClr val="2183C4"/>
            </a:solidFill>
            <a:ln>
              <a:noFill/>
            </a:ln>
            <a:effectLst/>
          </c:spPr>
          <c:invertIfNegative val="0"/>
          <c:cat>
            <c:strRef>
              <c:f>BDP_doprinosi!$AF$33:$AM$33</c:f>
              <c:strCache>
                <c:ptCount val="4"/>
                <c:pt idx="0">
                  <c:v>2022</c:v>
                </c:pt>
                <c:pt idx="1">
                  <c:v>2023</c:v>
                </c:pt>
                <c:pt idx="2">
                  <c:v>2024</c:v>
                </c:pt>
                <c:pt idx="3">
                  <c:v>П1 2025</c:v>
                </c:pt>
              </c:strCache>
              <c:extLst/>
            </c:strRef>
          </c:cat>
          <c:val>
            <c:numRef>
              <c:f>BDP_doprinosi!$AF$36:$AM$36</c:f>
              <c:numCache>
                <c:formatCode>0.0</c:formatCode>
                <c:ptCount val="4"/>
                <c:pt idx="0">
                  <c:v>-0.49638809104102988</c:v>
                </c:pt>
                <c:pt idx="1">
                  <c:v>0.50016763763162086</c:v>
                </c:pt>
                <c:pt idx="2">
                  <c:v>0.19848017248080982</c:v>
                </c:pt>
                <c:pt idx="3">
                  <c:v>-0.55120064690949289</c:v>
                </c:pt>
              </c:numCache>
              <c:extLst/>
            </c:numRef>
          </c:val>
          <c:extLst>
            <c:ext xmlns:c16="http://schemas.microsoft.com/office/drawing/2014/chart" uri="{C3380CC4-5D6E-409C-BE32-E72D297353CC}">
              <c16:uniqueId val="{00000002-642A-453F-BFFB-CCCD4DCC415D}"/>
            </c:ext>
          </c:extLst>
        </c:ser>
        <c:ser>
          <c:idx val="3"/>
          <c:order val="3"/>
          <c:tx>
            <c:strRef>
              <c:f>BDP_doprinosi!$R$37</c:f>
              <c:strCache>
                <c:ptCount val="1"/>
                <c:pt idx="0">
                  <c:v>Услуге</c:v>
                </c:pt>
              </c:strCache>
            </c:strRef>
          </c:tx>
          <c:spPr>
            <a:solidFill>
              <a:srgbClr val="51BBE7"/>
            </a:solidFill>
            <a:ln>
              <a:noFill/>
            </a:ln>
            <a:effectLst/>
          </c:spPr>
          <c:invertIfNegative val="0"/>
          <c:cat>
            <c:strRef>
              <c:f>BDP_doprinosi!$AF$33:$AM$33</c:f>
              <c:strCache>
                <c:ptCount val="4"/>
                <c:pt idx="0">
                  <c:v>2022</c:v>
                </c:pt>
                <c:pt idx="1">
                  <c:v>2023</c:v>
                </c:pt>
                <c:pt idx="2">
                  <c:v>2024</c:v>
                </c:pt>
                <c:pt idx="3">
                  <c:v>П1 2025</c:v>
                </c:pt>
              </c:strCache>
              <c:extLst/>
            </c:strRef>
          </c:cat>
          <c:val>
            <c:numRef>
              <c:f>BDP_doprinosi!$AF$37:$AM$37</c:f>
              <c:numCache>
                <c:formatCode>0.0</c:formatCode>
                <c:ptCount val="4"/>
                <c:pt idx="0">
                  <c:v>2.2640413112847577</c:v>
                </c:pt>
                <c:pt idx="1">
                  <c:v>2.7066373081422959</c:v>
                </c:pt>
                <c:pt idx="2">
                  <c:v>2.5969128620465889</c:v>
                </c:pt>
                <c:pt idx="3">
                  <c:v>1.5194660880451714</c:v>
                </c:pt>
              </c:numCache>
              <c:extLst/>
            </c:numRef>
          </c:val>
          <c:extLst>
            <c:ext xmlns:c16="http://schemas.microsoft.com/office/drawing/2014/chart" uri="{C3380CC4-5D6E-409C-BE32-E72D297353CC}">
              <c16:uniqueId val="{00000003-642A-453F-BFFB-CCCD4DCC415D}"/>
            </c:ext>
          </c:extLst>
        </c:ser>
        <c:ser>
          <c:idx val="4"/>
          <c:order val="4"/>
          <c:tx>
            <c:strRef>
              <c:f>BDP_doprinosi!$R$38</c:f>
              <c:strCache>
                <c:ptCount val="1"/>
                <c:pt idx="0">
                  <c:v>Нето порези</c:v>
                </c:pt>
              </c:strCache>
            </c:strRef>
          </c:tx>
          <c:spPr>
            <a:solidFill>
              <a:srgbClr val="9ED1E6"/>
            </a:solidFill>
            <a:ln>
              <a:noFill/>
            </a:ln>
            <a:effectLst/>
          </c:spPr>
          <c:invertIfNegative val="0"/>
          <c:cat>
            <c:strRef>
              <c:f>BDP_doprinosi!$AF$33:$AM$33</c:f>
              <c:strCache>
                <c:ptCount val="4"/>
                <c:pt idx="0">
                  <c:v>2022</c:v>
                </c:pt>
                <c:pt idx="1">
                  <c:v>2023</c:v>
                </c:pt>
                <c:pt idx="2">
                  <c:v>2024</c:v>
                </c:pt>
                <c:pt idx="3">
                  <c:v>П1 2025</c:v>
                </c:pt>
              </c:strCache>
              <c:extLst/>
            </c:strRef>
          </c:cat>
          <c:val>
            <c:numRef>
              <c:f>BDP_doprinosi!$AF$38:$AM$38</c:f>
              <c:numCache>
                <c:formatCode>0.0</c:formatCode>
                <c:ptCount val="4"/>
                <c:pt idx="0">
                  <c:v>0.52068240626859308</c:v>
                </c:pt>
                <c:pt idx="1">
                  <c:v>-0.2346216400155999</c:v>
                </c:pt>
                <c:pt idx="2">
                  <c:v>0.64180298536778724</c:v>
                </c:pt>
                <c:pt idx="3">
                  <c:v>0.4398469414280427</c:v>
                </c:pt>
              </c:numCache>
              <c:extLst/>
            </c:numRef>
          </c:val>
          <c:extLst>
            <c:ext xmlns:c16="http://schemas.microsoft.com/office/drawing/2014/chart" uri="{C3380CC4-5D6E-409C-BE32-E72D297353CC}">
              <c16:uniqueId val="{00000004-642A-453F-BFFB-CCCD4DCC415D}"/>
            </c:ext>
          </c:extLst>
        </c:ser>
        <c:dLbls>
          <c:showLegendKey val="0"/>
          <c:showVal val="0"/>
          <c:showCatName val="0"/>
          <c:showSerName val="0"/>
          <c:showPercent val="0"/>
          <c:showBubbleSize val="0"/>
        </c:dLbls>
        <c:gapWidth val="60"/>
        <c:overlap val="100"/>
        <c:axId val="1768857792"/>
        <c:axId val="1768858336"/>
      </c:barChart>
      <c:lineChart>
        <c:grouping val="standard"/>
        <c:varyColors val="0"/>
        <c:ser>
          <c:idx val="5"/>
          <c:order val="5"/>
          <c:tx>
            <c:strRef>
              <c:f>BDP_doprinosi!$R$39</c:f>
              <c:strCache>
                <c:ptCount val="1"/>
                <c:pt idx="0">
                  <c:v>Реални раст БДП</c:v>
                </c:pt>
              </c:strCache>
            </c:strRef>
          </c:tx>
          <c:spPr>
            <a:ln w="25400" cap="rnd">
              <a:solidFill>
                <a:srgbClr val="FF0000"/>
              </a:solidFill>
              <a:round/>
            </a:ln>
            <a:effectLst/>
          </c:spPr>
          <c:marker>
            <c:symbol val="none"/>
          </c:marker>
          <c:dLbls>
            <c:spPr>
              <a:noFill/>
              <a:ln>
                <a:noFill/>
              </a:ln>
              <a:effectLst/>
            </c:spPr>
            <c:txPr>
              <a:bodyPr rot="0" spcFirstLastPara="1" vertOverflow="ellipsis" vert="horz" wrap="square" anchor="ctr" anchorCtr="1"/>
              <a:lstStyle/>
              <a:p>
                <a:pPr>
                  <a:defRPr sz="750" b="1" i="0" u="none" strike="noStrike" kern="1200" baseline="0">
                    <a:solidFill>
                      <a:srgbClr val="FF0000"/>
                    </a:solidFill>
                    <a:latin typeface="+mn-lt"/>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BDP_doprinosi!$AF$33:$AM$33</c:f>
              <c:strCache>
                <c:ptCount val="4"/>
                <c:pt idx="0">
                  <c:v>2022</c:v>
                </c:pt>
                <c:pt idx="1">
                  <c:v>2023</c:v>
                </c:pt>
                <c:pt idx="2">
                  <c:v>2024</c:v>
                </c:pt>
                <c:pt idx="3">
                  <c:v>П1 2025</c:v>
                </c:pt>
              </c:strCache>
              <c:extLst/>
            </c:strRef>
          </c:cat>
          <c:val>
            <c:numRef>
              <c:f>BDP_doprinosi!$AF$39:$AM$39</c:f>
              <c:numCache>
                <c:formatCode>0.0</c:formatCode>
                <c:ptCount val="4"/>
                <c:pt idx="0">
                  <c:v>2.7034766749054739</c:v>
                </c:pt>
                <c:pt idx="1">
                  <c:v>3.7479330956034858</c:v>
                </c:pt>
                <c:pt idx="2">
                  <c:v>3.9165582040709159</c:v>
                </c:pt>
                <c:pt idx="3">
                  <c:v>1.9614263142870083</c:v>
                </c:pt>
              </c:numCache>
              <c:extLst/>
            </c:numRef>
          </c:val>
          <c:smooth val="0"/>
          <c:extLst>
            <c:ext xmlns:c16="http://schemas.microsoft.com/office/drawing/2014/chart" uri="{C3380CC4-5D6E-409C-BE32-E72D297353CC}">
              <c16:uniqueId val="{00000005-642A-453F-BFFB-CCCD4DCC415D}"/>
            </c:ext>
          </c:extLst>
        </c:ser>
        <c:dLbls>
          <c:showLegendKey val="0"/>
          <c:showVal val="0"/>
          <c:showCatName val="0"/>
          <c:showSerName val="0"/>
          <c:showPercent val="0"/>
          <c:showBubbleSize val="0"/>
        </c:dLbls>
        <c:marker val="1"/>
        <c:smooth val="0"/>
        <c:axId val="1768857792"/>
        <c:axId val="1768858336"/>
      </c:lineChart>
      <c:catAx>
        <c:axId val="1768857792"/>
        <c:scaling>
          <c:orientation val="minMax"/>
        </c:scaling>
        <c:delete val="0"/>
        <c:axPos val="b"/>
        <c:numFmt formatCode="General" sourceLinked="1"/>
        <c:majorTickMark val="none"/>
        <c:minorTickMark val="none"/>
        <c:tickLblPos val="low"/>
        <c:spPr>
          <a:noFill/>
          <a:ln w="6350" cap="flat" cmpd="sng" algn="ctr">
            <a:solidFill>
              <a:srgbClr val="898989"/>
            </a:solidFill>
            <a:round/>
          </a:ln>
          <a:effectLst/>
        </c:spPr>
        <c:txPr>
          <a:bodyPr rot="-60000000" spcFirstLastPara="1" vertOverflow="ellipsis" vert="horz" wrap="square" anchor="ctr" anchorCtr="1"/>
          <a:lstStyle/>
          <a:p>
            <a:pPr>
              <a:defRPr sz="750" b="0" i="0" u="none" strike="noStrike" kern="1200" baseline="0">
                <a:solidFill>
                  <a:schemeClr val="tx2"/>
                </a:solidFill>
                <a:latin typeface="+mn-lt"/>
                <a:ea typeface="+mn-ea"/>
                <a:cs typeface="Arial" panose="020B0604020202020204" pitchFamily="34" charset="0"/>
              </a:defRPr>
            </a:pPr>
            <a:endParaRPr lang="en-US"/>
          </a:p>
        </c:txPr>
        <c:crossAx val="1768858336"/>
        <c:crosses val="autoZero"/>
        <c:auto val="1"/>
        <c:lblAlgn val="ctr"/>
        <c:lblOffset val="100"/>
        <c:noMultiLvlLbl val="0"/>
      </c:catAx>
      <c:valAx>
        <c:axId val="1768858336"/>
        <c:scaling>
          <c:orientation val="minMax"/>
          <c:max val="6"/>
          <c:min val="-2"/>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50" b="0" i="0" u="none" strike="noStrike" kern="1200" baseline="0">
                <a:solidFill>
                  <a:schemeClr val="tx2"/>
                </a:solidFill>
                <a:latin typeface="+mn-lt"/>
                <a:ea typeface="+mn-ea"/>
                <a:cs typeface="Arial" panose="020B0604020202020204" pitchFamily="34" charset="0"/>
              </a:defRPr>
            </a:pPr>
            <a:endParaRPr lang="en-US"/>
          </a:p>
        </c:txPr>
        <c:crossAx val="1768857792"/>
        <c:crosses val="autoZero"/>
        <c:crossBetween val="between"/>
        <c:majorUnit val="2"/>
      </c:valAx>
      <c:spPr>
        <a:noFill/>
        <a:ln>
          <a:noFill/>
        </a:ln>
        <a:effectLst/>
      </c:spPr>
    </c:plotArea>
    <c:legend>
      <c:legendPos val="b"/>
      <c:layout>
        <c:manualLayout>
          <c:xMode val="edge"/>
          <c:yMode val="edge"/>
          <c:x val="2.9349664625255175E-2"/>
          <c:y val="0.79630156695529342"/>
          <c:w val="0.93586103820355804"/>
          <c:h val="0.20072880424830616"/>
        </c:manualLayout>
      </c:layout>
      <c:overlay val="0"/>
      <c:spPr>
        <a:noFill/>
        <a:ln>
          <a:noFill/>
        </a:ln>
        <a:effectLst/>
      </c:spPr>
      <c:txPr>
        <a:bodyPr rot="0" spcFirstLastPara="1" vertOverflow="ellipsis" vert="horz" wrap="square" anchor="ctr" anchorCtr="1"/>
        <a:lstStyle/>
        <a:p>
          <a:pPr>
            <a:defRPr sz="750" b="0" i="0" u="none" strike="noStrike" kern="1200" baseline="0">
              <a:solidFill>
                <a:schemeClr val="tx2"/>
              </a:solidFill>
              <a:latin typeface="+mn-lt"/>
              <a:ea typeface="+mn-ea"/>
              <a:cs typeface="Arial" panose="020B0604020202020204" pitchFamily="34" charset="0"/>
            </a:defRPr>
          </a:pPr>
          <a:endParaRPr lang="en-US"/>
        </a:p>
      </c:txPr>
    </c:legend>
    <c:plotVisOnly val="1"/>
    <c:dispBlanksAs val="gap"/>
    <c:showDLblsOverMax val="0"/>
  </c:chart>
  <c:spPr>
    <a:solidFill>
      <a:sysClr val="window" lastClr="FFFFFF"/>
    </a:solidFill>
    <a:ln w="9525" cap="flat" cmpd="sng" algn="ctr">
      <a:noFill/>
      <a:round/>
    </a:ln>
    <a:effectLst/>
  </c:spPr>
  <c:txPr>
    <a:bodyPr/>
    <a:lstStyle/>
    <a:p>
      <a:pPr>
        <a:defRPr sz="750">
          <a:solidFill>
            <a:schemeClr val="tx2"/>
          </a:solidFill>
          <a:latin typeface="+mn-lt"/>
          <a:cs typeface="Arial" panose="020B0604020202020204" pitchFamily="34" charset="0"/>
        </a:defRPr>
      </a:pPr>
      <a:endParaRPr lang="en-US"/>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0253935185185188E-2"/>
          <c:y val="4.6197089947089945E-2"/>
          <c:w val="0.90740810185185183"/>
          <c:h val="0.69238921957671962"/>
        </c:manualLayout>
      </c:layout>
      <c:barChart>
        <c:barDir val="col"/>
        <c:grouping val="stacked"/>
        <c:varyColors val="0"/>
        <c:ser>
          <c:idx val="2"/>
          <c:order val="0"/>
          <c:tx>
            <c:strRef>
              <c:f>BDP_doprinosi!$R$8</c:f>
              <c:strCache>
                <c:ptCount val="1"/>
                <c:pt idx="0">
                  <c:v>Приватна потрошња</c:v>
                </c:pt>
              </c:strCache>
            </c:strRef>
          </c:tx>
          <c:spPr>
            <a:solidFill>
              <a:srgbClr val="10103C"/>
            </a:solidFill>
            <a:ln>
              <a:noFill/>
            </a:ln>
            <a:effectLst/>
          </c:spPr>
          <c:invertIfNegative val="0"/>
          <c:cat>
            <c:strRef>
              <c:f>BDP_doprinosi!$AE$6:$AM$6</c:f>
              <c:strCache>
                <c:ptCount val="4"/>
                <c:pt idx="0">
                  <c:v>2022</c:v>
                </c:pt>
                <c:pt idx="1">
                  <c:v>2023</c:v>
                </c:pt>
                <c:pt idx="2">
                  <c:v>2024</c:v>
                </c:pt>
                <c:pt idx="3">
                  <c:v>П1 2025</c:v>
                </c:pt>
              </c:strCache>
              <c:extLst/>
            </c:strRef>
          </c:cat>
          <c:val>
            <c:numRef>
              <c:f>BDP_doprinosi!$AE$8:$AM$8</c:f>
              <c:numCache>
                <c:formatCode>0.0</c:formatCode>
                <c:ptCount val="4"/>
                <c:pt idx="0">
                  <c:v>2.2221902045863948</c:v>
                </c:pt>
                <c:pt idx="1">
                  <c:v>0.31833848973833495</c:v>
                </c:pt>
                <c:pt idx="2">
                  <c:v>3.2370016461031832</c:v>
                </c:pt>
                <c:pt idx="3">
                  <c:v>1.5006269631373843</c:v>
                </c:pt>
              </c:numCache>
              <c:extLst/>
            </c:numRef>
          </c:val>
          <c:extLst>
            <c:ext xmlns:c16="http://schemas.microsoft.com/office/drawing/2014/chart" uri="{C3380CC4-5D6E-409C-BE32-E72D297353CC}">
              <c16:uniqueId val="{00000000-8CAF-43D9-A57B-EE2DAB369A49}"/>
            </c:ext>
          </c:extLst>
        </c:ser>
        <c:ser>
          <c:idx val="3"/>
          <c:order val="1"/>
          <c:tx>
            <c:strRef>
              <c:f>BDP_doprinosi!$R$9</c:f>
              <c:strCache>
                <c:ptCount val="1"/>
                <c:pt idx="0">
                  <c:v>Државна потрошња</c:v>
                </c:pt>
              </c:strCache>
            </c:strRef>
          </c:tx>
          <c:spPr>
            <a:solidFill>
              <a:srgbClr val="29489A"/>
            </a:solidFill>
            <a:ln>
              <a:noFill/>
            </a:ln>
            <a:effectLst/>
          </c:spPr>
          <c:invertIfNegative val="0"/>
          <c:cat>
            <c:strRef>
              <c:f>BDP_doprinosi!$AE$6:$AM$6</c:f>
              <c:strCache>
                <c:ptCount val="4"/>
                <c:pt idx="0">
                  <c:v>2022</c:v>
                </c:pt>
                <c:pt idx="1">
                  <c:v>2023</c:v>
                </c:pt>
                <c:pt idx="2">
                  <c:v>2024</c:v>
                </c:pt>
                <c:pt idx="3">
                  <c:v>П1 2025</c:v>
                </c:pt>
              </c:strCache>
              <c:extLst/>
            </c:strRef>
          </c:cat>
          <c:val>
            <c:numRef>
              <c:f>BDP_doprinosi!$AE$9:$AM$9</c:f>
              <c:numCache>
                <c:formatCode>0.0</c:formatCode>
                <c:ptCount val="4"/>
                <c:pt idx="0">
                  <c:v>0.24535717484313002</c:v>
                </c:pt>
                <c:pt idx="1">
                  <c:v>-0.44585232480102971</c:v>
                </c:pt>
                <c:pt idx="2">
                  <c:v>0.69087163634389692</c:v>
                </c:pt>
                <c:pt idx="3">
                  <c:v>0.38929892606621685</c:v>
                </c:pt>
              </c:numCache>
              <c:extLst/>
            </c:numRef>
          </c:val>
          <c:extLst>
            <c:ext xmlns:c16="http://schemas.microsoft.com/office/drawing/2014/chart" uri="{C3380CC4-5D6E-409C-BE32-E72D297353CC}">
              <c16:uniqueId val="{00000001-8CAF-43D9-A57B-EE2DAB369A49}"/>
            </c:ext>
          </c:extLst>
        </c:ser>
        <c:ser>
          <c:idx val="1"/>
          <c:order val="2"/>
          <c:tx>
            <c:strRef>
              <c:f>BDP_doprinosi!$R$10</c:f>
              <c:strCache>
                <c:ptCount val="1"/>
                <c:pt idx="0">
                  <c:v>Инвестиције</c:v>
                </c:pt>
              </c:strCache>
            </c:strRef>
          </c:tx>
          <c:spPr>
            <a:solidFill>
              <a:srgbClr val="2183C4"/>
            </a:solidFill>
            <a:ln>
              <a:noFill/>
            </a:ln>
            <a:effectLst/>
          </c:spPr>
          <c:invertIfNegative val="0"/>
          <c:cat>
            <c:strRef>
              <c:f>BDP_doprinosi!$AE$6:$AM$6</c:f>
              <c:strCache>
                <c:ptCount val="4"/>
                <c:pt idx="0">
                  <c:v>2022</c:v>
                </c:pt>
                <c:pt idx="1">
                  <c:v>2023</c:v>
                </c:pt>
                <c:pt idx="2">
                  <c:v>2024</c:v>
                </c:pt>
                <c:pt idx="3">
                  <c:v>П1 2025</c:v>
                </c:pt>
              </c:strCache>
              <c:extLst/>
            </c:strRef>
          </c:cat>
          <c:val>
            <c:numRef>
              <c:f>BDP_doprinosi!$AE$10:$AM$10</c:f>
              <c:numCache>
                <c:formatCode>0.0</c:formatCode>
                <c:ptCount val="4"/>
                <c:pt idx="0">
                  <c:v>0.50227686987182918</c:v>
                </c:pt>
                <c:pt idx="1">
                  <c:v>2.2266722518818769</c:v>
                </c:pt>
                <c:pt idx="2">
                  <c:v>1.8669989562268212</c:v>
                </c:pt>
                <c:pt idx="3">
                  <c:v>-0.53604943993853937</c:v>
                </c:pt>
              </c:numCache>
              <c:extLst/>
            </c:numRef>
          </c:val>
          <c:extLst>
            <c:ext xmlns:c16="http://schemas.microsoft.com/office/drawing/2014/chart" uri="{C3380CC4-5D6E-409C-BE32-E72D297353CC}">
              <c16:uniqueId val="{00000002-8CAF-43D9-A57B-EE2DAB369A49}"/>
            </c:ext>
          </c:extLst>
        </c:ser>
        <c:ser>
          <c:idx val="0"/>
          <c:order val="3"/>
          <c:tx>
            <c:strRef>
              <c:f>BDP_doprinosi!$R$11</c:f>
              <c:strCache>
                <c:ptCount val="1"/>
                <c:pt idx="0">
                  <c:v>Нето извоз</c:v>
                </c:pt>
              </c:strCache>
            </c:strRef>
          </c:tx>
          <c:spPr>
            <a:solidFill>
              <a:srgbClr val="51BBE7"/>
            </a:solidFill>
            <a:ln>
              <a:noFill/>
            </a:ln>
            <a:effectLst/>
          </c:spPr>
          <c:invertIfNegative val="0"/>
          <c:cat>
            <c:strRef>
              <c:f>BDP_doprinosi!$AE$6:$AM$6</c:f>
              <c:strCache>
                <c:ptCount val="4"/>
                <c:pt idx="0">
                  <c:v>2022</c:v>
                </c:pt>
                <c:pt idx="1">
                  <c:v>2023</c:v>
                </c:pt>
                <c:pt idx="2">
                  <c:v>2024</c:v>
                </c:pt>
                <c:pt idx="3">
                  <c:v>П1 2025</c:v>
                </c:pt>
              </c:strCache>
              <c:extLst/>
            </c:strRef>
          </c:cat>
          <c:val>
            <c:numRef>
              <c:f>BDP_doprinosi!$AE$11:$AM$11</c:f>
              <c:numCache>
                <c:formatCode>0.0</c:formatCode>
                <c:ptCount val="4"/>
                <c:pt idx="0">
                  <c:v>-0.72017071190694426</c:v>
                </c:pt>
                <c:pt idx="1">
                  <c:v>2.5793220166551953</c:v>
                </c:pt>
                <c:pt idx="2">
                  <c:v>-2.087662236799805</c:v>
                </c:pt>
                <c:pt idx="3">
                  <c:v>-2.5857478707676327</c:v>
                </c:pt>
              </c:numCache>
              <c:extLst/>
            </c:numRef>
          </c:val>
          <c:extLst>
            <c:ext xmlns:c16="http://schemas.microsoft.com/office/drawing/2014/chart" uri="{C3380CC4-5D6E-409C-BE32-E72D297353CC}">
              <c16:uniqueId val="{00000003-8CAF-43D9-A57B-EE2DAB369A49}"/>
            </c:ext>
          </c:extLst>
        </c:ser>
        <c:ser>
          <c:idx val="4"/>
          <c:order val="4"/>
          <c:tx>
            <c:strRef>
              <c:f>BDP_doprinosi!$R$12</c:f>
              <c:strCache>
                <c:ptCount val="1"/>
                <c:pt idx="0">
                  <c:v>Промена у залихама</c:v>
                </c:pt>
              </c:strCache>
            </c:strRef>
          </c:tx>
          <c:spPr>
            <a:solidFill>
              <a:srgbClr val="9ED1E6"/>
            </a:solidFill>
            <a:ln>
              <a:noFill/>
            </a:ln>
            <a:effectLst/>
          </c:spPr>
          <c:invertIfNegative val="0"/>
          <c:cat>
            <c:strRef>
              <c:f>BDP_doprinosi!$AE$6:$AM$6</c:f>
              <c:strCache>
                <c:ptCount val="4"/>
                <c:pt idx="0">
                  <c:v>2022</c:v>
                </c:pt>
                <c:pt idx="1">
                  <c:v>2023</c:v>
                </c:pt>
                <c:pt idx="2">
                  <c:v>2024</c:v>
                </c:pt>
                <c:pt idx="3">
                  <c:v>П1 2025</c:v>
                </c:pt>
              </c:strCache>
              <c:extLst/>
            </c:strRef>
          </c:cat>
          <c:val>
            <c:numRef>
              <c:f>BDP_doprinosi!$AE$12:$AM$12</c:f>
              <c:numCache>
                <c:formatCode>0.0</c:formatCode>
                <c:ptCount val="4"/>
                <c:pt idx="0">
                  <c:v>0.45382313751105896</c:v>
                </c:pt>
                <c:pt idx="1">
                  <c:v>-0.93054733787088606</c:v>
                </c:pt>
                <c:pt idx="2">
                  <c:v>0.24271600932706799</c:v>
                </c:pt>
                <c:pt idx="3">
                  <c:v>3.1932977357895789</c:v>
                </c:pt>
              </c:numCache>
              <c:extLst/>
            </c:numRef>
          </c:val>
          <c:extLst>
            <c:ext xmlns:c16="http://schemas.microsoft.com/office/drawing/2014/chart" uri="{C3380CC4-5D6E-409C-BE32-E72D297353CC}">
              <c16:uniqueId val="{00000004-8CAF-43D9-A57B-EE2DAB369A49}"/>
            </c:ext>
          </c:extLst>
        </c:ser>
        <c:dLbls>
          <c:showLegendKey val="0"/>
          <c:showVal val="0"/>
          <c:showCatName val="0"/>
          <c:showSerName val="0"/>
          <c:showPercent val="0"/>
          <c:showBubbleSize val="0"/>
        </c:dLbls>
        <c:gapWidth val="60"/>
        <c:overlap val="100"/>
        <c:axId val="1768857248"/>
        <c:axId val="1768855072"/>
      </c:barChart>
      <c:lineChart>
        <c:grouping val="standard"/>
        <c:varyColors val="0"/>
        <c:ser>
          <c:idx val="5"/>
          <c:order val="5"/>
          <c:tx>
            <c:strRef>
              <c:f>BDP_doprinosi!$R$13</c:f>
              <c:strCache>
                <c:ptCount val="1"/>
                <c:pt idx="0">
                  <c:v>Реални раст БДП</c:v>
                </c:pt>
              </c:strCache>
            </c:strRef>
          </c:tx>
          <c:spPr>
            <a:ln w="25400" cap="rnd">
              <a:solidFill>
                <a:srgbClr val="FF0000"/>
              </a:solidFill>
              <a:round/>
            </a:ln>
            <a:effectLst/>
          </c:spPr>
          <c:marker>
            <c:symbol val="none"/>
          </c:marker>
          <c:dLbls>
            <c:spPr>
              <a:noFill/>
              <a:ln>
                <a:noFill/>
              </a:ln>
              <a:effectLst/>
            </c:spPr>
            <c:txPr>
              <a:bodyPr rot="0" spcFirstLastPara="1" vertOverflow="ellipsis" vert="horz" wrap="square" anchor="ctr" anchorCtr="1"/>
              <a:lstStyle/>
              <a:p>
                <a:pPr>
                  <a:defRPr sz="750" b="1" i="0" u="none" strike="noStrike" kern="1200" baseline="0">
                    <a:solidFill>
                      <a:srgbClr val="FF0000"/>
                    </a:solidFill>
                    <a:latin typeface="+mn-lt"/>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BDP_doprinosi!$AE$6:$AM$6</c:f>
              <c:strCache>
                <c:ptCount val="4"/>
                <c:pt idx="0">
                  <c:v>2022</c:v>
                </c:pt>
                <c:pt idx="1">
                  <c:v>2023</c:v>
                </c:pt>
                <c:pt idx="2">
                  <c:v>2024</c:v>
                </c:pt>
                <c:pt idx="3">
                  <c:v>П1 2025</c:v>
                </c:pt>
              </c:strCache>
              <c:extLst/>
            </c:strRef>
          </c:cat>
          <c:val>
            <c:numRef>
              <c:f>BDP_doprinosi!$AE$13:$AM$13</c:f>
              <c:numCache>
                <c:formatCode>0.0</c:formatCode>
                <c:ptCount val="4"/>
                <c:pt idx="0">
                  <c:v>2.7034766749054739</c:v>
                </c:pt>
                <c:pt idx="1">
                  <c:v>3.7479330956034858</c:v>
                </c:pt>
                <c:pt idx="2">
                  <c:v>3.9499260112011711</c:v>
                </c:pt>
                <c:pt idx="3">
                  <c:v>1.9614263142870083</c:v>
                </c:pt>
              </c:numCache>
              <c:extLst/>
            </c:numRef>
          </c:val>
          <c:smooth val="0"/>
          <c:extLst>
            <c:ext xmlns:c16="http://schemas.microsoft.com/office/drawing/2014/chart" uri="{C3380CC4-5D6E-409C-BE32-E72D297353CC}">
              <c16:uniqueId val="{00000005-8CAF-43D9-A57B-EE2DAB369A49}"/>
            </c:ext>
          </c:extLst>
        </c:ser>
        <c:dLbls>
          <c:showLegendKey val="0"/>
          <c:showVal val="0"/>
          <c:showCatName val="0"/>
          <c:showSerName val="0"/>
          <c:showPercent val="0"/>
          <c:showBubbleSize val="0"/>
        </c:dLbls>
        <c:marker val="1"/>
        <c:smooth val="0"/>
        <c:axId val="1768857248"/>
        <c:axId val="1768855072"/>
      </c:lineChart>
      <c:catAx>
        <c:axId val="1768857248"/>
        <c:scaling>
          <c:orientation val="minMax"/>
        </c:scaling>
        <c:delete val="0"/>
        <c:axPos val="b"/>
        <c:numFmt formatCode="General" sourceLinked="1"/>
        <c:majorTickMark val="none"/>
        <c:minorTickMark val="none"/>
        <c:tickLblPos val="low"/>
        <c:spPr>
          <a:noFill/>
          <a:ln w="6350" cap="flat" cmpd="sng" algn="ctr">
            <a:solidFill>
              <a:srgbClr val="898989"/>
            </a:solidFill>
            <a:round/>
          </a:ln>
          <a:effectLst/>
        </c:spPr>
        <c:txPr>
          <a:bodyPr rot="-60000000" spcFirstLastPara="1" vertOverflow="ellipsis" vert="horz" wrap="square" anchor="ctr" anchorCtr="1"/>
          <a:lstStyle/>
          <a:p>
            <a:pPr>
              <a:defRPr sz="750" b="0" i="0" u="none" strike="noStrike" kern="1200" baseline="0">
                <a:solidFill>
                  <a:schemeClr val="tx2"/>
                </a:solidFill>
                <a:latin typeface="+mn-lt"/>
                <a:ea typeface="+mn-ea"/>
                <a:cs typeface="Arial" panose="020B0604020202020204" pitchFamily="34" charset="0"/>
              </a:defRPr>
            </a:pPr>
            <a:endParaRPr lang="en-US"/>
          </a:p>
        </c:txPr>
        <c:crossAx val="1768855072"/>
        <c:crosses val="autoZero"/>
        <c:auto val="1"/>
        <c:lblAlgn val="ctr"/>
        <c:lblOffset val="100"/>
        <c:noMultiLvlLbl val="0"/>
      </c:catAx>
      <c:valAx>
        <c:axId val="1768855072"/>
        <c:scaling>
          <c:orientation val="minMax"/>
          <c:max val="8"/>
          <c:min val="-2"/>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50" b="0" i="0" u="none" strike="noStrike" kern="1200" baseline="0">
                <a:solidFill>
                  <a:schemeClr val="tx2"/>
                </a:solidFill>
                <a:latin typeface="+mn-lt"/>
                <a:ea typeface="+mn-ea"/>
                <a:cs typeface="Arial" panose="020B0604020202020204" pitchFamily="34" charset="0"/>
              </a:defRPr>
            </a:pPr>
            <a:endParaRPr lang="en-US"/>
          </a:p>
        </c:txPr>
        <c:crossAx val="1768857248"/>
        <c:crosses val="autoZero"/>
        <c:crossBetween val="between"/>
      </c:valAx>
      <c:spPr>
        <a:noFill/>
        <a:ln>
          <a:noFill/>
        </a:ln>
        <a:effectLst/>
      </c:spPr>
    </c:plotArea>
    <c:legend>
      <c:legendPos val="b"/>
      <c:layout>
        <c:manualLayout>
          <c:xMode val="edge"/>
          <c:yMode val="edge"/>
          <c:x val="0"/>
          <c:y val="0.83244109195402283"/>
          <c:w val="1"/>
          <c:h val="0.16755890804597701"/>
        </c:manualLayout>
      </c:layout>
      <c:overlay val="0"/>
      <c:spPr>
        <a:noFill/>
        <a:ln>
          <a:noFill/>
        </a:ln>
        <a:effectLst/>
      </c:spPr>
      <c:txPr>
        <a:bodyPr rot="0" spcFirstLastPara="1" vertOverflow="ellipsis" vert="horz" wrap="square" anchor="ctr" anchorCtr="1"/>
        <a:lstStyle/>
        <a:p>
          <a:pPr>
            <a:defRPr sz="750" b="0" i="0" u="none" strike="noStrike" kern="1200" baseline="0">
              <a:solidFill>
                <a:schemeClr val="tx2"/>
              </a:solidFill>
              <a:latin typeface="+mn-lt"/>
              <a:ea typeface="+mn-ea"/>
              <a:cs typeface="Arial" panose="020B0604020202020204" pitchFamily="34" charset="0"/>
            </a:defRPr>
          </a:pPr>
          <a:endParaRPr lang="en-US"/>
        </a:p>
      </c:txPr>
    </c:legend>
    <c:plotVisOnly val="1"/>
    <c:dispBlanksAs val="gap"/>
    <c:showDLblsOverMax val="0"/>
  </c:chart>
  <c:spPr>
    <a:solidFill>
      <a:sysClr val="window" lastClr="FFFFFF"/>
    </a:solidFill>
    <a:ln w="9525" cap="flat" cmpd="sng" algn="ctr">
      <a:noFill/>
      <a:round/>
    </a:ln>
    <a:effectLst/>
  </c:spPr>
  <c:txPr>
    <a:bodyPr/>
    <a:lstStyle/>
    <a:p>
      <a:pPr>
        <a:defRPr sz="750">
          <a:solidFill>
            <a:schemeClr val="tx2"/>
          </a:solidFill>
          <a:latin typeface="+mn-lt"/>
          <a:cs typeface="Arial" panose="020B0604020202020204" pitchFamily="34" charset="0"/>
        </a:defRPr>
      </a:pPr>
      <a:endParaRPr lang="en-US"/>
    </a:p>
  </c:txPr>
  <c:externalData r:id="rId4">
    <c:autoUpdate val="0"/>
  </c:externalData>
  <c:userShapes r:id="rId5"/>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b="1" i="0" baseline="0">
                <a:solidFill>
                  <a:schemeClr val="tx1"/>
                </a:solidFill>
                <a:effectLst/>
                <a:latin typeface="Times New Roman" panose="02020603050405020304" pitchFamily="18" charset="0"/>
                <a:cs typeface="Times New Roman" panose="02020603050405020304" pitchFamily="18" charset="0"/>
              </a:rPr>
              <a:t>Приходи </a:t>
            </a:r>
            <a:r>
              <a:rPr lang="sr-Cyrl-RS" sz="1100" b="1" i="0" baseline="0">
                <a:solidFill>
                  <a:schemeClr val="tx1"/>
                </a:solidFill>
                <a:effectLst/>
                <a:latin typeface="Times New Roman" panose="02020603050405020304" pitchFamily="18" charset="0"/>
                <a:cs typeface="Times New Roman" panose="02020603050405020304" pitchFamily="18" charset="0"/>
              </a:rPr>
              <a:t>буџет</a:t>
            </a:r>
            <a:r>
              <a:rPr lang="en-GB" sz="1100" b="1" i="0" baseline="0">
                <a:solidFill>
                  <a:schemeClr val="tx1"/>
                </a:solidFill>
                <a:effectLst/>
                <a:latin typeface="Times New Roman" panose="02020603050405020304" pitchFamily="18" charset="0"/>
                <a:cs typeface="Times New Roman" panose="02020603050405020304" pitchFamily="18" charset="0"/>
              </a:rPr>
              <a:t>a</a:t>
            </a:r>
            <a:r>
              <a:rPr lang="sr-Cyrl-RS" sz="1100" b="1" i="0" baseline="0">
                <a:solidFill>
                  <a:schemeClr val="tx1"/>
                </a:solidFill>
                <a:effectLst/>
                <a:latin typeface="Times New Roman" panose="02020603050405020304" pitchFamily="18" charset="0"/>
                <a:cs typeface="Times New Roman" panose="02020603050405020304" pitchFamily="18" charset="0"/>
              </a:rPr>
              <a:t> </a:t>
            </a:r>
            <a:r>
              <a:rPr lang="en-GB" sz="1100" b="1" i="0" baseline="0">
                <a:solidFill>
                  <a:schemeClr val="tx1"/>
                </a:solidFill>
                <a:effectLst/>
                <a:latin typeface="Times New Roman" panose="02020603050405020304" pitchFamily="18" charset="0"/>
                <a:cs typeface="Times New Roman" panose="02020603050405020304" pitchFamily="18" charset="0"/>
              </a:rPr>
              <a:t>202</a:t>
            </a:r>
            <a:r>
              <a:rPr lang="sr-Cyrl-RS" sz="1100" b="1" i="0" baseline="0">
                <a:solidFill>
                  <a:schemeClr val="tx1"/>
                </a:solidFill>
                <a:effectLst/>
                <a:latin typeface="Times New Roman" panose="02020603050405020304" pitchFamily="18" charset="0"/>
                <a:cs typeface="Times New Roman" panose="02020603050405020304" pitchFamily="18" charset="0"/>
              </a:rPr>
              <a:t>5</a:t>
            </a:r>
            <a:r>
              <a:rPr lang="en-GB" sz="1100" b="1" i="0" baseline="0">
                <a:solidFill>
                  <a:schemeClr val="tx1"/>
                </a:solidFill>
                <a:effectLst/>
                <a:latin typeface="Times New Roman" panose="02020603050405020304" pitchFamily="18" charset="0"/>
                <a:cs typeface="Times New Roman" panose="02020603050405020304" pitchFamily="18" charset="0"/>
              </a:rPr>
              <a:t> </a:t>
            </a:r>
            <a:r>
              <a:rPr lang="sr-Cyrl-RS" sz="1100" b="1" i="0" baseline="0">
                <a:solidFill>
                  <a:schemeClr val="tx1"/>
                </a:solidFill>
                <a:effectLst/>
                <a:latin typeface="Times New Roman" panose="02020603050405020304" pitchFamily="18" charset="0"/>
                <a:cs typeface="Times New Roman" panose="02020603050405020304" pitchFamily="18" charset="0"/>
              </a:rPr>
              <a:t>и </a:t>
            </a:r>
            <a:r>
              <a:rPr lang="en-US" sz="1100" b="1" i="0" baseline="0">
                <a:solidFill>
                  <a:schemeClr val="tx1"/>
                </a:solidFill>
                <a:effectLst/>
                <a:latin typeface="Times New Roman" panose="02020603050405020304" pitchFamily="18" charset="0"/>
                <a:cs typeface="Times New Roman" panose="02020603050405020304" pitchFamily="18" charset="0"/>
              </a:rPr>
              <a:t>20</a:t>
            </a:r>
            <a:r>
              <a:rPr lang="sr-Cyrl-RS" sz="1100" b="1" i="0" baseline="0">
                <a:solidFill>
                  <a:schemeClr val="tx1"/>
                </a:solidFill>
                <a:effectLst/>
                <a:latin typeface="Times New Roman" panose="02020603050405020304" pitchFamily="18" charset="0"/>
                <a:cs typeface="Times New Roman" panose="02020603050405020304" pitchFamily="18" charset="0"/>
              </a:rPr>
              <a:t>26</a:t>
            </a:r>
            <a:r>
              <a:rPr lang="en-US" sz="1100" b="1" i="0" baseline="0">
                <a:solidFill>
                  <a:schemeClr val="tx1"/>
                </a:solidFill>
                <a:effectLst/>
                <a:latin typeface="Times New Roman" panose="02020603050405020304" pitchFamily="18" charset="0"/>
                <a:cs typeface="Times New Roman" panose="02020603050405020304" pitchFamily="18" charset="0"/>
              </a:rPr>
              <a:t>. </a:t>
            </a:r>
            <a:r>
              <a:rPr lang="sr-Cyrl-RS" sz="1100" b="1" i="0" baseline="0">
                <a:solidFill>
                  <a:schemeClr val="tx1"/>
                </a:solidFill>
                <a:effectLst/>
                <a:latin typeface="Times New Roman" panose="02020603050405020304" pitchFamily="18" charset="0"/>
                <a:cs typeface="Times New Roman" panose="02020603050405020304" pitchFamily="18" charset="0"/>
              </a:rPr>
              <a:t>године</a:t>
            </a:r>
            <a:endParaRPr lang="sr-Cyrl-RS" sz="1100">
              <a:solidFill>
                <a:schemeClr val="tx1"/>
              </a:solidFill>
              <a:effectLst/>
              <a:latin typeface="Times New Roman" panose="02020603050405020304" pitchFamily="18" charset="0"/>
              <a:cs typeface="Times New Roman" panose="02020603050405020304" pitchFamily="18" charset="0"/>
            </a:endParaRPr>
          </a:p>
        </c:rich>
      </c:tx>
      <c:layout>
        <c:manualLayout>
          <c:xMode val="edge"/>
          <c:yMode val="edge"/>
          <c:x val="0.27978211675457254"/>
          <c:y val="1.361763502264096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Cyrl-RS"/>
        </a:p>
      </c:txPr>
    </c:title>
    <c:autoTitleDeleted val="0"/>
    <c:plotArea>
      <c:layout>
        <c:manualLayout>
          <c:layoutTarget val="inner"/>
          <c:xMode val="edge"/>
          <c:yMode val="edge"/>
          <c:x val="0.10624341663311179"/>
          <c:y val="9.8619514239313658E-2"/>
          <c:w val="0.86570102251172576"/>
          <c:h val="0.66855917237796736"/>
        </c:manualLayout>
      </c:layout>
      <c:barChart>
        <c:barDir val="col"/>
        <c:grouping val="clustered"/>
        <c:varyColors val="0"/>
        <c:ser>
          <c:idx val="0"/>
          <c:order val="0"/>
          <c:tx>
            <c:strRef>
              <c:f>'табела поређења'!$D$4</c:f>
              <c:strCache>
                <c:ptCount val="1"/>
                <c:pt idx="0">
                  <c:v>Буџет 2026</c:v>
                </c:pt>
              </c:strCache>
            </c:strRef>
          </c:tx>
          <c:spPr>
            <a:solidFill>
              <a:schemeClr val="accent1">
                <a:lumMod val="40000"/>
                <a:lumOff val="60000"/>
              </a:schemeClr>
            </a:solidFill>
            <a:ln>
              <a:noFill/>
            </a:ln>
            <a:effectLst/>
          </c:spPr>
          <c:invertIfNegative val="0"/>
          <c:cat>
            <c:strRef>
              <c:f>('табела поређења'!$A$7:$A$10,'табела поређења'!$A$14:$A$17)</c:f>
              <c:strCache>
                <c:ptCount val="8"/>
                <c:pt idx="0">
                  <c:v>  Порез на доходак грађана</c:v>
                </c:pt>
                <c:pt idx="1">
                  <c:v>  Порез на добит правних лица</c:v>
                </c:pt>
                <c:pt idx="2">
                  <c:v>  Порез на додату вредност</c:v>
                </c:pt>
                <c:pt idx="3">
                  <c:v>  Акцизе</c:v>
                </c:pt>
                <c:pt idx="4">
                  <c:v>  Царине</c:v>
                </c:pt>
                <c:pt idx="5">
                  <c:v>  Остали порески приходи</c:v>
                </c:pt>
                <c:pt idx="6">
                  <c:v> Непорески приходи</c:v>
                </c:pt>
                <c:pt idx="7">
                  <c:v> Донације</c:v>
                </c:pt>
              </c:strCache>
            </c:strRef>
          </c:cat>
          <c:val>
            <c:numRef>
              <c:f>('табела поређења'!$C$7:$C$10,'табела поређења'!$C$14:$C$17)</c:f>
              <c:numCache>
                <c:formatCode>#,##0.0</c:formatCode>
                <c:ptCount val="8"/>
                <c:pt idx="0">
                  <c:v>140.27863511903283</c:v>
                </c:pt>
                <c:pt idx="1">
                  <c:v>265.78905430367189</c:v>
                </c:pt>
                <c:pt idx="2">
                  <c:v>1002</c:v>
                </c:pt>
                <c:pt idx="3">
                  <c:v>435.31400000000002</c:v>
                </c:pt>
                <c:pt idx="4">
                  <c:v>93.388364739367205</c:v>
                </c:pt>
                <c:pt idx="5">
                  <c:v>16.640584323374974</c:v>
                </c:pt>
                <c:pt idx="6">
                  <c:v>329.55</c:v>
                </c:pt>
                <c:pt idx="7">
                  <c:v>35.424999999999997</c:v>
                </c:pt>
              </c:numCache>
            </c:numRef>
          </c:val>
          <c:extLst>
            <c:ext xmlns:c16="http://schemas.microsoft.com/office/drawing/2014/chart" uri="{C3380CC4-5D6E-409C-BE32-E72D297353CC}">
              <c16:uniqueId val="{00000000-AC45-4BE4-8667-D8C546C549DB}"/>
            </c:ext>
          </c:extLst>
        </c:ser>
        <c:ser>
          <c:idx val="1"/>
          <c:order val="1"/>
          <c:tx>
            <c:strRef>
              <c:f>'табела поређења'!$C$4</c:f>
              <c:strCache>
                <c:ptCount val="1"/>
                <c:pt idx="0">
                  <c:v>Нова процена 2025</c:v>
                </c:pt>
              </c:strCache>
            </c:strRef>
          </c:tx>
          <c:spPr>
            <a:solidFill>
              <a:schemeClr val="accent2"/>
            </a:solidFill>
            <a:ln>
              <a:noFill/>
            </a:ln>
            <a:effectLst/>
          </c:spPr>
          <c:invertIfNegative val="0"/>
          <c:cat>
            <c:strRef>
              <c:f>('табела поређења'!$A$7:$A$10,'табела поређења'!$A$14:$A$17)</c:f>
              <c:strCache>
                <c:ptCount val="8"/>
                <c:pt idx="0">
                  <c:v>  Порез на доходак грађана</c:v>
                </c:pt>
                <c:pt idx="1">
                  <c:v>  Порез на добит правних лица</c:v>
                </c:pt>
                <c:pt idx="2">
                  <c:v>  Порез на додату вредност</c:v>
                </c:pt>
                <c:pt idx="3">
                  <c:v>  Акцизе</c:v>
                </c:pt>
                <c:pt idx="4">
                  <c:v>  Царине</c:v>
                </c:pt>
                <c:pt idx="5">
                  <c:v>  Остали порески приходи</c:v>
                </c:pt>
                <c:pt idx="6">
                  <c:v> Непорески приходи</c:v>
                </c:pt>
                <c:pt idx="7">
                  <c:v> Донације</c:v>
                </c:pt>
              </c:strCache>
            </c:strRef>
          </c:cat>
          <c:val>
            <c:numRef>
              <c:f>('табела поређења'!$D$7:$D$10,'табела поређења'!$D$14:$D$17)</c:f>
              <c:numCache>
                <c:formatCode>#,##0.0</c:formatCode>
                <c:ptCount val="8"/>
                <c:pt idx="0">
                  <c:v>150.5</c:v>
                </c:pt>
                <c:pt idx="1">
                  <c:v>275</c:v>
                </c:pt>
                <c:pt idx="2">
                  <c:v>1084</c:v>
                </c:pt>
                <c:pt idx="3">
                  <c:v>453.3</c:v>
                </c:pt>
                <c:pt idx="4">
                  <c:v>99.9</c:v>
                </c:pt>
                <c:pt idx="5">
                  <c:v>17.3</c:v>
                </c:pt>
                <c:pt idx="6">
                  <c:v>303.29605500000002</c:v>
                </c:pt>
                <c:pt idx="7">
                  <c:v>31.403945</c:v>
                </c:pt>
              </c:numCache>
            </c:numRef>
          </c:val>
          <c:extLst>
            <c:ext xmlns:c16="http://schemas.microsoft.com/office/drawing/2014/chart" uri="{C3380CC4-5D6E-409C-BE32-E72D297353CC}">
              <c16:uniqueId val="{00000001-AC45-4BE4-8667-D8C546C549DB}"/>
            </c:ext>
          </c:extLst>
        </c:ser>
        <c:dLbls>
          <c:showLegendKey val="0"/>
          <c:showVal val="0"/>
          <c:showCatName val="0"/>
          <c:showSerName val="0"/>
          <c:showPercent val="0"/>
          <c:showBubbleSize val="0"/>
        </c:dLbls>
        <c:gapWidth val="50"/>
        <c:overlap val="1"/>
        <c:axId val="540867352"/>
        <c:axId val="540867744"/>
      </c:barChart>
      <c:lineChart>
        <c:grouping val="standard"/>
        <c:varyColors val="0"/>
        <c:ser>
          <c:idx val="2"/>
          <c:order val="2"/>
          <c:tx>
            <c:strRef>
              <c:f>'табела поређења'!$E$4</c:f>
              <c:strCache>
                <c:ptCount val="1"/>
                <c:pt idx="0">
                  <c:v>Индекс  2026/2025</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('табела поређења'!$A$7:$A$10,'табела поређења'!$A$14:$A$17)</c:f>
              <c:strCache>
                <c:ptCount val="8"/>
                <c:pt idx="0">
                  <c:v>  Порез на доходак грађана</c:v>
                </c:pt>
                <c:pt idx="1">
                  <c:v>  Порез на добит правних лица</c:v>
                </c:pt>
                <c:pt idx="2">
                  <c:v>  Порез на додату вредност</c:v>
                </c:pt>
                <c:pt idx="3">
                  <c:v>  Акцизе</c:v>
                </c:pt>
                <c:pt idx="4">
                  <c:v>  Царине</c:v>
                </c:pt>
                <c:pt idx="5">
                  <c:v>  Остали порески приходи</c:v>
                </c:pt>
                <c:pt idx="6">
                  <c:v> Непорески приходи</c:v>
                </c:pt>
                <c:pt idx="7">
                  <c:v> Донације</c:v>
                </c:pt>
              </c:strCache>
            </c:strRef>
          </c:cat>
          <c:val>
            <c:numRef>
              <c:f>('табела поређења'!$E$7:$E$10,'табела поређења'!$E$14:$E$17)</c:f>
              <c:numCache>
                <c:formatCode>0.0</c:formatCode>
                <c:ptCount val="8"/>
                <c:pt idx="0">
                  <c:v>107.28647300588139</c:v>
                </c:pt>
                <c:pt idx="1">
                  <c:v>103.46550978950559</c:v>
                </c:pt>
                <c:pt idx="2">
                  <c:v>108.18363273453093</c:v>
                </c:pt>
                <c:pt idx="3">
                  <c:v>104.13173019935036</c:v>
                </c:pt>
                <c:pt idx="4">
                  <c:v>106.97264084107884</c:v>
                </c:pt>
                <c:pt idx="5">
                  <c:v>103.96269544272401</c:v>
                </c:pt>
                <c:pt idx="6">
                  <c:v>92.033395539371881</c:v>
                </c:pt>
                <c:pt idx="7">
                  <c:v>88.649103740296411</c:v>
                </c:pt>
              </c:numCache>
            </c:numRef>
          </c:val>
          <c:smooth val="0"/>
          <c:extLst>
            <c:ext xmlns:c16="http://schemas.microsoft.com/office/drawing/2014/chart" uri="{C3380CC4-5D6E-409C-BE32-E72D297353CC}">
              <c16:uniqueId val="{00000002-AC45-4BE4-8667-D8C546C549DB}"/>
            </c:ext>
          </c:extLst>
        </c:ser>
        <c:dLbls>
          <c:showLegendKey val="0"/>
          <c:showVal val="0"/>
          <c:showCatName val="0"/>
          <c:showSerName val="0"/>
          <c:showPercent val="0"/>
          <c:showBubbleSize val="0"/>
        </c:dLbls>
        <c:marker val="1"/>
        <c:smooth val="0"/>
        <c:axId val="540864216"/>
        <c:axId val="540863824"/>
      </c:lineChart>
      <c:catAx>
        <c:axId val="540867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40867744"/>
        <c:crosses val="autoZero"/>
        <c:auto val="1"/>
        <c:lblAlgn val="ctr"/>
        <c:lblOffset val="100"/>
        <c:noMultiLvlLbl val="0"/>
      </c:catAx>
      <c:valAx>
        <c:axId val="5408677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40867352"/>
        <c:crosses val="autoZero"/>
        <c:crossBetween val="between"/>
      </c:valAx>
      <c:valAx>
        <c:axId val="540863824"/>
        <c:scaling>
          <c:orientation val="minMax"/>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40864216"/>
        <c:crosses val="max"/>
        <c:crossBetween val="between"/>
      </c:valAx>
      <c:catAx>
        <c:axId val="540864216"/>
        <c:scaling>
          <c:orientation val="minMax"/>
        </c:scaling>
        <c:delete val="1"/>
        <c:axPos val="b"/>
        <c:numFmt formatCode="General" sourceLinked="1"/>
        <c:majorTickMark val="out"/>
        <c:minorTickMark val="none"/>
        <c:tickLblPos val="nextTo"/>
        <c:crossAx val="54086382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200" b="0" i="0" u="none" strike="noStrike" kern="1200" baseline="0">
                <a:solidFill>
                  <a:srgbClr val="000000"/>
                </a:solidFill>
                <a:latin typeface="Calibri"/>
                <a:ea typeface="Calibri"/>
                <a:cs typeface="Calibri"/>
              </a:defRPr>
            </a:pPr>
            <a:r>
              <a:rPr lang="sr-Cyrl-RS" sz="1100" b="1">
                <a:latin typeface="Times New Roman" panose="02020603050405020304" pitchFamily="18" charset="0"/>
                <a:cs typeface="Times New Roman" panose="02020603050405020304" pitchFamily="18" charset="0"/>
              </a:rPr>
              <a:t>Структура прихода у 2026</a:t>
            </a:r>
            <a:r>
              <a:rPr lang="en-US" sz="1100" b="1">
                <a:latin typeface="Times New Roman" panose="02020603050405020304" pitchFamily="18" charset="0"/>
                <a:cs typeface="Times New Roman" panose="02020603050405020304" pitchFamily="18" charset="0"/>
              </a:rPr>
              <a:t>.</a:t>
            </a:r>
            <a:r>
              <a:rPr lang="en-US" sz="1100" b="1" baseline="0">
                <a:latin typeface="Times New Roman" panose="02020603050405020304" pitchFamily="18" charset="0"/>
                <a:cs typeface="Times New Roman" panose="02020603050405020304" pitchFamily="18" charset="0"/>
              </a:rPr>
              <a:t> </a:t>
            </a:r>
            <a:r>
              <a:rPr lang="sr-Cyrl-RS" sz="1100" b="1" baseline="0">
                <a:latin typeface="Times New Roman" panose="02020603050405020304" pitchFamily="18" charset="0"/>
                <a:cs typeface="Times New Roman" panose="02020603050405020304" pitchFamily="18" charset="0"/>
              </a:rPr>
              <a:t>години</a:t>
            </a:r>
            <a:r>
              <a:rPr lang="sr-Cyrl-RS" sz="1100" b="1">
                <a:latin typeface="Times New Roman" panose="02020603050405020304" pitchFamily="18" charset="0"/>
                <a:cs typeface="Times New Roman" panose="02020603050405020304" pitchFamily="18" charset="0"/>
              </a:rPr>
              <a:t>, у %</a:t>
            </a:r>
          </a:p>
        </c:rich>
      </c:tx>
      <c:layout>
        <c:manualLayout>
          <c:xMode val="edge"/>
          <c:yMode val="edge"/>
          <c:x val="0.27085706907952706"/>
          <c:y val="3.8854564914181343E-2"/>
        </c:manualLayout>
      </c:layout>
      <c:overlay val="0"/>
      <c:spPr>
        <a:noFill/>
        <a:ln>
          <a:noFill/>
        </a:ln>
        <a:effectLst/>
      </c:spPr>
      <c:txPr>
        <a:bodyPr rot="0" spcFirstLastPara="1" vertOverflow="ellipsis" vert="horz" wrap="square" anchor="ctr" anchorCtr="1"/>
        <a:lstStyle/>
        <a:p>
          <a:pPr>
            <a:defRPr sz="1200" b="0" i="0" u="none" strike="noStrike" kern="1200" baseline="0">
              <a:solidFill>
                <a:srgbClr val="000000"/>
              </a:solidFill>
              <a:latin typeface="Calibri"/>
              <a:ea typeface="Calibri"/>
              <a:cs typeface="Calibri"/>
            </a:defRPr>
          </a:pPr>
          <a:endParaRPr lang="en-US"/>
        </a:p>
      </c:txPr>
    </c:title>
    <c:autoTitleDeleted val="0"/>
    <c:plotArea>
      <c:layout>
        <c:manualLayout>
          <c:layoutTarget val="inner"/>
          <c:xMode val="edge"/>
          <c:yMode val="edge"/>
          <c:x val="0.24889878864151879"/>
          <c:y val="0.14066780312254784"/>
          <c:w val="0.46554284674811686"/>
          <c:h val="0.84829585734772839"/>
        </c:manualLayout>
      </c:layout>
      <c:pieChart>
        <c:varyColors val="1"/>
        <c:ser>
          <c:idx val="0"/>
          <c:order val="0"/>
          <c:tx>
            <c:strRef>
              <c:f>'табела поређења'!$G$4</c:f>
              <c:strCache>
                <c:ptCount val="1"/>
                <c:pt idx="0">
                  <c:v>Структура прихода  2026, у %</c:v>
                </c:pt>
              </c:strCache>
            </c:strRef>
          </c:tx>
          <c:explosion val="3"/>
          <c:dPt>
            <c:idx val="0"/>
            <c:bubble3D val="0"/>
            <c:spPr>
              <a:solidFill>
                <a:schemeClr val="accent1">
                  <a:shade val="45000"/>
                </a:schemeClr>
              </a:solidFill>
              <a:ln>
                <a:noFill/>
              </a:ln>
              <a:effectLst/>
            </c:spPr>
            <c:extLst>
              <c:ext xmlns:c16="http://schemas.microsoft.com/office/drawing/2014/chart" uri="{C3380CC4-5D6E-409C-BE32-E72D297353CC}">
                <c16:uniqueId val="{00000001-1F7A-4E37-879D-A75FCA4567DE}"/>
              </c:ext>
            </c:extLst>
          </c:dPt>
          <c:dPt>
            <c:idx val="1"/>
            <c:bubble3D val="0"/>
            <c:spPr>
              <a:solidFill>
                <a:schemeClr val="accent1">
                  <a:shade val="61000"/>
                </a:schemeClr>
              </a:solidFill>
              <a:ln>
                <a:noFill/>
              </a:ln>
              <a:effectLst/>
            </c:spPr>
            <c:extLst>
              <c:ext xmlns:c16="http://schemas.microsoft.com/office/drawing/2014/chart" uri="{C3380CC4-5D6E-409C-BE32-E72D297353CC}">
                <c16:uniqueId val="{00000003-1F7A-4E37-879D-A75FCA4567DE}"/>
              </c:ext>
            </c:extLst>
          </c:dPt>
          <c:dPt>
            <c:idx val="2"/>
            <c:bubble3D val="0"/>
            <c:spPr>
              <a:solidFill>
                <a:schemeClr val="accent1">
                  <a:shade val="76000"/>
                </a:schemeClr>
              </a:solidFill>
              <a:ln>
                <a:noFill/>
              </a:ln>
              <a:effectLst/>
            </c:spPr>
            <c:extLst>
              <c:ext xmlns:c16="http://schemas.microsoft.com/office/drawing/2014/chart" uri="{C3380CC4-5D6E-409C-BE32-E72D297353CC}">
                <c16:uniqueId val="{00000005-1F7A-4E37-879D-A75FCA4567DE}"/>
              </c:ext>
            </c:extLst>
          </c:dPt>
          <c:dPt>
            <c:idx val="3"/>
            <c:bubble3D val="0"/>
            <c:spPr>
              <a:solidFill>
                <a:schemeClr val="accent1">
                  <a:shade val="92000"/>
                </a:schemeClr>
              </a:solidFill>
              <a:ln>
                <a:noFill/>
              </a:ln>
              <a:effectLst/>
            </c:spPr>
            <c:extLst>
              <c:ext xmlns:c16="http://schemas.microsoft.com/office/drawing/2014/chart" uri="{C3380CC4-5D6E-409C-BE32-E72D297353CC}">
                <c16:uniqueId val="{00000007-1F7A-4E37-879D-A75FCA4567DE}"/>
              </c:ext>
            </c:extLst>
          </c:dPt>
          <c:dPt>
            <c:idx val="4"/>
            <c:bubble3D val="0"/>
            <c:spPr>
              <a:solidFill>
                <a:schemeClr val="accent1">
                  <a:tint val="93000"/>
                </a:schemeClr>
              </a:solidFill>
              <a:ln>
                <a:noFill/>
              </a:ln>
              <a:effectLst/>
            </c:spPr>
            <c:extLst>
              <c:ext xmlns:c16="http://schemas.microsoft.com/office/drawing/2014/chart" uri="{C3380CC4-5D6E-409C-BE32-E72D297353CC}">
                <c16:uniqueId val="{00000009-1F7A-4E37-879D-A75FCA4567DE}"/>
              </c:ext>
            </c:extLst>
          </c:dPt>
          <c:dPt>
            <c:idx val="5"/>
            <c:bubble3D val="0"/>
            <c:spPr>
              <a:solidFill>
                <a:schemeClr val="accent1">
                  <a:tint val="77000"/>
                </a:schemeClr>
              </a:solidFill>
              <a:ln>
                <a:noFill/>
              </a:ln>
              <a:effectLst/>
            </c:spPr>
            <c:extLst>
              <c:ext xmlns:c16="http://schemas.microsoft.com/office/drawing/2014/chart" uri="{C3380CC4-5D6E-409C-BE32-E72D297353CC}">
                <c16:uniqueId val="{0000000B-1F7A-4E37-879D-A75FCA4567DE}"/>
              </c:ext>
            </c:extLst>
          </c:dPt>
          <c:dPt>
            <c:idx val="6"/>
            <c:bubble3D val="0"/>
            <c:spPr>
              <a:solidFill>
                <a:schemeClr val="accent1">
                  <a:tint val="62000"/>
                </a:schemeClr>
              </a:solidFill>
              <a:ln>
                <a:noFill/>
              </a:ln>
              <a:effectLst/>
            </c:spPr>
            <c:extLst>
              <c:ext xmlns:c16="http://schemas.microsoft.com/office/drawing/2014/chart" uri="{C3380CC4-5D6E-409C-BE32-E72D297353CC}">
                <c16:uniqueId val="{0000000D-1F7A-4E37-879D-A75FCA4567DE}"/>
              </c:ext>
            </c:extLst>
          </c:dPt>
          <c:dPt>
            <c:idx val="7"/>
            <c:bubble3D val="0"/>
            <c:spPr>
              <a:solidFill>
                <a:schemeClr val="accent1">
                  <a:tint val="46000"/>
                </a:schemeClr>
              </a:solidFill>
              <a:ln>
                <a:noFill/>
              </a:ln>
              <a:effectLst/>
            </c:spPr>
            <c:extLst>
              <c:ext xmlns:c16="http://schemas.microsoft.com/office/drawing/2014/chart" uri="{C3380CC4-5D6E-409C-BE32-E72D297353CC}">
                <c16:uniqueId val="{0000000F-1F7A-4E37-879D-A75FCA4567DE}"/>
              </c:ext>
            </c:extLst>
          </c:dPt>
          <c:dPt>
            <c:idx val="8"/>
            <c:bubble3D val="0"/>
            <c:spPr>
              <a:solidFill>
                <a:schemeClr val="accent1">
                  <a:tint val="65000"/>
                </a:schemeClr>
              </a:solidFill>
              <a:ln>
                <a:noFill/>
              </a:ln>
              <a:effectLst/>
            </c:spPr>
            <c:extLst>
              <c:ext xmlns:c16="http://schemas.microsoft.com/office/drawing/2014/chart" uri="{C3380CC4-5D6E-409C-BE32-E72D297353CC}">
                <c16:uniqueId val="{00000011-1F7A-4E37-879D-A75FCA4567DE}"/>
              </c:ext>
            </c:extLst>
          </c:dPt>
          <c:dPt>
            <c:idx val="9"/>
            <c:bubble3D val="0"/>
            <c:spPr>
              <a:solidFill>
                <a:schemeClr val="accent1">
                  <a:tint val="54000"/>
                </a:schemeClr>
              </a:solidFill>
              <a:ln>
                <a:noFill/>
              </a:ln>
              <a:effectLst/>
            </c:spPr>
            <c:extLst>
              <c:ext xmlns:c16="http://schemas.microsoft.com/office/drawing/2014/chart" uri="{C3380CC4-5D6E-409C-BE32-E72D297353CC}">
                <c16:uniqueId val="{00000013-1F7A-4E37-879D-A75FCA4567DE}"/>
              </c:ext>
            </c:extLst>
          </c:dPt>
          <c:dPt>
            <c:idx val="10"/>
            <c:bubble3D val="0"/>
            <c:spPr>
              <a:solidFill>
                <a:schemeClr val="accent1">
                  <a:tint val="42000"/>
                </a:schemeClr>
              </a:solidFill>
              <a:ln>
                <a:noFill/>
              </a:ln>
              <a:effectLst/>
            </c:spPr>
            <c:extLst>
              <c:ext xmlns:c16="http://schemas.microsoft.com/office/drawing/2014/chart" uri="{C3380CC4-5D6E-409C-BE32-E72D297353CC}">
                <c16:uniqueId val="{00000015-1F7A-4E37-879D-A75FCA4567DE}"/>
              </c:ext>
            </c:extLst>
          </c:dPt>
          <c:dLbls>
            <c:dLbl>
              <c:idx val="0"/>
              <c:layout>
                <c:manualLayout>
                  <c:x val="1.3494871529216764E-2"/>
                  <c:y val="6.2872256947263158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1F7A-4E37-879D-A75FCA4567DE}"/>
                </c:ext>
              </c:extLst>
            </c:dLbl>
            <c:dLbl>
              <c:idx val="2"/>
              <c:layout>
                <c:manualLayout>
                  <c:x val="0.11416691163400661"/>
                  <c:y val="-0.21236323627733061"/>
                </c:manualLayout>
              </c:layout>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1F7A-4E37-879D-A75FCA4567DE}"/>
                </c:ext>
              </c:extLst>
            </c:dLbl>
            <c:dLbl>
              <c:idx val="3"/>
              <c:layout>
                <c:manualLayout>
                  <c:x val="6.5590903396856221E-2"/>
                  <c:y val="0.14401071914399355"/>
                </c:manualLayout>
              </c:layout>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1F7A-4E37-879D-A75FCA4567DE}"/>
                </c:ext>
              </c:extLst>
            </c:dLbl>
            <c:dLbl>
              <c:idx val="4"/>
              <c:layout>
                <c:manualLayout>
                  <c:x val="-2.3448852969287556E-3"/>
                  <c:y val="2.2191054063073392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1F7A-4E37-879D-A75FCA4567DE}"/>
                </c:ext>
              </c:extLst>
            </c:dLbl>
            <c:dLbl>
              <c:idx val="5"/>
              <c:layout>
                <c:manualLayout>
                  <c:x val="4.5165937908354825E-2"/>
                  <c:y val="3.7601700465830688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B-1F7A-4E37-879D-A75FCA4567DE}"/>
                </c:ext>
              </c:extLst>
            </c:dLbl>
            <c:dLbl>
              <c:idx val="7"/>
              <c:layout>
                <c:manualLayout>
                  <c:x val="-2.9494484251854126E-2"/>
                  <c:y val="2.6264081472029779E-3"/>
                </c:manualLayout>
              </c:layout>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F-1F7A-4E37-879D-A75FCA4567DE}"/>
                </c:ext>
              </c:extLst>
            </c:dLbl>
            <c:numFmt formatCode="0.0%" sourceLinked="0"/>
            <c:spPr>
              <a:noFill/>
              <a:ln>
                <a:noFill/>
              </a:ln>
              <a:effectLst/>
            </c:spPr>
            <c:txPr>
              <a:bodyPr rot="0" spcFirstLastPara="1" vertOverflow="ellipsis" vert="horz" wrap="square" anchor="ctr" anchorCtr="1"/>
              <a:lstStyle/>
              <a:p>
                <a:pPr>
                  <a:defRPr sz="800" b="0" i="0" u="none" strike="noStrike" kern="1200" baseline="0">
                    <a:solidFill>
                      <a:srgbClr val="000000"/>
                    </a:solidFill>
                    <a:latin typeface="Times New Roman" pitchFamily="18" charset="0"/>
                    <a:ea typeface="Calibri"/>
                    <a:cs typeface="Times New Roman" pitchFamily="18" charset="0"/>
                  </a:defRPr>
                </a:pPr>
                <a:endParaRPr lang="en-US"/>
              </a:p>
            </c:txPr>
            <c:dLblPos val="bestFit"/>
            <c:showLegendKey val="0"/>
            <c:showVal val="0"/>
            <c:showCatName val="1"/>
            <c:showSerName val="0"/>
            <c:showPercent val="1"/>
            <c:showBubbleSize val="0"/>
            <c:separator>
</c:separator>
            <c:showLeaderLines val="1"/>
            <c:leaderLines>
              <c:spPr>
                <a:ln w="9525" cap="flat" cmpd="sng" algn="ctr">
                  <a:solidFill>
                    <a:schemeClr val="tx1">
                      <a:shade val="95000"/>
                      <a:satMod val="105000"/>
                    </a:schemeClr>
                  </a:solidFill>
                  <a:prstDash val="solid"/>
                  <a:round/>
                </a:ln>
                <a:effectLst/>
              </c:spPr>
            </c:leaderLines>
            <c:extLst>
              <c:ext xmlns:c15="http://schemas.microsoft.com/office/drawing/2012/chart" uri="{CE6537A1-D6FC-4f65-9D91-7224C49458BB}"/>
            </c:extLst>
          </c:dLbls>
          <c:cat>
            <c:strRef>
              <c:f>('табела поређења'!$A$7:$A$10,'табела поређења'!$A$14:$A$17)</c:f>
              <c:strCache>
                <c:ptCount val="8"/>
                <c:pt idx="0">
                  <c:v>  Порез на доходак грађана</c:v>
                </c:pt>
                <c:pt idx="1">
                  <c:v>  Порез на добит правних лица</c:v>
                </c:pt>
                <c:pt idx="2">
                  <c:v>  Порез на додату вредност</c:v>
                </c:pt>
                <c:pt idx="3">
                  <c:v>  Акцизе</c:v>
                </c:pt>
                <c:pt idx="4">
                  <c:v>  Царине</c:v>
                </c:pt>
                <c:pt idx="5">
                  <c:v>  Остали порески приходи</c:v>
                </c:pt>
                <c:pt idx="6">
                  <c:v> Непорески приходи</c:v>
                </c:pt>
                <c:pt idx="7">
                  <c:v> Донације</c:v>
                </c:pt>
              </c:strCache>
            </c:strRef>
          </c:cat>
          <c:val>
            <c:numRef>
              <c:f>('табела поређења'!$G$7:$G$10,'табела поређења'!$G$14:$G$17)</c:f>
              <c:numCache>
                <c:formatCode>0.0</c:formatCode>
                <c:ptCount val="8"/>
                <c:pt idx="0">
                  <c:v>6.2326583012382475</c:v>
                </c:pt>
                <c:pt idx="1">
                  <c:v>11.388578291299122</c:v>
                </c:pt>
                <c:pt idx="2">
                  <c:v>44.891704973702723</c:v>
                </c:pt>
                <c:pt idx="3">
                  <c:v>18.772518325257792</c:v>
                </c:pt>
                <c:pt idx="4">
                  <c:v>4.1371598956392086</c:v>
                </c:pt>
                <c:pt idx="5">
                  <c:v>0.71644510705263575</c:v>
                </c:pt>
                <c:pt idx="6">
                  <c:v>12.56040315567151</c:v>
                </c:pt>
                <c:pt idx="7">
                  <c:v>1.3005319501387331</c:v>
                </c:pt>
              </c:numCache>
            </c:numRef>
          </c:val>
          <c:extLst>
            <c:ext xmlns:c16="http://schemas.microsoft.com/office/drawing/2014/chart" uri="{C3380CC4-5D6E-409C-BE32-E72D297353CC}">
              <c16:uniqueId val="{00000016-1F7A-4E37-879D-A75FCA4567DE}"/>
            </c:ext>
          </c:extLst>
        </c:ser>
        <c:dLbls>
          <c:showLegendKey val="0"/>
          <c:showVal val="0"/>
          <c:showCatName val="0"/>
          <c:showSerName val="0"/>
          <c:showPercent val="0"/>
          <c:showBubbleSize val="0"/>
          <c:showLeaderLines val="1"/>
        </c:dLbls>
        <c:firstSliceAng val="66"/>
      </c:pieChart>
      <c:spPr>
        <a:noFill/>
        <a:ln w="25400">
          <a:noFill/>
        </a:ln>
        <a:effectLst/>
      </c:spPr>
    </c:plotArea>
    <c:plotVisOnly val="1"/>
    <c:dispBlanksAs val="zero"/>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sz="1000" b="0" i="0" u="none" strike="noStrike" baseline="0">
          <a:solidFill>
            <a:srgbClr val="000000"/>
          </a:solidFill>
          <a:latin typeface="Calibri"/>
          <a:ea typeface="Calibri"/>
          <a:cs typeface="Calibri"/>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1">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8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2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drawings/_rels/drawing3.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0.53213</cdr:x>
      <cdr:y>0.05777</cdr:y>
    </cdr:from>
    <cdr:to>
      <cdr:x>1</cdr:x>
      <cdr:y>0.7964</cdr:y>
    </cdr:to>
    <cdr:sp macro="" textlink="">
      <cdr:nvSpPr>
        <cdr:cNvPr id="3" name="TextBox 2"/>
        <cdr:cNvSpPr txBox="1"/>
      </cdr:nvSpPr>
      <cdr:spPr>
        <a:xfrm xmlns:a="http://schemas.openxmlformats.org/drawingml/2006/main">
          <a:off x="1525059" y="121709"/>
          <a:ext cx="1340907" cy="1556183"/>
        </a:xfrm>
        <a:prstGeom xmlns:a="http://schemas.openxmlformats.org/drawingml/2006/main" prst="rect">
          <a:avLst/>
        </a:prstGeom>
        <a:solidFill xmlns:a="http://schemas.openxmlformats.org/drawingml/2006/main">
          <a:schemeClr val="bg1">
            <a:alpha val="10000"/>
          </a:schemeClr>
        </a:solidFill>
      </cdr:spPr>
      <cdr:txBody>
        <a:bodyPr xmlns:a="http://schemas.openxmlformats.org/drawingml/2006/main" vertOverflow="clip" wrap="square" rtlCol="0" anchor="t"/>
        <a:lstStyle xmlns:a="http://schemas.openxmlformats.org/drawingml/2006/main"/>
        <a:p xmlns:a="http://schemas.openxmlformats.org/drawingml/2006/main">
          <a:pPr algn="ctr"/>
          <a:endParaRPr lang="en-GB" sz="750" b="1">
            <a:solidFill>
              <a:schemeClr val="tx2"/>
            </a:solidFill>
            <a:latin typeface="+mn-lt"/>
            <a:cs typeface="Arial" panose="020B0604020202020204" pitchFamily="34"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0.51329</cdr:x>
      <cdr:y>0</cdr:y>
    </cdr:from>
    <cdr:to>
      <cdr:x>0.98231</cdr:x>
      <cdr:y>0.73936</cdr:y>
    </cdr:to>
    <cdr:sp macro="" textlink="">
      <cdr:nvSpPr>
        <cdr:cNvPr id="3" name="TextBox 2"/>
        <cdr:cNvSpPr txBox="1"/>
      </cdr:nvSpPr>
      <cdr:spPr>
        <a:xfrm xmlns:a="http://schemas.openxmlformats.org/drawingml/2006/main">
          <a:off x="1471083" y="0"/>
          <a:ext cx="1344184" cy="1562275"/>
        </a:xfrm>
        <a:prstGeom xmlns:a="http://schemas.openxmlformats.org/drawingml/2006/main" prst="rect">
          <a:avLst/>
        </a:prstGeom>
        <a:solidFill xmlns:a="http://schemas.openxmlformats.org/drawingml/2006/main">
          <a:schemeClr val="bg1">
            <a:alpha val="10000"/>
          </a:schemeClr>
        </a:solidFill>
      </cdr:spPr>
      <cdr:txBody>
        <a:bodyPr xmlns:a="http://schemas.openxmlformats.org/drawingml/2006/main" vertOverflow="clip" wrap="square" rtlCol="0" anchor="t"/>
        <a:lstStyle xmlns:a="http://schemas.openxmlformats.org/drawingml/2006/main"/>
        <a:p xmlns:a="http://schemas.openxmlformats.org/drawingml/2006/main">
          <a:pPr algn="ctr"/>
          <a:endParaRPr lang="en-GB" sz="750" b="1">
            <a:solidFill>
              <a:schemeClr val="tx2"/>
            </a:solidFill>
            <a:latin typeface="+mn-lt"/>
            <a:cs typeface="Arial" panose="020B0604020202020204" pitchFamily="34"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0.00523</cdr:x>
      <cdr:y>0.42036</cdr:y>
    </cdr:from>
    <cdr:to>
      <cdr:x>0.04287</cdr:x>
      <cdr:y>0.51502</cdr:y>
    </cdr:to>
    <cdr:pic>
      <cdr:nvPicPr>
        <cdr:cNvPr id="2" name="chart">
          <a:extLst xmlns:a="http://schemas.openxmlformats.org/drawingml/2006/main">
            <a:ext uri="{FF2B5EF4-FFF2-40B4-BE49-F238E27FC236}">
              <a16:creationId xmlns:a16="http://schemas.microsoft.com/office/drawing/2014/main" id="{686307BD-C9B0-72F2-BB14-0145FA0939C6}"/>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rot="16200000">
          <a:off x="-39675" y="1646404"/>
          <a:ext cx="355058" cy="215755"/>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DB6A6-1BF8-450A-9A9B-F878DC268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31</Pages>
  <Words>12538</Words>
  <Characters>71473</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Savatovic</dc:creator>
  <cp:keywords/>
  <dc:description/>
  <cp:lastModifiedBy>Milesa Marjanović</cp:lastModifiedBy>
  <cp:revision>60</cp:revision>
  <cp:lastPrinted>2025-10-20T10:31:00Z</cp:lastPrinted>
  <dcterms:created xsi:type="dcterms:W3CDTF">2025-10-28T07:54:00Z</dcterms:created>
  <dcterms:modified xsi:type="dcterms:W3CDTF">2025-11-21T07:51:00Z</dcterms:modified>
</cp:coreProperties>
</file>